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CBB6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both"/>
        <w:textAlignment w:val="auto"/>
        <w:rPr>
          <w:rFonts w:hint="default" w:ascii="Times New Roman" w:hAnsi="Times New Roman" w:eastAsia="方正小标宋_GBK" w:cs="Times New Roman"/>
          <w:b w:val="0"/>
          <w:bCs w:val="0"/>
          <w:sz w:val="36"/>
          <w:szCs w:val="36"/>
          <w:lang w:val="en-US" w:eastAsia="zh-CN"/>
        </w:rPr>
      </w:pPr>
    </w:p>
    <w:p w14:paraId="33E95B5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丰都县贸易促进中心</w:t>
      </w:r>
    </w:p>
    <w:p w14:paraId="7AADD14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w:t>
      </w:r>
      <w:r>
        <w:rPr>
          <w:rFonts w:hint="default" w:ascii="Times New Roman" w:hAnsi="Times New Roman" w:eastAsia="方正小标宋_GBK" w:cs="Times New Roman"/>
          <w:b w:val="0"/>
          <w:bCs w:val="0"/>
          <w:sz w:val="44"/>
          <w:szCs w:val="44"/>
          <w:shd w:val="clear" w:color="auto" w:fill="FFFFFF"/>
        </w:rPr>
        <w:t>年度决算公开说明</w:t>
      </w:r>
    </w:p>
    <w:p w14:paraId="666D09CB">
      <w:pPr>
        <w:pStyle w:val="8"/>
        <w:keepNext w:val="0"/>
        <w:keepLines w:val="0"/>
        <w:pageBreakBefore w:val="0"/>
        <w:widowControl/>
        <w:numPr>
          <w:numId w:val="0"/>
        </w:numPr>
        <w:tabs>
          <w:tab w:val="left" w:pos="367"/>
        </w:tabs>
        <w:kinsoku/>
        <w:wordWrap/>
        <w:overflowPunct/>
        <w:topLinePunct w:val="0"/>
        <w:autoSpaceDE/>
        <w:autoSpaceDN/>
        <w:bidi w:val="0"/>
        <w:adjustRightInd/>
        <w:snapToGrid/>
        <w:spacing w:before="0" w:beforeAutospacing="0" w:after="0" w:afterAutospacing="0" w:line="574" w:lineRule="exact"/>
        <w:ind w:firstLine="640" w:firstLineChars="200"/>
        <w:jc w:val="left"/>
        <w:textAlignment w:val="auto"/>
        <w:rPr>
          <w:rFonts w:hint="default" w:ascii="Times New Roman" w:hAnsi="Times New Roman" w:eastAsia="方正黑体_GBK" w:cs="Times New Roman"/>
          <w:sz w:val="32"/>
          <w:szCs w:val="32"/>
          <w:lang w:val="en-US" w:eastAsia="zh-CN"/>
        </w:rPr>
      </w:pPr>
    </w:p>
    <w:p w14:paraId="298D0BB0">
      <w:pPr>
        <w:pStyle w:val="8"/>
        <w:keepNext w:val="0"/>
        <w:keepLines w:val="0"/>
        <w:pageBreakBefore w:val="0"/>
        <w:widowControl/>
        <w:numPr>
          <w:numId w:val="0"/>
        </w:numPr>
        <w:tabs>
          <w:tab w:val="left" w:pos="367"/>
        </w:tabs>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黑体_GBK" w:cs="Times New Roman"/>
          <w:sz w:val="32"/>
          <w:szCs w:val="32"/>
          <w:lang w:val="en-US" w:eastAsia="zh-CN"/>
        </w:rPr>
        <w:t>一、部门</w:t>
      </w:r>
      <w:r>
        <w:rPr>
          <w:rFonts w:hint="default" w:ascii="Times New Roman" w:hAnsi="Times New Roman" w:eastAsia="方正黑体_GBK" w:cs="Times New Roman"/>
          <w:sz w:val="32"/>
          <w:szCs w:val="32"/>
          <w:lang w:val="en-US" w:eastAsia="zh-CN"/>
        </w:rPr>
        <w:t>基本情况</w:t>
      </w:r>
      <w:bookmarkStart w:id="0" w:name="_GoBack"/>
      <w:bookmarkEnd w:id="0"/>
    </w:p>
    <w:p w14:paraId="7B22B29B">
      <w:pPr>
        <w:keepNext w:val="0"/>
        <w:keepLines w:val="0"/>
        <w:pageBreakBefore w:val="0"/>
        <w:widowControl/>
        <w:kinsoku/>
        <w:wordWrap/>
        <w:overflowPunct/>
        <w:topLinePunct w:val="0"/>
        <w:autoSpaceDN/>
        <w:bidi w:val="0"/>
        <w:adjustRightInd/>
        <w:snapToGrid w:val="0"/>
        <w:spacing w:line="600" w:lineRule="exact"/>
        <w:ind w:firstLine="640" w:firstLineChars="200"/>
        <w:textAlignment w:val="auto"/>
        <w:rPr>
          <w:rFonts w:hint="default" w:ascii="Times New Roman" w:hAnsi="Times New Roman" w:eastAsia="方正楷体_GBK" w:cs="Times New Roman"/>
          <w:color w:val="000000"/>
          <w:sz w:val="32"/>
          <w:szCs w:val="32"/>
          <w:u w:val="none"/>
          <w:lang w:eastAsia="zh-CN"/>
        </w:rPr>
      </w:pPr>
      <w:r>
        <w:rPr>
          <w:rFonts w:hint="default" w:ascii="Times New Roman" w:hAnsi="Times New Roman" w:eastAsia="方正楷体_GBK" w:cs="Times New Roman"/>
          <w:color w:val="000000"/>
          <w:sz w:val="32"/>
          <w:szCs w:val="32"/>
          <w:u w:val="none"/>
          <w:lang w:eastAsia="zh-CN"/>
        </w:rPr>
        <w:t>（一）职能职责</w:t>
      </w:r>
    </w:p>
    <w:p w14:paraId="7F94E2A3">
      <w:pPr>
        <w:keepNext w:val="0"/>
        <w:keepLines w:val="0"/>
        <w:pageBreakBefore w:val="0"/>
        <w:widowControl/>
        <w:kinsoku/>
        <w:wordWrap/>
        <w:overflowPunct/>
        <w:topLinePunct w:val="0"/>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000000"/>
          <w:sz w:val="32"/>
          <w:szCs w:val="32"/>
          <w:u w:val="none"/>
          <w:lang w:eastAsia="zh-CN"/>
        </w:rPr>
        <w:t>推进高水平</w:t>
      </w:r>
      <w:r>
        <w:rPr>
          <w:rFonts w:hint="default" w:ascii="Times New Roman" w:hAnsi="Times New Roman" w:eastAsia="方正仿宋_GBK" w:cs="Times New Roman"/>
          <w:color w:val="000000"/>
          <w:sz w:val="32"/>
          <w:szCs w:val="32"/>
          <w:u w:val="none"/>
          <w:lang w:val="en-US" w:eastAsia="zh-CN"/>
        </w:rPr>
        <w:t>内外贸经济发展</w:t>
      </w:r>
      <w:r>
        <w:rPr>
          <w:rFonts w:hint="default" w:ascii="Times New Roman" w:hAnsi="Times New Roman" w:eastAsia="方正仿宋_GBK" w:cs="Times New Roman"/>
          <w:color w:val="000000"/>
          <w:sz w:val="32"/>
          <w:szCs w:val="32"/>
          <w:u w:val="none"/>
          <w:lang w:eastAsia="zh-CN"/>
        </w:rPr>
        <w:t>，吸引国内外优质</w:t>
      </w:r>
      <w:r>
        <w:rPr>
          <w:rFonts w:hint="default" w:ascii="Times New Roman" w:hAnsi="Times New Roman" w:eastAsia="方正仿宋_GBK" w:cs="Times New Roman"/>
          <w:color w:val="000000"/>
          <w:sz w:val="32"/>
          <w:szCs w:val="32"/>
          <w:u w:val="none"/>
          <w:lang w:val="en-US" w:eastAsia="zh-CN"/>
        </w:rPr>
        <w:t>资源</w:t>
      </w:r>
      <w:r>
        <w:rPr>
          <w:rFonts w:hint="default" w:ascii="Times New Roman" w:hAnsi="Times New Roman" w:eastAsia="方正仿宋_GBK" w:cs="Times New Roman"/>
          <w:color w:val="000000"/>
          <w:sz w:val="32"/>
          <w:szCs w:val="32"/>
          <w:u w:val="none"/>
          <w:lang w:eastAsia="zh-CN"/>
        </w:rPr>
        <w:t>，加快建设贸易强县，升级货物贸易，创新服务贸易，发展数字贸易，以数字化、绿色化为方向，进一步提升我县特色产品参与国内国际供应链双循环，使我县更深入地融入全球经济体系，在国内外形成经济合作新格局和经济竞争新优势，实现我县区域经济高质量发展。</w:t>
      </w:r>
    </w:p>
    <w:p w14:paraId="75979D13">
      <w:pPr>
        <w:keepNext w:val="0"/>
        <w:keepLines w:val="0"/>
        <w:pageBreakBefore w:val="0"/>
        <w:widowControl/>
        <w:kinsoku/>
        <w:wordWrap/>
        <w:overflowPunct/>
        <w:topLinePunct w:val="0"/>
        <w:autoSpaceDN/>
        <w:bidi w:val="0"/>
        <w:adjustRightInd/>
        <w:snapToGrid w:val="0"/>
        <w:spacing w:line="600" w:lineRule="exact"/>
        <w:ind w:firstLine="640" w:firstLineChars="200"/>
        <w:textAlignment w:val="auto"/>
        <w:rPr>
          <w:rFonts w:hint="default" w:ascii="Times New Roman" w:hAnsi="Times New Roman" w:eastAsia="方正楷体_GBK" w:cs="Times New Roman"/>
          <w:color w:val="000000"/>
          <w:sz w:val="32"/>
          <w:szCs w:val="32"/>
          <w:u w:val="none"/>
          <w:lang w:eastAsia="zh-CN"/>
        </w:rPr>
      </w:pPr>
      <w:r>
        <w:rPr>
          <w:rFonts w:hint="default" w:ascii="Times New Roman" w:hAnsi="Times New Roman" w:eastAsia="方正楷体_GBK" w:cs="Times New Roman"/>
          <w:color w:val="000000"/>
          <w:sz w:val="32"/>
          <w:szCs w:val="32"/>
          <w:u w:val="none"/>
          <w:lang w:eastAsia="zh-CN"/>
        </w:rPr>
        <w:t>（二）机构设置</w:t>
      </w:r>
    </w:p>
    <w:p w14:paraId="1F0FC5F5">
      <w:pPr>
        <w:keepNext w:val="0"/>
        <w:keepLines w:val="0"/>
        <w:pageBreakBefore w:val="0"/>
        <w:widowControl/>
        <w:kinsoku/>
        <w:wordWrap/>
        <w:overflowPunct/>
        <w:topLinePunct w:val="0"/>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rPr>
        <w:t>本单位级别为</w:t>
      </w:r>
      <w:r>
        <w:rPr>
          <w:rFonts w:hint="default" w:ascii="Times New Roman" w:hAnsi="Times New Roman" w:eastAsia="方正仿宋_GBK" w:cs="Times New Roman"/>
          <w:color w:val="000000"/>
          <w:kern w:val="0"/>
          <w:sz w:val="32"/>
          <w:szCs w:val="32"/>
          <w:lang w:val="en-US" w:eastAsia="zh-CN"/>
        </w:rPr>
        <w:t>正</w:t>
      </w:r>
      <w:r>
        <w:rPr>
          <w:rFonts w:hint="default" w:ascii="Times New Roman" w:hAnsi="Times New Roman" w:eastAsia="方正仿宋_GBK" w:cs="Times New Roman"/>
          <w:color w:val="000000"/>
          <w:kern w:val="0"/>
          <w:sz w:val="32"/>
          <w:szCs w:val="32"/>
        </w:rPr>
        <w:t>科级，</w:t>
      </w:r>
      <w:r>
        <w:rPr>
          <w:rFonts w:hint="default" w:ascii="Times New Roman" w:hAnsi="Times New Roman" w:eastAsia="方正仿宋_GBK" w:cs="Times New Roman"/>
          <w:color w:val="000000"/>
          <w:kern w:val="0"/>
          <w:sz w:val="32"/>
          <w:szCs w:val="32"/>
          <w:lang w:val="en-US" w:eastAsia="zh-CN"/>
        </w:rPr>
        <w:t>3个</w:t>
      </w:r>
      <w:r>
        <w:rPr>
          <w:rFonts w:hint="default" w:ascii="Times New Roman" w:hAnsi="Times New Roman" w:eastAsia="方正仿宋_GBK" w:cs="Times New Roman"/>
          <w:color w:val="000000"/>
          <w:kern w:val="0"/>
          <w:sz w:val="32"/>
          <w:szCs w:val="32"/>
        </w:rPr>
        <w:t>内设科室，二级预算单位</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sz w:val="32"/>
          <w:szCs w:val="32"/>
        </w:rPr>
        <w:t>核定事业编制为</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名，</w:t>
      </w:r>
      <w:r>
        <w:rPr>
          <w:rFonts w:hint="default" w:ascii="Times New Roman" w:hAnsi="Times New Roman" w:eastAsia="方正仿宋_GBK" w:cs="Times New Roman"/>
          <w:sz w:val="32"/>
          <w:szCs w:val="32"/>
          <w:lang w:val="en-US" w:eastAsia="zh-CN"/>
        </w:rPr>
        <w:t>年末</w:t>
      </w:r>
      <w:r>
        <w:rPr>
          <w:rFonts w:hint="default" w:ascii="Times New Roman" w:hAnsi="Times New Roman" w:eastAsia="方正仿宋_GBK" w:cs="Times New Roman"/>
          <w:sz w:val="32"/>
          <w:szCs w:val="32"/>
        </w:rPr>
        <w:t>实有在编人员</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名</w:t>
      </w:r>
      <w:r>
        <w:rPr>
          <w:rFonts w:hint="default" w:ascii="Times New Roman" w:hAnsi="Times New Roman" w:eastAsia="方正仿宋_GBK" w:cs="Times New Roman"/>
          <w:sz w:val="32"/>
          <w:szCs w:val="32"/>
          <w:lang w:val="en-US" w:eastAsia="zh-CN"/>
        </w:rPr>
        <w:t>。</w:t>
      </w:r>
    </w:p>
    <w:p w14:paraId="6521712D">
      <w:pPr>
        <w:pStyle w:val="8"/>
        <w:keepNext w:val="0"/>
        <w:keepLines w:val="0"/>
        <w:pageBreakBefore w:val="0"/>
        <w:widowControl/>
        <w:numPr>
          <w:ilvl w:val="0"/>
          <w:numId w:val="0"/>
        </w:numPr>
        <w:tabs>
          <w:tab w:val="left" w:pos="367"/>
        </w:tabs>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w:t>
      </w:r>
      <w:r>
        <w:rPr>
          <w:rFonts w:hint="default" w:ascii="Times New Roman" w:hAnsi="Times New Roman" w:eastAsia="方正黑体_GBK" w:cs="Times New Roman"/>
          <w:sz w:val="32"/>
          <w:szCs w:val="32"/>
          <w:lang w:val="en-US" w:eastAsia="zh-CN"/>
        </w:rPr>
        <w:t>部门</w:t>
      </w:r>
      <w:r>
        <w:rPr>
          <w:rFonts w:hint="default" w:ascii="Times New Roman" w:hAnsi="Times New Roman" w:eastAsia="方正黑体_GBK" w:cs="Times New Roman"/>
          <w:sz w:val="32"/>
          <w:szCs w:val="32"/>
          <w:lang w:val="en-US" w:eastAsia="zh-CN"/>
        </w:rPr>
        <w:t>决算</w:t>
      </w:r>
      <w:r>
        <w:rPr>
          <w:rFonts w:hint="default" w:ascii="Times New Roman" w:hAnsi="Times New Roman" w:eastAsia="方正黑体_GBK" w:cs="Times New Roman"/>
          <w:sz w:val="32"/>
          <w:szCs w:val="32"/>
          <w:lang w:val="en-US" w:eastAsia="zh-CN"/>
        </w:rPr>
        <w:t>收支</w:t>
      </w:r>
      <w:r>
        <w:rPr>
          <w:rFonts w:hint="default" w:ascii="Times New Roman" w:hAnsi="Times New Roman" w:eastAsia="方正黑体_GBK" w:cs="Times New Roman"/>
          <w:sz w:val="32"/>
          <w:szCs w:val="32"/>
          <w:lang w:val="en-US" w:eastAsia="zh-CN"/>
        </w:rPr>
        <w:t>情况说明</w:t>
      </w:r>
    </w:p>
    <w:p w14:paraId="559E3173">
      <w:pPr>
        <w:keepNext w:val="0"/>
        <w:keepLines w:val="0"/>
        <w:pageBreakBefore w:val="0"/>
        <w:widowControl/>
        <w:kinsoku/>
        <w:wordWrap/>
        <w:overflowPunct/>
        <w:topLinePunct w:val="0"/>
        <w:autoSpaceDN/>
        <w:bidi w:val="0"/>
        <w:adjustRightInd/>
        <w:snapToGrid w:val="0"/>
        <w:spacing w:line="600" w:lineRule="exact"/>
        <w:ind w:firstLine="640" w:firstLineChars="200"/>
        <w:textAlignment w:val="auto"/>
        <w:rPr>
          <w:rFonts w:hint="default" w:ascii="Times New Roman" w:hAnsi="Times New Roman" w:eastAsia="方正楷体_GBK" w:cs="Times New Roman"/>
          <w:color w:val="000000"/>
          <w:sz w:val="32"/>
          <w:szCs w:val="32"/>
          <w:u w:val="none"/>
          <w:lang w:eastAsia="zh-CN"/>
        </w:rPr>
      </w:pPr>
      <w:r>
        <w:rPr>
          <w:rFonts w:hint="default" w:ascii="Times New Roman" w:hAnsi="Times New Roman" w:eastAsia="方正楷体_GBK" w:cs="Times New Roman"/>
          <w:color w:val="000000"/>
          <w:sz w:val="32"/>
          <w:szCs w:val="32"/>
          <w:u w:val="none"/>
          <w:lang w:eastAsia="zh-CN"/>
        </w:rPr>
        <w:t>（一）收入支出决算总体情况说明</w:t>
      </w:r>
    </w:p>
    <w:p w14:paraId="3AE73D5D">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38.36万元。收、支与2023年度相比，增加38.36万元，增长100.0%，主要原因是</w:t>
      </w:r>
      <w:r>
        <w:rPr>
          <w:rFonts w:hint="default" w:ascii="Times New Roman" w:hAnsi="Times New Roman" w:eastAsia="方正仿宋_GBK" w:cs="Times New Roman"/>
          <w:sz w:val="32"/>
          <w:szCs w:val="32"/>
          <w:shd w:val="clear" w:color="auto" w:fill="FFFFFF"/>
          <w:lang w:val="en-US" w:eastAsia="zh-CN"/>
        </w:rPr>
        <w:t>本单位2024年7月新成立，调入4名人员，导致上年度数据没有</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事业单位超额绩效纳入养老保险和职业年金缴费基数等原因，导致收入支出增加</w:t>
      </w:r>
      <w:r>
        <w:rPr>
          <w:rFonts w:hint="default" w:ascii="Times New Roman" w:hAnsi="Times New Roman" w:eastAsia="方正仿宋_GBK" w:cs="Times New Roman"/>
          <w:sz w:val="32"/>
          <w:szCs w:val="32"/>
          <w:shd w:val="clear" w:color="auto" w:fill="FFFFFF"/>
          <w:lang w:val="en-US" w:eastAsia="zh-CN"/>
        </w:rPr>
        <w:t>。</w:t>
      </w:r>
    </w:p>
    <w:p w14:paraId="762CB3BE">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lang w:val="en-US" w:eastAsia="zh-CN"/>
        </w:rPr>
        <w:t>1.收入情况。</w:t>
      </w:r>
      <w:r>
        <w:rPr>
          <w:rFonts w:hint="default" w:ascii="Times New Roman" w:hAnsi="Times New Roman" w:eastAsia="方正仿宋_GBK" w:cs="Times New Roman"/>
          <w:sz w:val="32"/>
          <w:szCs w:val="32"/>
          <w:shd w:val="clear" w:color="auto" w:fill="FFFFFF"/>
        </w:rPr>
        <w:t>2024年度收入合计38.36万元，与2023年度相比，增加38.36万元，增长100.0%，主要原因是</w:t>
      </w:r>
      <w:r>
        <w:rPr>
          <w:rFonts w:hint="default" w:ascii="Times New Roman" w:hAnsi="Times New Roman" w:eastAsia="方正仿宋_GBK" w:cs="Times New Roman"/>
          <w:sz w:val="32"/>
          <w:szCs w:val="32"/>
          <w:shd w:val="clear" w:color="auto" w:fill="FFFFFF"/>
          <w:lang w:val="en-US" w:eastAsia="zh-CN"/>
        </w:rPr>
        <w:t>本单位2024年7月新成立，调入4名人员，导致上年度数据没有</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事业单位超额绩效纳入养老保险和职业年金缴费基数等原因，导致收入增加</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其中：财政拨款收入38.36万元，占100.0%。此外，使用非财政拨款结余（含专用结余）</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w:t>
      </w:r>
    </w:p>
    <w:p w14:paraId="159B8FEE">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lang w:val="en-US" w:eastAsia="zh-CN"/>
        </w:rPr>
        <w:t>2</w:t>
      </w:r>
      <w:r>
        <w:rPr>
          <w:rStyle w:val="12"/>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2024年度支出合计38.36万元，与2023年度相比，增加38.36万元，增长100.0%，主要原因是</w:t>
      </w:r>
      <w:r>
        <w:rPr>
          <w:rFonts w:hint="default" w:ascii="Times New Roman" w:hAnsi="Times New Roman" w:eastAsia="方正仿宋_GBK" w:cs="Times New Roman"/>
          <w:sz w:val="32"/>
          <w:szCs w:val="32"/>
          <w:shd w:val="clear" w:color="auto" w:fill="FFFFFF"/>
          <w:lang w:val="en-US" w:eastAsia="zh-CN"/>
        </w:rPr>
        <w:t>本单位2024年7月新成立，调入4名人员，导致上年度数据没有</w:t>
      </w:r>
      <w:r>
        <w:rPr>
          <w:rFonts w:hint="default" w:ascii="Times New Roman" w:hAnsi="Times New Roman" w:eastAsia="方正仿宋_GBK" w:cs="Times New Roman"/>
          <w:sz w:val="32"/>
          <w:szCs w:val="32"/>
          <w:shd w:val="clear" w:color="auto" w:fill="FFFFFF"/>
          <w:lang w:val="en-US" w:eastAsia="zh-CN"/>
        </w:rPr>
        <w:t>，本年度数据增加；</w:t>
      </w:r>
      <w:r>
        <w:rPr>
          <w:rFonts w:hint="default" w:ascii="Times New Roman" w:hAnsi="Times New Roman" w:eastAsia="方正仿宋_GBK" w:cs="Times New Roman"/>
          <w:sz w:val="32"/>
          <w:szCs w:val="32"/>
          <w:shd w:val="clear" w:color="auto" w:fill="FFFFFF"/>
          <w:lang w:val="en-US" w:eastAsia="zh-CN"/>
        </w:rPr>
        <w:t>事业单位超额绩效纳入养老保险和职业年金缴费基数等原因，导致费用增加</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其中：基本支出38.36万元，占100.0%；项目支出</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万元。此外，结余分配</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w:t>
      </w:r>
    </w:p>
    <w:p w14:paraId="6AB9D515">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lang w:val="en-US" w:eastAsia="zh-CN"/>
        </w:rPr>
        <w:t>3</w:t>
      </w:r>
      <w:r>
        <w:rPr>
          <w:rStyle w:val="12"/>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2024年度年末结转和结余0.00万元，与2023年度相比，无增减，主要原因是</w:t>
      </w:r>
      <w:r>
        <w:rPr>
          <w:rFonts w:hint="default" w:ascii="Times New Roman" w:hAnsi="Times New Roman" w:eastAsia="方正仿宋_GBK" w:cs="Times New Roman"/>
          <w:sz w:val="32"/>
          <w:szCs w:val="32"/>
          <w:shd w:val="clear" w:color="auto" w:fill="FFFFFF"/>
          <w:lang w:val="en-US" w:eastAsia="zh-CN"/>
        </w:rPr>
        <w:t>本单位2024年7月新成立，调入4名人员，导致上年度数据没有，本年度数据增加。</w:t>
      </w:r>
    </w:p>
    <w:p w14:paraId="7C0FCE96">
      <w:pPr>
        <w:keepNext w:val="0"/>
        <w:keepLines w:val="0"/>
        <w:pageBreakBefore w:val="0"/>
        <w:widowControl/>
        <w:kinsoku/>
        <w:wordWrap/>
        <w:overflowPunct/>
        <w:topLinePunct w:val="0"/>
        <w:autoSpaceDN/>
        <w:bidi w:val="0"/>
        <w:adjustRightInd/>
        <w:snapToGrid w:val="0"/>
        <w:spacing w:line="600" w:lineRule="exact"/>
        <w:ind w:firstLine="640" w:firstLineChars="200"/>
        <w:textAlignment w:val="auto"/>
        <w:rPr>
          <w:rFonts w:hint="default" w:ascii="Times New Roman" w:hAnsi="Times New Roman" w:eastAsia="方正楷体_GBK" w:cs="Times New Roman"/>
          <w:color w:val="000000"/>
          <w:sz w:val="32"/>
          <w:szCs w:val="32"/>
          <w:u w:val="none"/>
          <w:lang w:eastAsia="zh-CN"/>
        </w:rPr>
      </w:pPr>
      <w:r>
        <w:rPr>
          <w:rFonts w:hint="default" w:ascii="Times New Roman" w:hAnsi="Times New Roman" w:eastAsia="方正楷体_GBK" w:cs="Times New Roman"/>
          <w:color w:val="000000"/>
          <w:sz w:val="32"/>
          <w:szCs w:val="32"/>
          <w:u w:val="none"/>
          <w:lang w:eastAsia="zh-CN"/>
        </w:rPr>
        <w:t>（二）财政拨款收入支出决算总体情况说明</w:t>
      </w:r>
    </w:p>
    <w:p w14:paraId="364241EF">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2024年度财政拨款收、支总计均为38.36万元。与2023年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相比，财政拨款收、支总计各增加38.36万元，增长100.0%。主要原因是</w:t>
      </w:r>
      <w:r>
        <w:rPr>
          <w:rFonts w:hint="default" w:ascii="Times New Roman" w:hAnsi="Times New Roman" w:eastAsia="方正仿宋_GBK" w:cs="Times New Roman"/>
          <w:sz w:val="32"/>
          <w:szCs w:val="32"/>
          <w:shd w:val="clear" w:color="auto" w:fill="FFFFFF"/>
          <w:lang w:val="en-US" w:eastAsia="zh-CN"/>
        </w:rPr>
        <w:t>本单位2024年7月新成立，调入4名人员，导致上年度数据没有</w:t>
      </w:r>
      <w:r>
        <w:rPr>
          <w:rFonts w:hint="default" w:ascii="Times New Roman" w:hAnsi="Times New Roman" w:eastAsia="方正仿宋_GBK" w:cs="Times New Roman"/>
          <w:sz w:val="32"/>
          <w:szCs w:val="32"/>
          <w:shd w:val="clear" w:color="auto" w:fill="FFFFFF"/>
          <w:lang w:val="en-US" w:eastAsia="zh-CN"/>
        </w:rPr>
        <w:t>，本年度数据增加；</w:t>
      </w:r>
      <w:r>
        <w:rPr>
          <w:rFonts w:hint="default" w:ascii="Times New Roman" w:hAnsi="Times New Roman" w:eastAsia="方正仿宋_GBK" w:cs="Times New Roman"/>
          <w:sz w:val="32"/>
          <w:szCs w:val="32"/>
          <w:shd w:val="clear" w:color="auto" w:fill="FFFFFF"/>
          <w:lang w:val="en-US" w:eastAsia="zh-CN"/>
        </w:rPr>
        <w:t>事业单位超额绩效纳入养老保险和职业年金缴费基数等原因，导致收入支出增加</w:t>
      </w:r>
      <w:r>
        <w:rPr>
          <w:rFonts w:hint="default" w:ascii="Times New Roman" w:hAnsi="Times New Roman" w:eastAsia="方正仿宋_GBK" w:cs="Times New Roman"/>
          <w:sz w:val="32"/>
          <w:szCs w:val="32"/>
          <w:shd w:val="clear" w:color="auto" w:fill="FFFFFF"/>
          <w:lang w:val="en-US" w:eastAsia="zh-CN"/>
        </w:rPr>
        <w:t>。</w:t>
      </w:r>
    </w:p>
    <w:p w14:paraId="3C752610">
      <w:pPr>
        <w:keepNext w:val="0"/>
        <w:keepLines w:val="0"/>
        <w:pageBreakBefore w:val="0"/>
        <w:widowControl/>
        <w:kinsoku/>
        <w:wordWrap/>
        <w:overflowPunct/>
        <w:topLinePunct w:val="0"/>
        <w:autoSpaceDN/>
        <w:bidi w:val="0"/>
        <w:adjustRightInd/>
        <w:snapToGrid w:val="0"/>
        <w:spacing w:line="600" w:lineRule="exact"/>
        <w:ind w:firstLine="640" w:firstLineChars="200"/>
        <w:textAlignment w:val="auto"/>
        <w:rPr>
          <w:rFonts w:hint="default" w:ascii="Times New Roman" w:hAnsi="Times New Roman" w:eastAsia="方正楷体_GBK" w:cs="Times New Roman"/>
          <w:color w:val="000000"/>
          <w:sz w:val="32"/>
          <w:szCs w:val="32"/>
          <w:u w:val="none"/>
          <w:lang w:eastAsia="zh-CN"/>
        </w:rPr>
      </w:pPr>
      <w:r>
        <w:rPr>
          <w:rFonts w:hint="default" w:ascii="Times New Roman" w:hAnsi="Times New Roman" w:eastAsia="方正楷体_GBK" w:cs="Times New Roman"/>
          <w:color w:val="000000"/>
          <w:sz w:val="32"/>
          <w:szCs w:val="32"/>
          <w:u w:val="none"/>
          <w:lang w:eastAsia="zh-CN"/>
        </w:rPr>
        <w:t>（三）一般公共预算财政拨款收入支出决算情况说明</w:t>
      </w:r>
    </w:p>
    <w:p w14:paraId="387B068F">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2024年度一般公共预算财政拨款收入38.36万元，与2023年度相比，增加38.36万元，增长100.0%。主要原因是</w:t>
      </w:r>
      <w:r>
        <w:rPr>
          <w:rFonts w:hint="default" w:ascii="Times New Roman" w:hAnsi="Times New Roman" w:eastAsia="方正仿宋_GBK" w:cs="Times New Roman"/>
          <w:sz w:val="32"/>
          <w:szCs w:val="32"/>
          <w:shd w:val="clear" w:color="auto" w:fill="FFFFFF"/>
          <w:lang w:val="en-US" w:eastAsia="zh-CN"/>
        </w:rPr>
        <w:t>本单位2024年7月新成立，调入4名人员，导致上年度数据没有</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事业单位超额绩效纳入养老保险和职业年金缴费基数等原因，导致收入增加</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较年初预算数增加38.36万元，增长100.0%。主要原因是</w:t>
      </w:r>
      <w:r>
        <w:rPr>
          <w:rFonts w:hint="default" w:ascii="Times New Roman" w:hAnsi="Times New Roman" w:eastAsia="方正仿宋_GBK" w:cs="Times New Roman"/>
          <w:sz w:val="32"/>
          <w:szCs w:val="32"/>
          <w:shd w:val="clear" w:color="auto" w:fill="FFFFFF"/>
          <w:lang w:val="en-US" w:eastAsia="zh-CN"/>
        </w:rPr>
        <w:t>本单位2024年7月新成立，调入4名人员，导致上年度数据没有</w:t>
      </w:r>
      <w:r>
        <w:rPr>
          <w:rFonts w:hint="default" w:ascii="Times New Roman" w:hAnsi="Times New Roman" w:eastAsia="方正仿宋_GBK" w:cs="Times New Roman"/>
          <w:sz w:val="32"/>
          <w:szCs w:val="32"/>
          <w:shd w:val="clear" w:color="auto" w:fill="FFFFFF"/>
          <w:lang w:val="en-US" w:eastAsia="zh-CN"/>
        </w:rPr>
        <w:t>，本年度数据增加；</w:t>
      </w:r>
      <w:r>
        <w:rPr>
          <w:rFonts w:hint="default" w:ascii="Times New Roman" w:hAnsi="Times New Roman" w:eastAsia="方正仿宋_GBK" w:cs="Times New Roman"/>
          <w:sz w:val="32"/>
          <w:szCs w:val="32"/>
          <w:shd w:val="clear" w:color="auto" w:fill="FFFFFF"/>
          <w:lang w:val="en-US" w:eastAsia="zh-CN"/>
        </w:rPr>
        <w:t>事业单位超额绩效纳入养老保险和职业年金缴费基数等原因，导致收入增加。</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w:t>
      </w:r>
    </w:p>
    <w:p w14:paraId="24DBAE1B">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2"/>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2024年度一般公共预算财政拨款支出38.36万元，与2023年度相比，增加38.36万元，增长100.0%。主要原因是</w:t>
      </w:r>
      <w:r>
        <w:rPr>
          <w:rFonts w:hint="default" w:ascii="Times New Roman" w:hAnsi="Times New Roman" w:eastAsia="方正仿宋_GBK" w:cs="Times New Roman"/>
          <w:sz w:val="32"/>
          <w:szCs w:val="32"/>
          <w:shd w:val="clear" w:color="auto" w:fill="FFFFFF"/>
          <w:lang w:val="en-US" w:eastAsia="zh-CN"/>
        </w:rPr>
        <w:t>本单位2024年7月新成立，调入4名人员，导致上年度数据没有</w:t>
      </w:r>
      <w:r>
        <w:rPr>
          <w:rFonts w:hint="default" w:ascii="Times New Roman" w:hAnsi="Times New Roman" w:eastAsia="方正仿宋_GBK" w:cs="Times New Roman"/>
          <w:sz w:val="32"/>
          <w:szCs w:val="32"/>
          <w:shd w:val="clear" w:color="auto" w:fill="FFFFFF"/>
          <w:lang w:val="en-US" w:eastAsia="zh-CN"/>
        </w:rPr>
        <w:t>，本年度数据增加；</w:t>
      </w:r>
      <w:r>
        <w:rPr>
          <w:rFonts w:hint="default" w:ascii="Times New Roman" w:hAnsi="Times New Roman" w:eastAsia="方正仿宋_GBK" w:cs="Times New Roman"/>
          <w:sz w:val="32"/>
          <w:szCs w:val="32"/>
          <w:shd w:val="clear" w:color="auto" w:fill="FFFFFF"/>
          <w:lang w:val="en-US" w:eastAsia="zh-CN"/>
        </w:rPr>
        <w:t>事业单位超额绩效纳入养老保险和职业年金缴费基数等原因，导致费用增加</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较年初预算数增加38.36万元，增长100.0%。主要原因是</w:t>
      </w:r>
      <w:r>
        <w:rPr>
          <w:rFonts w:hint="default" w:ascii="Times New Roman" w:hAnsi="Times New Roman" w:eastAsia="方正仿宋_GBK" w:cs="Times New Roman"/>
          <w:sz w:val="32"/>
          <w:szCs w:val="32"/>
          <w:shd w:val="clear" w:color="auto" w:fill="FFFFFF"/>
          <w:lang w:val="en-US" w:eastAsia="zh-CN"/>
        </w:rPr>
        <w:t>本单位2024年7月新成立，调入4名人员，导致上年度数据没有</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事业单位超额绩效纳入养老保险和职业年金缴费基数等原因，导致费用增加</w:t>
      </w:r>
      <w:r>
        <w:rPr>
          <w:rFonts w:hint="default" w:ascii="Times New Roman" w:hAnsi="Times New Roman" w:eastAsia="方正仿宋_GBK" w:cs="Times New Roman"/>
          <w:sz w:val="32"/>
          <w:szCs w:val="32"/>
          <w:shd w:val="clear" w:color="auto" w:fill="FFFFFF"/>
          <w:lang w:val="en-US" w:eastAsia="zh-CN"/>
        </w:rPr>
        <w:t>。</w:t>
      </w:r>
    </w:p>
    <w:p w14:paraId="5E031915">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05770FD3">
      <w:pPr>
        <w:pStyle w:val="8"/>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一般公共服务支出28.88万元，占75.3%，较年初预算数增加28.88万元，增长100.0%，主要原因是</w:t>
      </w:r>
      <w:r>
        <w:rPr>
          <w:rFonts w:hint="default" w:ascii="Times New Roman" w:hAnsi="Times New Roman" w:eastAsia="方正仿宋_GBK" w:cs="Times New Roman"/>
          <w:sz w:val="32"/>
          <w:szCs w:val="32"/>
          <w:shd w:val="clear" w:color="auto" w:fill="FFFFFF"/>
          <w:lang w:val="en-US" w:eastAsia="zh-CN"/>
        </w:rPr>
        <w:t>本单位2024年7月新成立，调入4名人员，导致年初预算数没有，年末数据增加。</w:t>
      </w:r>
    </w:p>
    <w:p w14:paraId="630A26F8">
      <w:pPr>
        <w:pStyle w:val="8"/>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就业支出6.65万元，占17.3%，较年初预算数增加6.65万元，增长100.0%，主要原因是</w:t>
      </w:r>
      <w:r>
        <w:rPr>
          <w:rFonts w:hint="default" w:ascii="Times New Roman" w:hAnsi="Times New Roman" w:eastAsia="方正仿宋_GBK" w:cs="Times New Roman"/>
          <w:sz w:val="32"/>
          <w:szCs w:val="32"/>
          <w:shd w:val="clear" w:color="auto" w:fill="FFFFFF"/>
          <w:lang w:val="en-US" w:eastAsia="zh-CN"/>
        </w:rPr>
        <w:t>本单位2024年7月新成立，调入4名人员</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事业单位超额绩效纳入养老保险和职业年金缴费基数等原因，</w:t>
      </w:r>
      <w:r>
        <w:rPr>
          <w:rFonts w:hint="default" w:ascii="Times New Roman" w:hAnsi="Times New Roman" w:eastAsia="方正仿宋_GBK" w:cs="Times New Roman"/>
          <w:sz w:val="32"/>
          <w:szCs w:val="32"/>
          <w:shd w:val="clear" w:color="auto" w:fill="FFFFFF"/>
          <w:lang w:val="en-US" w:eastAsia="zh-CN"/>
        </w:rPr>
        <w:t>导致年初预算数没有，年末数据增加。</w:t>
      </w:r>
    </w:p>
    <w:p w14:paraId="6A12BDD6">
      <w:pPr>
        <w:pStyle w:val="8"/>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卫生健康支出1.31万元，占3.4%，较年初预算数增加1.31万元，增长100.0%，主要原因是</w:t>
      </w:r>
      <w:r>
        <w:rPr>
          <w:rFonts w:hint="default" w:ascii="Times New Roman" w:hAnsi="Times New Roman" w:eastAsia="方正仿宋_GBK" w:cs="Times New Roman"/>
          <w:sz w:val="32"/>
          <w:szCs w:val="32"/>
          <w:shd w:val="clear" w:color="auto" w:fill="FFFFFF"/>
          <w:lang w:val="en-US" w:eastAsia="zh-CN"/>
        </w:rPr>
        <w:t>本单位2024年7月新成立，调入4名人员，导致年初预算数没有，年末数据增加。</w:t>
      </w:r>
    </w:p>
    <w:p w14:paraId="200363BB">
      <w:pPr>
        <w:pStyle w:val="8"/>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1.52万元，占4.0%，较年初预算数增加1.52万元，增长100.0%，主要原因是</w:t>
      </w:r>
      <w:r>
        <w:rPr>
          <w:rFonts w:hint="default" w:ascii="Times New Roman" w:hAnsi="Times New Roman" w:eastAsia="方正仿宋_GBK" w:cs="Times New Roman"/>
          <w:sz w:val="32"/>
          <w:szCs w:val="32"/>
          <w:shd w:val="clear" w:color="auto" w:fill="FFFFFF"/>
          <w:lang w:val="en-US" w:eastAsia="zh-CN"/>
        </w:rPr>
        <w:t>本单位2024年7月新成立，调入4名人员，导致年初预算数没有，年末数据增加。</w:t>
      </w:r>
    </w:p>
    <w:p w14:paraId="06304791">
      <w:pPr>
        <w:pStyle w:val="8"/>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12"/>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本单位无</w:t>
      </w:r>
      <w:r>
        <w:rPr>
          <w:rFonts w:hint="default" w:ascii="Times New Roman" w:hAnsi="Times New Roman" w:eastAsia="方正仿宋_GBK" w:cs="Times New Roman"/>
          <w:sz w:val="32"/>
          <w:szCs w:val="32"/>
          <w:shd w:val="clear" w:color="auto" w:fill="FFFFFF"/>
        </w:rPr>
        <w:t>结转结余</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与2023年</w:t>
      </w:r>
      <w:r>
        <w:rPr>
          <w:rFonts w:hint="default" w:ascii="Times New Roman" w:hAnsi="Times New Roman" w:eastAsia="方正仿宋_GBK" w:cs="Times New Roman"/>
          <w:sz w:val="32"/>
          <w:szCs w:val="32"/>
          <w:shd w:val="clear" w:color="auto" w:fill="FFFFFF"/>
          <w:lang w:eastAsia="zh-CN"/>
        </w:rPr>
        <w:t>度持平。</w:t>
      </w:r>
    </w:p>
    <w:p w14:paraId="495F0EEC">
      <w:pPr>
        <w:keepNext w:val="0"/>
        <w:keepLines w:val="0"/>
        <w:pageBreakBefore w:val="0"/>
        <w:widowControl/>
        <w:kinsoku/>
        <w:wordWrap/>
        <w:overflowPunct/>
        <w:topLinePunct w:val="0"/>
        <w:autoSpaceDN/>
        <w:bidi w:val="0"/>
        <w:adjustRightInd/>
        <w:snapToGrid w:val="0"/>
        <w:spacing w:line="600" w:lineRule="exact"/>
        <w:ind w:firstLine="640" w:firstLineChars="200"/>
        <w:textAlignment w:val="auto"/>
        <w:rPr>
          <w:rFonts w:hint="default" w:ascii="Times New Roman" w:hAnsi="Times New Roman" w:eastAsia="方正楷体_GBK" w:cs="Times New Roman"/>
          <w:color w:val="000000"/>
          <w:sz w:val="32"/>
          <w:szCs w:val="32"/>
          <w:u w:val="none"/>
          <w:lang w:eastAsia="zh-CN"/>
        </w:rPr>
      </w:pPr>
      <w:r>
        <w:rPr>
          <w:rFonts w:hint="default" w:ascii="Times New Roman" w:hAnsi="Times New Roman" w:eastAsia="方正楷体_GBK" w:cs="Times New Roman"/>
          <w:color w:val="000000"/>
          <w:sz w:val="32"/>
          <w:szCs w:val="32"/>
          <w:u w:val="none"/>
          <w:lang w:eastAsia="zh-CN"/>
        </w:rPr>
        <w:t>（四）一般公共预算财政拨款基本支出决算情况说明</w:t>
      </w:r>
    </w:p>
    <w:p w14:paraId="1F3248CC">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2024年度一般公共财政拨款基本支出38.36万元。</w:t>
      </w:r>
    </w:p>
    <w:p w14:paraId="3C1B0F57">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17AB22B3">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人员经费35.70万元，与2023年度相比，增加35.70万元，增长100.0%，主要原因是</w:t>
      </w:r>
      <w:r>
        <w:rPr>
          <w:rFonts w:hint="default" w:ascii="Times New Roman" w:hAnsi="Times New Roman" w:eastAsia="方正仿宋_GBK" w:cs="Times New Roman"/>
          <w:sz w:val="32"/>
          <w:szCs w:val="32"/>
          <w:shd w:val="clear" w:color="auto" w:fill="FFFFFF"/>
          <w:lang w:val="en-US" w:eastAsia="zh-CN"/>
        </w:rPr>
        <w:t>本单位2024年7月新成立，调入4名人员，导致费用增加。</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auto"/>
          <w:sz w:val="32"/>
          <w:szCs w:val="32"/>
          <w:highlight w:val="none"/>
          <w:shd w:val="clear" w:color="auto" w:fill="FFFFFF"/>
          <w:lang w:eastAsia="zh-CN"/>
        </w:rPr>
        <w:t>基本工资、基础绩效、超额绩效、基本医疗保险、机关事业单位基本养老保险、职业年金缴费、住房公积金等</w:t>
      </w:r>
      <w:r>
        <w:rPr>
          <w:rFonts w:hint="default" w:ascii="Times New Roman" w:hAnsi="Times New Roman" w:eastAsia="方正仿宋_GBK" w:cs="Times New Roman"/>
          <w:color w:val="auto"/>
          <w:sz w:val="32"/>
          <w:szCs w:val="32"/>
          <w:highlight w:val="none"/>
          <w:shd w:val="clear" w:color="auto" w:fill="FFFFFF"/>
        </w:rPr>
        <w:t>。</w:t>
      </w:r>
    </w:p>
    <w:p w14:paraId="2DB10C9F">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公用经费2.66万元，与2023年度相比，增加2.66万元，增长100.0%，主要原因是</w:t>
      </w:r>
      <w:r>
        <w:rPr>
          <w:rFonts w:hint="default" w:ascii="Times New Roman" w:hAnsi="Times New Roman" w:eastAsia="方正仿宋_GBK" w:cs="Times New Roman"/>
          <w:sz w:val="32"/>
          <w:szCs w:val="32"/>
          <w:shd w:val="clear" w:color="auto" w:fill="FFFFFF"/>
          <w:lang w:val="en-US" w:eastAsia="zh-CN"/>
        </w:rPr>
        <w:t>本单位2024年7月新成立，调入4名人员，导致费用增加。</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auto"/>
          <w:sz w:val="32"/>
          <w:szCs w:val="32"/>
          <w:highlight w:val="none"/>
          <w:shd w:val="clear" w:color="auto" w:fill="FFFFFF"/>
          <w:lang w:eastAsia="zh-CN"/>
        </w:rPr>
        <w:t>办公费、差旅费、维修（护）费、物业管理费、培训费、工会经费、其他商务和服务支出等费用</w:t>
      </w:r>
    </w:p>
    <w:p w14:paraId="6D4F0901">
      <w:pPr>
        <w:keepNext w:val="0"/>
        <w:keepLines w:val="0"/>
        <w:pageBreakBefore w:val="0"/>
        <w:widowControl/>
        <w:kinsoku/>
        <w:wordWrap/>
        <w:overflowPunct/>
        <w:topLinePunct w:val="0"/>
        <w:autoSpaceDN/>
        <w:bidi w:val="0"/>
        <w:adjustRightInd/>
        <w:snapToGrid w:val="0"/>
        <w:spacing w:line="600" w:lineRule="exact"/>
        <w:ind w:firstLine="640" w:firstLineChars="200"/>
        <w:textAlignment w:val="auto"/>
        <w:rPr>
          <w:rFonts w:hint="default" w:ascii="Times New Roman" w:hAnsi="Times New Roman" w:eastAsia="方正楷体_GBK" w:cs="Times New Roman"/>
          <w:color w:val="000000"/>
          <w:sz w:val="32"/>
          <w:szCs w:val="32"/>
          <w:u w:val="none"/>
          <w:lang w:eastAsia="zh-CN"/>
        </w:rPr>
      </w:pPr>
      <w:r>
        <w:rPr>
          <w:rFonts w:hint="default" w:ascii="Times New Roman" w:hAnsi="Times New Roman" w:eastAsia="方正楷体_GBK" w:cs="Times New Roman"/>
          <w:color w:val="000000"/>
          <w:sz w:val="32"/>
          <w:szCs w:val="32"/>
          <w:u w:val="none"/>
          <w:lang w:eastAsia="zh-CN"/>
        </w:rPr>
        <w:t>（五）政府性基金预算收支决算情况说明</w:t>
      </w:r>
    </w:p>
    <w:p w14:paraId="37CAE86D">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lang w:eastAsia="zh-CN"/>
        </w:rPr>
        <w:t>本单位2024年度无政府性基金预算财政拨款收支。</w:t>
      </w:r>
    </w:p>
    <w:p w14:paraId="15B09F7C">
      <w:pPr>
        <w:keepNext w:val="0"/>
        <w:keepLines w:val="0"/>
        <w:pageBreakBefore w:val="0"/>
        <w:widowControl/>
        <w:kinsoku/>
        <w:wordWrap/>
        <w:overflowPunct/>
        <w:topLinePunct w:val="0"/>
        <w:autoSpaceDN/>
        <w:bidi w:val="0"/>
        <w:adjustRightInd/>
        <w:snapToGrid w:val="0"/>
        <w:spacing w:line="600" w:lineRule="exact"/>
        <w:ind w:firstLine="640" w:firstLineChars="200"/>
        <w:textAlignment w:val="auto"/>
        <w:rPr>
          <w:rFonts w:hint="default" w:ascii="Times New Roman" w:hAnsi="Times New Roman" w:eastAsia="方正楷体_GBK" w:cs="Times New Roman"/>
          <w:color w:val="000000"/>
          <w:sz w:val="32"/>
          <w:szCs w:val="32"/>
          <w:u w:val="none"/>
          <w:lang w:eastAsia="zh-CN"/>
        </w:rPr>
      </w:pPr>
      <w:r>
        <w:rPr>
          <w:rFonts w:hint="default" w:ascii="Times New Roman" w:hAnsi="Times New Roman" w:eastAsia="方正楷体_GBK" w:cs="Times New Roman"/>
          <w:color w:val="000000"/>
          <w:sz w:val="32"/>
          <w:szCs w:val="32"/>
          <w:u w:val="none"/>
          <w:lang w:eastAsia="zh-CN"/>
        </w:rPr>
        <w:t>（六）国有资本经营预算财政拨款支出决算情况说明</w:t>
      </w:r>
    </w:p>
    <w:p w14:paraId="6C416EBC">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lang w:eastAsia="zh-CN"/>
        </w:rPr>
        <w:t>本单位2024年度无国有资本经营预算财政拨款支出。</w:t>
      </w:r>
    </w:p>
    <w:p w14:paraId="3FF6F38A">
      <w:pPr>
        <w:pStyle w:val="8"/>
        <w:keepNext w:val="0"/>
        <w:keepLines w:val="0"/>
        <w:pageBreakBefore w:val="0"/>
        <w:widowControl/>
        <w:numPr>
          <w:ilvl w:val="0"/>
          <w:numId w:val="0"/>
        </w:numPr>
        <w:tabs>
          <w:tab w:val="left" w:pos="367"/>
        </w:tabs>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lang w:val="en-US" w:eastAsia="zh-CN"/>
        </w:rPr>
        <w:t>财政拨款</w:t>
      </w:r>
      <w:r>
        <w:rPr>
          <w:rFonts w:hint="default" w:ascii="Times New Roman" w:hAnsi="Times New Roman" w:eastAsia="方正黑体_GBK" w:cs="Times New Roman"/>
          <w:sz w:val="32"/>
          <w:szCs w:val="32"/>
          <w:lang w:val="en-US" w:eastAsia="zh-CN"/>
        </w:rPr>
        <w:t>“三公”经费情况说明</w:t>
      </w:r>
    </w:p>
    <w:p w14:paraId="2F3F4C95">
      <w:pPr>
        <w:keepNext w:val="0"/>
        <w:keepLines w:val="0"/>
        <w:pageBreakBefore w:val="0"/>
        <w:widowControl/>
        <w:kinsoku/>
        <w:wordWrap/>
        <w:overflowPunct/>
        <w:topLinePunct w:val="0"/>
        <w:autoSpaceDN/>
        <w:bidi w:val="0"/>
        <w:adjustRightInd/>
        <w:snapToGrid w:val="0"/>
        <w:spacing w:line="600" w:lineRule="exact"/>
        <w:ind w:firstLine="640" w:firstLineChars="200"/>
        <w:textAlignment w:val="auto"/>
        <w:rPr>
          <w:rFonts w:hint="default" w:ascii="Times New Roman" w:hAnsi="Times New Roman" w:eastAsia="方正楷体_GBK" w:cs="Times New Roman"/>
          <w:color w:val="000000"/>
          <w:sz w:val="32"/>
          <w:szCs w:val="32"/>
          <w:u w:val="none"/>
          <w:lang w:eastAsia="zh-CN"/>
        </w:rPr>
      </w:pPr>
      <w:r>
        <w:rPr>
          <w:rFonts w:hint="default" w:ascii="Times New Roman" w:hAnsi="Times New Roman" w:eastAsia="方正楷体_GBK" w:cs="Times New Roman"/>
          <w:color w:val="000000"/>
          <w:sz w:val="32"/>
          <w:szCs w:val="32"/>
          <w:u w:val="none"/>
          <w:lang w:eastAsia="zh-CN"/>
        </w:rPr>
        <w:t>（一）“三公”经费支出总体情况说明</w:t>
      </w:r>
    </w:p>
    <w:p w14:paraId="09E0579E">
      <w:pPr>
        <w:pStyle w:val="8"/>
        <w:keepNext w:val="0"/>
        <w:keepLines w:val="0"/>
        <w:pageBreakBefore w:val="0"/>
        <w:widowControl/>
        <w:numPr>
          <w:ilvl w:val="0"/>
          <w:numId w:val="0"/>
        </w:numPr>
        <w:tabs>
          <w:tab w:val="left" w:pos="367"/>
        </w:tabs>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lang w:eastAsia="zh-CN"/>
        </w:rPr>
        <w:t>2024年度本单位未发生</w:t>
      </w:r>
      <w:r>
        <w:rPr>
          <w:rFonts w:hint="default" w:ascii="Times New Roman" w:hAnsi="Times New Roman" w:eastAsia="方正仿宋_GBK" w:cs="Times New Roman"/>
          <w:sz w:val="32"/>
          <w:szCs w:val="32"/>
          <w:shd w:val="clear" w:color="auto" w:fill="FFFFFF"/>
        </w:rPr>
        <w:t>“三公”经费支出</w:t>
      </w:r>
      <w:r>
        <w:rPr>
          <w:rFonts w:hint="default" w:ascii="Times New Roman" w:hAnsi="Times New Roman" w:eastAsia="方正仿宋_GBK" w:cs="Times New Roman"/>
          <w:sz w:val="32"/>
          <w:szCs w:val="32"/>
          <w:shd w:val="clear" w:color="auto" w:fill="FFFFFF"/>
          <w:lang w:eastAsia="zh-CN"/>
        </w:rPr>
        <w:t>，与年初预算数及上年支出数持平。</w:t>
      </w:r>
    </w:p>
    <w:p w14:paraId="573BD3AC">
      <w:pPr>
        <w:keepNext w:val="0"/>
        <w:keepLines w:val="0"/>
        <w:pageBreakBefore w:val="0"/>
        <w:widowControl/>
        <w:kinsoku/>
        <w:wordWrap/>
        <w:overflowPunct/>
        <w:topLinePunct w:val="0"/>
        <w:autoSpaceDN/>
        <w:bidi w:val="0"/>
        <w:adjustRightInd/>
        <w:snapToGrid w:val="0"/>
        <w:spacing w:line="600" w:lineRule="exact"/>
        <w:ind w:firstLine="640" w:firstLineChars="200"/>
        <w:textAlignment w:val="auto"/>
        <w:rPr>
          <w:rFonts w:hint="default" w:ascii="Times New Roman" w:hAnsi="Times New Roman" w:eastAsia="方正楷体_GBK" w:cs="Times New Roman"/>
          <w:color w:val="000000"/>
          <w:sz w:val="32"/>
          <w:szCs w:val="32"/>
          <w:u w:val="none"/>
          <w:lang w:eastAsia="zh-CN"/>
        </w:rPr>
      </w:pPr>
      <w:r>
        <w:rPr>
          <w:rFonts w:hint="default" w:ascii="Times New Roman" w:hAnsi="Times New Roman" w:eastAsia="方正楷体_GBK" w:cs="Times New Roman"/>
          <w:color w:val="000000"/>
          <w:sz w:val="32"/>
          <w:szCs w:val="32"/>
          <w:u w:val="none"/>
          <w:lang w:eastAsia="zh-CN"/>
        </w:rPr>
        <w:t>（二）“三公”经费分项支出情况</w:t>
      </w:r>
    </w:p>
    <w:p w14:paraId="05472A52">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color w:val="auto"/>
          <w:sz w:val="32"/>
          <w:szCs w:val="32"/>
          <w:highlight w:val="none"/>
          <w:shd w:val="clear" w:color="auto" w:fill="FFFFFF"/>
          <w:lang w:eastAsia="zh-CN"/>
        </w:rPr>
        <w:t>本单位未发生</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sz w:val="32"/>
          <w:szCs w:val="32"/>
          <w:shd w:val="clear" w:color="auto" w:fill="FFFFFF"/>
          <w:lang w:eastAsia="zh-CN"/>
        </w:rPr>
        <w:t>，与年初预算数及上年支出数持平。</w:t>
      </w:r>
    </w:p>
    <w:p w14:paraId="481EC743">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color w:val="auto"/>
          <w:sz w:val="32"/>
          <w:szCs w:val="32"/>
          <w:highlight w:val="none"/>
          <w:shd w:val="clear" w:color="auto" w:fill="FFFFFF"/>
          <w:lang w:eastAsia="zh-CN"/>
        </w:rPr>
        <w:t>本单位未发生</w:t>
      </w: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w:t>
      </w:r>
      <w:r>
        <w:rPr>
          <w:rFonts w:hint="default" w:ascii="Times New Roman" w:hAnsi="Times New Roman" w:eastAsia="方正仿宋_GBK" w:cs="Times New Roman"/>
          <w:sz w:val="32"/>
          <w:szCs w:val="32"/>
          <w:shd w:val="clear" w:color="auto" w:fill="FFFFFF"/>
          <w:lang w:eastAsia="zh-CN"/>
        </w:rPr>
        <w:t>与年初预算数及上年支出数持平。</w:t>
      </w:r>
    </w:p>
    <w:p w14:paraId="18F03F79">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color w:val="auto"/>
          <w:sz w:val="32"/>
          <w:szCs w:val="32"/>
          <w:highlight w:val="none"/>
          <w:shd w:val="clear" w:color="auto" w:fill="FFFFFF"/>
          <w:lang w:eastAsia="zh-CN"/>
        </w:rPr>
        <w:t>本单位未发生</w:t>
      </w: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w:t>
      </w:r>
      <w:r>
        <w:rPr>
          <w:rFonts w:hint="default" w:ascii="Times New Roman" w:hAnsi="Times New Roman" w:eastAsia="方正仿宋_GBK" w:cs="Times New Roman"/>
          <w:sz w:val="32"/>
          <w:szCs w:val="32"/>
          <w:shd w:val="clear" w:color="auto" w:fill="FFFFFF"/>
          <w:lang w:eastAsia="zh-CN"/>
        </w:rPr>
        <w:t>与年初预算数及上年支出数持平。</w:t>
      </w:r>
    </w:p>
    <w:p w14:paraId="3C93BB05">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color w:val="auto"/>
          <w:sz w:val="32"/>
          <w:szCs w:val="32"/>
          <w:highlight w:val="none"/>
          <w:shd w:val="clear" w:color="auto" w:fill="FFFFFF"/>
          <w:lang w:eastAsia="zh-CN"/>
        </w:rPr>
        <w:t>本单位未发生</w:t>
      </w: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shd w:val="clear" w:color="auto" w:fill="FFFFFF"/>
          <w:lang w:eastAsia="zh-CN"/>
        </w:rPr>
        <w:t>与年初预算数及上年支出数持平。</w:t>
      </w:r>
    </w:p>
    <w:p w14:paraId="0A11FF19">
      <w:pPr>
        <w:keepNext w:val="0"/>
        <w:keepLines w:val="0"/>
        <w:pageBreakBefore w:val="0"/>
        <w:widowControl/>
        <w:kinsoku/>
        <w:wordWrap/>
        <w:overflowPunct/>
        <w:topLinePunct w:val="0"/>
        <w:autoSpaceDN/>
        <w:bidi w:val="0"/>
        <w:adjustRightInd/>
        <w:snapToGrid w:val="0"/>
        <w:spacing w:line="600" w:lineRule="exact"/>
        <w:ind w:firstLine="640" w:firstLineChars="200"/>
        <w:textAlignment w:val="auto"/>
        <w:rPr>
          <w:rFonts w:hint="default" w:ascii="Times New Roman" w:hAnsi="Times New Roman" w:eastAsia="方正楷体_GBK" w:cs="Times New Roman"/>
          <w:color w:val="000000"/>
          <w:sz w:val="32"/>
          <w:szCs w:val="32"/>
          <w:u w:val="none"/>
          <w:lang w:eastAsia="zh-CN"/>
        </w:rPr>
      </w:pPr>
      <w:r>
        <w:rPr>
          <w:rFonts w:hint="default" w:ascii="Times New Roman" w:hAnsi="Times New Roman" w:eastAsia="方正楷体_GBK" w:cs="Times New Roman"/>
          <w:color w:val="000000"/>
          <w:sz w:val="32"/>
          <w:szCs w:val="32"/>
          <w:u w:val="none"/>
          <w:lang w:eastAsia="zh-CN"/>
        </w:rPr>
        <w:t>（三）“三公”经费实物量情况</w:t>
      </w:r>
    </w:p>
    <w:p w14:paraId="682DC174">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人均接待费0元，车均购置费0万元，车均维护费0万元。</w:t>
      </w:r>
    </w:p>
    <w:p w14:paraId="4FD6ADC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四、其他需要说明的事项</w:t>
      </w:r>
    </w:p>
    <w:p w14:paraId="0F8623E9">
      <w:pPr>
        <w:keepNext w:val="0"/>
        <w:keepLines w:val="0"/>
        <w:pageBreakBefore w:val="0"/>
        <w:widowControl/>
        <w:kinsoku/>
        <w:wordWrap/>
        <w:overflowPunct/>
        <w:topLinePunct w:val="0"/>
        <w:autoSpaceDN/>
        <w:bidi w:val="0"/>
        <w:adjustRightInd/>
        <w:snapToGrid w:val="0"/>
        <w:spacing w:line="600" w:lineRule="exact"/>
        <w:ind w:firstLine="640" w:firstLineChars="200"/>
        <w:textAlignment w:val="auto"/>
        <w:rPr>
          <w:rFonts w:hint="default" w:ascii="Times New Roman" w:hAnsi="Times New Roman" w:eastAsia="方正楷体_GBK" w:cs="Times New Roman"/>
          <w:color w:val="000000"/>
          <w:sz w:val="32"/>
          <w:szCs w:val="32"/>
          <w:u w:val="none"/>
          <w:lang w:eastAsia="zh-CN"/>
        </w:rPr>
      </w:pPr>
      <w:r>
        <w:rPr>
          <w:rFonts w:hint="default" w:ascii="Times New Roman" w:hAnsi="Times New Roman" w:eastAsia="方正楷体_GBK" w:cs="Times New Roman"/>
          <w:color w:val="000000"/>
          <w:sz w:val="32"/>
          <w:szCs w:val="32"/>
          <w:u w:val="none"/>
          <w:lang w:eastAsia="zh-CN"/>
        </w:rPr>
        <w:t>（一）财政拨款会议费、培训费和差旅费情况说明</w:t>
      </w:r>
    </w:p>
    <w:p w14:paraId="31855108">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color w:val="auto"/>
          <w:sz w:val="32"/>
          <w:szCs w:val="32"/>
          <w:highlight w:val="none"/>
          <w:shd w:val="clear" w:color="auto" w:fill="FFFFFF"/>
          <w:lang w:eastAsia="zh-CN"/>
        </w:rPr>
        <w:t>本单位未发生</w:t>
      </w:r>
      <w:r>
        <w:rPr>
          <w:rFonts w:hint="default" w:ascii="Times New Roman" w:hAnsi="Times New Roman" w:eastAsia="方正仿宋_GBK" w:cs="Times New Roman"/>
          <w:sz w:val="32"/>
          <w:szCs w:val="32"/>
          <w:shd w:val="clear" w:color="auto" w:fill="FFFFFF"/>
        </w:rPr>
        <w:t>会议费，</w:t>
      </w:r>
      <w:r>
        <w:rPr>
          <w:rFonts w:hint="default" w:ascii="Times New Roman" w:hAnsi="Times New Roman" w:eastAsia="方正仿宋_GBK" w:cs="Times New Roman"/>
          <w:sz w:val="32"/>
          <w:szCs w:val="32"/>
          <w:shd w:val="clear" w:color="auto" w:fill="FFFFFF"/>
          <w:lang w:eastAsia="zh-CN"/>
        </w:rPr>
        <w:t>与上年决算数持平。</w:t>
      </w:r>
    </w:p>
    <w:p w14:paraId="3ADEF67B">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rPr>
        <w:t>度培训费支出0.42万元，与2023年度相比，增加0.42万元，增长100.0%，主要原因是</w:t>
      </w:r>
      <w:r>
        <w:rPr>
          <w:rFonts w:hint="default" w:ascii="Times New Roman" w:hAnsi="Times New Roman" w:eastAsia="方正仿宋_GBK" w:cs="Times New Roman"/>
          <w:sz w:val="32"/>
          <w:szCs w:val="32"/>
          <w:shd w:val="clear" w:color="auto" w:fill="FFFFFF"/>
          <w:lang w:val="en-US" w:eastAsia="zh-CN"/>
        </w:rPr>
        <w:t>本单位2024年7月新成立，调入4名人员，导致费用增加</w:t>
      </w:r>
      <w:r>
        <w:rPr>
          <w:rFonts w:hint="default" w:ascii="Times New Roman" w:hAnsi="Times New Roman" w:eastAsia="方正仿宋_GBK" w:cs="Times New Roman"/>
          <w:sz w:val="32"/>
          <w:szCs w:val="32"/>
          <w:shd w:val="clear" w:color="auto" w:fill="FFFFFF"/>
          <w:lang w:eastAsia="zh-CN"/>
        </w:rPr>
        <w:t>。</w:t>
      </w:r>
    </w:p>
    <w:p w14:paraId="38B03809">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rPr>
        <w:t>年度差旅费支出0.60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与2023年度相比，增加0.60万元，增长100.0%，主要原因是</w:t>
      </w:r>
      <w:r>
        <w:rPr>
          <w:rFonts w:hint="default" w:ascii="Times New Roman" w:hAnsi="Times New Roman" w:eastAsia="方正仿宋_GBK" w:cs="Times New Roman"/>
          <w:sz w:val="32"/>
          <w:szCs w:val="32"/>
          <w:shd w:val="clear" w:color="auto" w:fill="FFFFFF"/>
          <w:lang w:val="en-US" w:eastAsia="zh-CN"/>
        </w:rPr>
        <w:t>本单位2024年7月新成立，调入4名人员，导致费用增加</w:t>
      </w:r>
      <w:r>
        <w:rPr>
          <w:rFonts w:hint="default" w:ascii="Times New Roman" w:hAnsi="Times New Roman" w:eastAsia="方正仿宋_GBK" w:cs="Times New Roman"/>
          <w:sz w:val="32"/>
          <w:szCs w:val="32"/>
          <w:shd w:val="clear" w:color="auto" w:fill="FFFFFF"/>
          <w:lang w:eastAsia="zh-CN"/>
        </w:rPr>
        <w:t>。</w:t>
      </w:r>
    </w:p>
    <w:p w14:paraId="7E19A7D6">
      <w:pPr>
        <w:keepNext w:val="0"/>
        <w:keepLines w:val="0"/>
        <w:pageBreakBefore w:val="0"/>
        <w:widowControl/>
        <w:kinsoku/>
        <w:wordWrap/>
        <w:overflowPunct/>
        <w:topLinePunct w:val="0"/>
        <w:autoSpaceDN/>
        <w:bidi w:val="0"/>
        <w:adjustRightInd/>
        <w:snapToGrid w:val="0"/>
        <w:spacing w:line="600" w:lineRule="exact"/>
        <w:ind w:firstLine="640" w:firstLineChars="200"/>
        <w:textAlignment w:val="auto"/>
        <w:rPr>
          <w:rFonts w:hint="default" w:ascii="Times New Roman" w:hAnsi="Times New Roman" w:eastAsia="方正楷体_GBK" w:cs="Times New Roman"/>
          <w:color w:val="000000"/>
          <w:sz w:val="32"/>
          <w:szCs w:val="32"/>
          <w:u w:val="none"/>
          <w:lang w:eastAsia="zh-CN"/>
        </w:rPr>
      </w:pPr>
      <w:r>
        <w:rPr>
          <w:rFonts w:hint="default" w:ascii="Times New Roman" w:hAnsi="Times New Roman" w:eastAsia="方正楷体_GBK" w:cs="Times New Roman"/>
          <w:color w:val="000000"/>
          <w:sz w:val="32"/>
          <w:szCs w:val="32"/>
          <w:u w:val="none"/>
          <w:lang w:eastAsia="zh-CN"/>
        </w:rPr>
        <w:t>（二）机关运行经费情况说明</w:t>
      </w:r>
    </w:p>
    <w:p w14:paraId="41488A6C">
      <w:pPr>
        <w:keepNext w:val="0"/>
        <w:keepLines w:val="0"/>
        <w:pageBreakBefore w:val="0"/>
        <w:widowControl/>
        <w:kinsoku/>
        <w:wordWrap/>
        <w:overflowPunct/>
        <w:topLinePunct w:val="0"/>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lang w:eastAsia="zh-CN"/>
        </w:rPr>
        <w:t>按照部门决算列报口径，本单位不在机关运行经费统计范围之内。</w:t>
      </w:r>
    </w:p>
    <w:p w14:paraId="7756FA04">
      <w:pPr>
        <w:keepNext w:val="0"/>
        <w:keepLines w:val="0"/>
        <w:pageBreakBefore w:val="0"/>
        <w:widowControl/>
        <w:kinsoku/>
        <w:wordWrap/>
        <w:overflowPunct/>
        <w:topLinePunct w:val="0"/>
        <w:autoSpaceDN/>
        <w:bidi w:val="0"/>
        <w:adjustRightInd/>
        <w:snapToGrid w:val="0"/>
        <w:spacing w:line="600" w:lineRule="exact"/>
        <w:ind w:firstLine="640" w:firstLineChars="200"/>
        <w:textAlignment w:val="auto"/>
        <w:rPr>
          <w:rFonts w:hint="default" w:ascii="Times New Roman" w:hAnsi="Times New Roman" w:eastAsia="方正楷体_GBK" w:cs="Times New Roman"/>
          <w:color w:val="000000"/>
          <w:sz w:val="32"/>
          <w:szCs w:val="32"/>
          <w:u w:val="none"/>
          <w:lang w:eastAsia="zh-CN"/>
        </w:rPr>
      </w:pPr>
      <w:r>
        <w:rPr>
          <w:rFonts w:hint="default" w:ascii="Times New Roman" w:hAnsi="Times New Roman" w:eastAsia="方正楷体_GBK" w:cs="Times New Roman"/>
          <w:color w:val="000000"/>
          <w:sz w:val="32"/>
          <w:szCs w:val="32"/>
          <w:u w:val="none"/>
          <w:lang w:eastAsia="zh-CN"/>
        </w:rPr>
        <w:t>（三）国有资产占用情况说明</w:t>
      </w:r>
    </w:p>
    <w:p w14:paraId="6AF8A6EF">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截至2024年12月31日，本部门共有车辆0辆，其中，副部（省）级及以上领导用车0辆、主要负责人用车0辆、机要通信用车0辆、应急保障用车0辆、执法执勤用车0辆，特种专业技术用车0辆，离退休干部用车0辆。单价100万元（含）以上专用设备0台（套）。</w:t>
      </w:r>
    </w:p>
    <w:p w14:paraId="282FD3D6">
      <w:pPr>
        <w:keepNext w:val="0"/>
        <w:keepLines w:val="0"/>
        <w:pageBreakBefore w:val="0"/>
        <w:widowControl/>
        <w:kinsoku/>
        <w:wordWrap/>
        <w:overflowPunct/>
        <w:topLinePunct w:val="0"/>
        <w:autoSpaceDN/>
        <w:bidi w:val="0"/>
        <w:adjustRightInd/>
        <w:snapToGrid w:val="0"/>
        <w:spacing w:line="600" w:lineRule="exact"/>
        <w:ind w:firstLine="640" w:firstLineChars="200"/>
        <w:textAlignment w:val="auto"/>
        <w:rPr>
          <w:rFonts w:hint="default" w:ascii="Times New Roman" w:hAnsi="Times New Roman" w:eastAsia="方正楷体_GBK" w:cs="Times New Roman"/>
          <w:color w:val="000000"/>
          <w:sz w:val="32"/>
          <w:szCs w:val="32"/>
          <w:u w:val="none"/>
          <w:lang w:eastAsia="zh-CN"/>
        </w:rPr>
      </w:pPr>
      <w:r>
        <w:rPr>
          <w:rFonts w:hint="default" w:ascii="Times New Roman" w:hAnsi="Times New Roman" w:eastAsia="方正楷体_GBK" w:cs="Times New Roman"/>
          <w:color w:val="000000"/>
          <w:sz w:val="32"/>
          <w:szCs w:val="32"/>
          <w:u w:val="none"/>
          <w:lang w:eastAsia="zh-CN"/>
        </w:rPr>
        <w:t>（四）</w:t>
      </w:r>
      <w:r>
        <w:rPr>
          <w:rFonts w:hint="default" w:ascii="Times New Roman" w:hAnsi="Times New Roman" w:eastAsia="方正楷体_GBK" w:cs="Times New Roman"/>
          <w:color w:val="000000"/>
          <w:sz w:val="32"/>
          <w:szCs w:val="32"/>
          <w:u w:val="none"/>
          <w:lang w:eastAsia="zh-CN"/>
        </w:rPr>
        <w:t>政府采购支出情况说明</w:t>
      </w:r>
    </w:p>
    <w:p w14:paraId="2191E5C0">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w:t>
      </w:r>
      <w:r>
        <w:rPr>
          <w:rFonts w:hint="default" w:ascii="Times New Roman" w:hAnsi="Times New Roman" w:eastAsia="方正仿宋_GBK" w:cs="Times New Roman"/>
          <w:color w:val="auto"/>
          <w:sz w:val="32"/>
          <w:szCs w:val="32"/>
          <w:highlight w:val="none"/>
          <w:shd w:val="clear" w:color="auto" w:fill="FFFFFF"/>
          <w:lang w:eastAsia="zh-CN"/>
        </w:rPr>
        <w:t>本单位未发生</w:t>
      </w:r>
      <w:r>
        <w:rPr>
          <w:rFonts w:hint="default" w:ascii="Times New Roman" w:hAnsi="Times New Roman" w:eastAsia="方正仿宋_GBK" w:cs="Times New Roman"/>
          <w:sz w:val="32"/>
          <w:szCs w:val="32"/>
          <w:shd w:val="clear" w:color="auto" w:fill="FFFFFF"/>
        </w:rPr>
        <w:t>政府采购</w:t>
      </w:r>
      <w:r>
        <w:rPr>
          <w:rFonts w:hint="default" w:ascii="Times New Roman" w:hAnsi="Times New Roman" w:eastAsia="方正仿宋_GBK" w:cs="Times New Roman"/>
          <w:sz w:val="32"/>
          <w:szCs w:val="32"/>
          <w:shd w:val="clear" w:color="auto" w:fill="FFFFFF"/>
          <w:lang w:eastAsia="zh-CN"/>
        </w:rPr>
        <w:t>事项</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无相关经费支出。</w:t>
      </w:r>
    </w:p>
    <w:p w14:paraId="30F61DAF">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2"/>
          <w:rFonts w:hint="default" w:ascii="Times New Roman" w:hAnsi="Times New Roman" w:eastAsia="方正黑体_GBK" w:cs="Times New Roman"/>
          <w:b w:val="0"/>
          <w:bCs/>
          <w:sz w:val="32"/>
          <w:szCs w:val="32"/>
          <w:shd w:val="clear" w:color="auto" w:fill="FFFFFF"/>
          <w:lang w:val="en-US" w:eastAsia="zh-CN" w:bidi="ar-SA"/>
        </w:rPr>
      </w:pPr>
      <w:r>
        <w:rPr>
          <w:rStyle w:val="12"/>
          <w:rFonts w:hint="default" w:ascii="Times New Roman" w:hAnsi="Times New Roman" w:eastAsia="方正黑体_GBK" w:cs="Times New Roman"/>
          <w:b w:val="0"/>
          <w:bCs/>
          <w:sz w:val="32"/>
          <w:szCs w:val="32"/>
          <w:shd w:val="clear" w:color="auto" w:fill="FFFFFF"/>
          <w:lang w:val="en-US" w:eastAsia="zh-CN" w:bidi="ar-SA"/>
        </w:rPr>
        <w:t>五、2024年度预算绩效管理情况说明</w:t>
      </w:r>
    </w:p>
    <w:p w14:paraId="71B8802B">
      <w:pPr>
        <w:keepNext w:val="0"/>
        <w:keepLines w:val="0"/>
        <w:pageBreakBefore w:val="0"/>
        <w:widowControl/>
        <w:kinsoku/>
        <w:wordWrap/>
        <w:overflowPunct/>
        <w:topLinePunct w:val="0"/>
        <w:autoSpaceDN/>
        <w:bidi w:val="0"/>
        <w:adjustRightInd/>
        <w:snapToGrid w:val="0"/>
        <w:spacing w:line="600" w:lineRule="exact"/>
        <w:ind w:firstLine="640" w:firstLineChars="200"/>
        <w:textAlignment w:val="auto"/>
        <w:rPr>
          <w:rFonts w:hint="default" w:ascii="Times New Roman" w:hAnsi="Times New Roman" w:eastAsia="方正楷体_GBK" w:cs="Times New Roman"/>
          <w:color w:val="000000"/>
          <w:sz w:val="32"/>
          <w:szCs w:val="32"/>
          <w:u w:val="none"/>
          <w:lang w:eastAsia="zh-CN"/>
        </w:rPr>
      </w:pPr>
      <w:r>
        <w:rPr>
          <w:rFonts w:hint="default" w:ascii="Times New Roman" w:hAnsi="Times New Roman" w:eastAsia="方正楷体_GBK" w:cs="Times New Roman"/>
          <w:color w:val="000000"/>
          <w:sz w:val="32"/>
          <w:szCs w:val="32"/>
          <w:u w:val="none"/>
          <w:lang w:eastAsia="zh-CN"/>
        </w:rPr>
        <w:t>（一）单位自评情况</w:t>
      </w:r>
    </w:p>
    <w:p w14:paraId="7C0C43F1">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lang w:val="en-US" w:eastAsia="zh-CN"/>
        </w:rPr>
        <w:t>2024年度本单位无项目资金，未组织开展预算绩效自评。</w:t>
      </w:r>
    </w:p>
    <w:p w14:paraId="3926837B">
      <w:pPr>
        <w:keepNext w:val="0"/>
        <w:keepLines w:val="0"/>
        <w:pageBreakBefore w:val="0"/>
        <w:widowControl/>
        <w:kinsoku/>
        <w:wordWrap/>
        <w:overflowPunct/>
        <w:topLinePunct w:val="0"/>
        <w:autoSpaceDN/>
        <w:bidi w:val="0"/>
        <w:adjustRightInd/>
        <w:snapToGrid w:val="0"/>
        <w:spacing w:line="600" w:lineRule="exact"/>
        <w:ind w:firstLine="640" w:firstLineChars="200"/>
        <w:textAlignment w:val="auto"/>
        <w:rPr>
          <w:rFonts w:hint="default" w:ascii="Times New Roman" w:hAnsi="Times New Roman" w:eastAsia="方正楷体_GBK" w:cs="Times New Roman"/>
          <w:color w:val="000000"/>
          <w:sz w:val="32"/>
          <w:szCs w:val="32"/>
          <w:u w:val="none"/>
          <w:lang w:eastAsia="zh-CN"/>
        </w:rPr>
      </w:pPr>
      <w:r>
        <w:rPr>
          <w:rFonts w:hint="default" w:ascii="Times New Roman" w:hAnsi="Times New Roman" w:eastAsia="方正楷体_GBK" w:cs="Times New Roman"/>
          <w:color w:val="000000"/>
          <w:sz w:val="32"/>
          <w:szCs w:val="32"/>
          <w:u w:val="none"/>
          <w:lang w:eastAsia="zh-CN"/>
        </w:rPr>
        <w:t>（二）单位绩效评价情况</w:t>
      </w:r>
    </w:p>
    <w:p w14:paraId="5B461277">
      <w:pPr>
        <w:pStyle w:val="18"/>
        <w:keepNext w:val="0"/>
        <w:keepLines w:val="0"/>
        <w:pageBreakBefore w:val="0"/>
        <w:widowControl/>
        <w:kinsoku/>
        <w:wordWrap/>
        <w:overflowPunct/>
        <w:topLinePunct w:val="0"/>
        <w:autoSpaceDE w:val="0"/>
        <w:autoSpaceDN/>
        <w:bidi w:val="0"/>
        <w:adjustRightInd/>
        <w:snapToGrid/>
        <w:spacing w:after="0" w:afterAutospacing="0" w:line="600" w:lineRule="exact"/>
        <w:ind w:left="0" w:leftChars="0" w:firstLine="640" w:firstLineChars="200"/>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lang w:val="en-US" w:eastAsia="zh-CN"/>
        </w:rPr>
        <w:t>2024年度本单位无项目资金，未组织开展预算绩效自评。</w:t>
      </w:r>
    </w:p>
    <w:p w14:paraId="16AE8044">
      <w:pPr>
        <w:keepNext w:val="0"/>
        <w:keepLines w:val="0"/>
        <w:pageBreakBefore w:val="0"/>
        <w:widowControl/>
        <w:kinsoku/>
        <w:wordWrap/>
        <w:overflowPunct/>
        <w:topLinePunct w:val="0"/>
        <w:autoSpaceDN/>
        <w:bidi w:val="0"/>
        <w:adjustRightInd/>
        <w:snapToGrid w:val="0"/>
        <w:spacing w:line="600" w:lineRule="exact"/>
        <w:ind w:firstLine="640" w:firstLineChars="200"/>
        <w:textAlignment w:val="auto"/>
        <w:rPr>
          <w:rFonts w:hint="default" w:ascii="Times New Roman" w:hAnsi="Times New Roman" w:eastAsia="方正楷体_GBK" w:cs="Times New Roman"/>
          <w:color w:val="000000"/>
          <w:sz w:val="32"/>
          <w:szCs w:val="32"/>
          <w:u w:val="none"/>
          <w:lang w:eastAsia="zh-CN"/>
        </w:rPr>
      </w:pPr>
      <w:r>
        <w:rPr>
          <w:rFonts w:hint="default" w:ascii="Times New Roman" w:hAnsi="Times New Roman" w:eastAsia="方正楷体_GBK" w:cs="Times New Roman"/>
          <w:color w:val="000000"/>
          <w:sz w:val="32"/>
          <w:szCs w:val="32"/>
          <w:u w:val="none"/>
          <w:lang w:val="en-US" w:eastAsia="zh-CN"/>
        </w:rPr>
        <w:t>（三）财政绩效评价情况</w:t>
      </w:r>
    </w:p>
    <w:p w14:paraId="043E32AD">
      <w:pPr>
        <w:pStyle w:val="18"/>
        <w:keepNext w:val="0"/>
        <w:keepLines w:val="0"/>
        <w:pageBreakBefore w:val="0"/>
        <w:widowControl/>
        <w:kinsoku/>
        <w:wordWrap/>
        <w:overflowPunct/>
        <w:topLinePunct w:val="0"/>
        <w:autoSpaceDE w:val="0"/>
        <w:autoSpaceDN/>
        <w:bidi w:val="0"/>
        <w:adjustRightInd/>
        <w:snapToGrid/>
        <w:spacing w:after="0" w:afterAutospacing="0" w:line="600" w:lineRule="exact"/>
        <w:ind w:left="0" w:leftChars="0" w:firstLine="640" w:firstLineChars="200"/>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lang w:val="en-US" w:eastAsia="zh-CN"/>
        </w:rPr>
        <w:t>2024年度本单位无项目资金，县财政局未委托第三方机构对本单位开展绩效评价。</w:t>
      </w:r>
    </w:p>
    <w:p w14:paraId="7F7E650E">
      <w:pPr>
        <w:pStyle w:val="18"/>
        <w:keepNext w:val="0"/>
        <w:keepLines w:val="0"/>
        <w:pageBreakBefore w:val="0"/>
        <w:widowControl/>
        <w:kinsoku/>
        <w:wordWrap/>
        <w:overflowPunct/>
        <w:topLinePunct w:val="0"/>
        <w:autoSpaceDE w:val="0"/>
        <w:autoSpaceDN/>
        <w:bidi w:val="0"/>
        <w:adjustRightInd/>
        <w:snapToGrid/>
        <w:spacing w:after="0" w:afterAutospacing="0" w:line="600" w:lineRule="exact"/>
        <w:ind w:left="0" w:leftChars="0" w:firstLine="640" w:firstLineChars="200"/>
        <w:textAlignment w:val="auto"/>
        <w:rPr>
          <w:rStyle w:val="12"/>
          <w:rFonts w:hint="default" w:ascii="Times New Roman" w:hAnsi="Times New Roman" w:eastAsia="方正黑体_GBK" w:cs="Times New Roman"/>
          <w:b w:val="0"/>
          <w:bCs/>
          <w:sz w:val="32"/>
          <w:szCs w:val="32"/>
          <w:shd w:val="clear" w:color="auto" w:fill="FFFFFF"/>
          <w:lang w:val="en-US" w:eastAsia="zh-CN" w:bidi="ar-SA"/>
        </w:rPr>
      </w:pPr>
      <w:r>
        <w:rPr>
          <w:rStyle w:val="12"/>
          <w:rFonts w:hint="default" w:ascii="Times New Roman" w:hAnsi="Times New Roman" w:eastAsia="方正黑体_GBK" w:cs="Times New Roman"/>
          <w:b w:val="0"/>
          <w:bCs/>
          <w:sz w:val="32"/>
          <w:szCs w:val="32"/>
          <w:shd w:val="clear" w:color="auto" w:fill="FFFFFF"/>
          <w:lang w:val="en-US" w:eastAsia="zh-CN" w:bidi="ar-SA"/>
        </w:rPr>
        <w:t>六、专业名词解释</w:t>
      </w:r>
    </w:p>
    <w:p w14:paraId="301B463D">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color w:val="000000"/>
          <w:sz w:val="32"/>
          <w:szCs w:val="32"/>
          <w:u w:val="none"/>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1146E289">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color w:val="000000"/>
          <w:sz w:val="32"/>
          <w:szCs w:val="32"/>
          <w:u w:val="none"/>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01DE8A07">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color w:val="000000"/>
          <w:sz w:val="32"/>
          <w:szCs w:val="32"/>
          <w:u w:val="none"/>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40E3D0A7">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color w:val="000000"/>
          <w:sz w:val="32"/>
          <w:szCs w:val="32"/>
          <w:u w:val="none"/>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CA4E1EF">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color w:val="000000"/>
          <w:sz w:val="32"/>
          <w:szCs w:val="32"/>
          <w:u w:val="none"/>
          <w:lang w:val="en-US" w:eastAsia="zh-CN" w:bidi="ar-SA"/>
        </w:rPr>
        <w:t>（五）使用非财政拨款结余（含专用结余）：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2C94FD19">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color w:val="000000"/>
          <w:sz w:val="32"/>
          <w:szCs w:val="32"/>
          <w:u w:val="none"/>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7543DA28">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color w:val="000000"/>
          <w:sz w:val="32"/>
          <w:szCs w:val="32"/>
          <w:u w:val="none"/>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3C545F91">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color w:val="000000"/>
          <w:sz w:val="32"/>
          <w:szCs w:val="32"/>
          <w:u w:val="none"/>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63C29F38">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color w:val="000000"/>
          <w:sz w:val="32"/>
          <w:szCs w:val="32"/>
          <w:u w:val="none"/>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2EF87E7">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color w:val="000000"/>
          <w:sz w:val="32"/>
          <w:szCs w:val="32"/>
          <w:u w:val="none"/>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0437F17B">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color w:val="000000"/>
          <w:sz w:val="32"/>
          <w:szCs w:val="32"/>
          <w:u w:val="none"/>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70D630A3">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color w:val="000000"/>
          <w:sz w:val="32"/>
          <w:szCs w:val="32"/>
          <w:u w:val="none"/>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44024EE">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color w:val="000000"/>
          <w:sz w:val="32"/>
          <w:szCs w:val="32"/>
          <w:u w:val="none"/>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BB91D93">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color w:val="000000"/>
          <w:sz w:val="32"/>
          <w:szCs w:val="32"/>
          <w:u w:val="none"/>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5AF8936A">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color w:val="000000"/>
          <w:sz w:val="32"/>
          <w:szCs w:val="32"/>
          <w:u w:val="none"/>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18BEC99E">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color w:val="000000"/>
          <w:sz w:val="32"/>
          <w:szCs w:val="32"/>
          <w:u w:val="none"/>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4DFD8B54">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color w:val="000000"/>
          <w:sz w:val="32"/>
          <w:szCs w:val="32"/>
          <w:u w:val="none"/>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2AD06866">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黑体_GBK" w:cs="Times New Roman"/>
          <w:b w:val="0"/>
          <w:bCs/>
          <w:sz w:val="32"/>
          <w:szCs w:val="32"/>
          <w:shd w:val="clear" w:color="auto" w:fill="FFFFFF"/>
          <w:lang w:val="en-US" w:eastAsia="zh-CN" w:bidi="ar-SA"/>
        </w:rPr>
        <w:t>七、决算公开联系方式及信息反馈渠道</w:t>
      </w:r>
    </w:p>
    <w:p w14:paraId="1F28C24A">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14:paraId="3D33B508">
      <w:pPr>
        <w:keepNext w:val="0"/>
        <w:keepLines w:val="0"/>
        <w:pageBreakBefore w:val="0"/>
        <w:widowControl/>
        <w:kinsoku/>
        <w:wordWrap/>
        <w:overflowPunct/>
        <w:topLinePunct w:val="0"/>
        <w:autoSpaceDN/>
        <w:bidi w:val="0"/>
        <w:adjustRightInd/>
        <w:snapToGrid w:val="0"/>
        <w:spacing w:line="600" w:lineRule="exact"/>
        <w:ind w:firstLine="640" w:firstLineChars="200"/>
        <w:textAlignment w:val="auto"/>
        <w:rPr>
          <w:rFonts w:hint="default" w:ascii="Times New Roman" w:hAnsi="Times New Roman" w:eastAsia="方正楷体_GBK" w:cs="Times New Roman"/>
          <w:color w:val="000000"/>
          <w:sz w:val="32"/>
          <w:szCs w:val="32"/>
          <w:u w:val="none"/>
          <w:lang w:val="en-US" w:eastAsia="zh-CN"/>
        </w:rPr>
      </w:pPr>
      <w:r>
        <w:rPr>
          <w:rFonts w:hint="eastAsia" w:ascii="方正仿宋_GBK" w:hAnsi="方正仿宋_GBK" w:eastAsia="方正仿宋_GBK" w:cs="方正仿宋_GBK"/>
          <w:color w:val="000000"/>
          <w:sz w:val="32"/>
          <w:szCs w:val="32"/>
          <w:u w:val="none"/>
          <w:lang w:eastAsia="zh-CN"/>
        </w:rPr>
        <w:t>彭喜梅</w:t>
      </w:r>
      <w:r>
        <w:rPr>
          <w:rFonts w:hint="eastAsia" w:ascii="Times New Roman" w:hAnsi="Times New Roman" w:eastAsia="方正楷体_GBK" w:cs="Times New Roman"/>
          <w:color w:val="000000"/>
          <w:sz w:val="32"/>
          <w:szCs w:val="32"/>
          <w:u w:val="none"/>
          <w:lang w:eastAsia="zh-CN"/>
        </w:rPr>
        <w:t>；</w:t>
      </w:r>
      <w:r>
        <w:rPr>
          <w:rFonts w:hint="default" w:ascii="Times New Roman" w:hAnsi="Times New Roman" w:eastAsia="方正楷体_GBK" w:cs="Times New Roman"/>
          <w:color w:val="000000"/>
          <w:sz w:val="32"/>
          <w:szCs w:val="32"/>
          <w:u w:val="none"/>
          <w:lang w:eastAsia="zh-CN"/>
        </w:rPr>
        <w:t>023-</w:t>
      </w:r>
      <w:r>
        <w:rPr>
          <w:rFonts w:hint="default" w:ascii="Times New Roman" w:hAnsi="Times New Roman" w:eastAsia="方正楷体_GBK" w:cs="Times New Roman"/>
          <w:color w:val="000000"/>
          <w:sz w:val="32"/>
          <w:szCs w:val="32"/>
          <w:u w:val="none"/>
          <w:lang w:val="en-US" w:eastAsia="zh-CN"/>
        </w:rPr>
        <w:t>70738505</w:t>
      </w:r>
    </w:p>
    <w:p w14:paraId="2C8A7D5E">
      <w:pPr>
        <w:keepNext w:val="0"/>
        <w:keepLines w:val="0"/>
        <w:pageBreakBefore w:val="0"/>
        <w:widowControl/>
        <w:kinsoku/>
        <w:wordWrap/>
        <w:overflowPunct/>
        <w:topLinePunct w:val="0"/>
        <w:autoSpaceDN/>
        <w:bidi w:val="0"/>
        <w:adjustRightInd/>
        <w:snapToGrid w:val="0"/>
        <w:spacing w:line="600" w:lineRule="exact"/>
        <w:ind w:firstLine="640" w:firstLineChars="200"/>
        <w:textAlignment w:val="auto"/>
        <w:rPr>
          <w:rFonts w:hint="default" w:ascii="Times New Roman" w:hAnsi="Times New Roman" w:eastAsia="方正楷体_GBK" w:cs="Times New Roman"/>
          <w:color w:val="000000"/>
          <w:sz w:val="32"/>
          <w:szCs w:val="32"/>
          <w:u w:val="none"/>
          <w:lang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47F32C2A">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CF7F163">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313921C7">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BB2C0E7">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A3091B3">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C95C42C">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C33494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01</w:t>
            </w:r>
            <w:r>
              <w:rPr>
                <w:rFonts w:hint="default" w:ascii="Times New Roman" w:hAnsi="Times New Roman" w:cs="Times New Roman"/>
                <w:color w:val="000000"/>
                <w:sz w:val="20"/>
                <w:szCs w:val="20"/>
              </w:rPr>
              <w:t>表</w:t>
            </w:r>
          </w:p>
        </w:tc>
      </w:tr>
      <w:tr w14:paraId="375ADB74">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D5A40F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丰都县贸易促进中心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B9CCBF0">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1EE68D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240A4F9">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7C10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1136C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292366F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199A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BC28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F1F4E">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2AD6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2F2879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927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A003D">
            <w:pPr>
              <w:wordWrap/>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38.36</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B7D1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5711E">
            <w:pPr>
              <w:wordWrap/>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28.88</w:t>
            </w:r>
          </w:p>
        </w:tc>
      </w:tr>
      <w:tr w14:paraId="5E8423F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E86F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5E7E8">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E756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BE045">
            <w:pPr>
              <w:wordWrap/>
              <w:spacing w:line="200" w:lineRule="exact"/>
              <w:jc w:val="center"/>
              <w:textAlignment w:val="center"/>
              <w:rPr>
                <w:rFonts w:hint="default" w:ascii="Times New Roman" w:hAnsi="Times New Roman" w:cs="Times New Roman"/>
                <w:color w:val="000000"/>
                <w:sz w:val="20"/>
                <w:szCs w:val="20"/>
              </w:rPr>
            </w:pPr>
          </w:p>
        </w:tc>
      </w:tr>
      <w:tr w14:paraId="2376F3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32D1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879C9">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DACA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6482F">
            <w:pPr>
              <w:wordWrap/>
              <w:spacing w:line="200" w:lineRule="exact"/>
              <w:jc w:val="center"/>
              <w:textAlignment w:val="center"/>
              <w:rPr>
                <w:rFonts w:hint="default" w:ascii="Times New Roman" w:hAnsi="Times New Roman" w:cs="Times New Roman"/>
                <w:color w:val="000000"/>
                <w:sz w:val="20"/>
                <w:szCs w:val="20"/>
              </w:rPr>
            </w:pPr>
          </w:p>
        </w:tc>
      </w:tr>
      <w:tr w14:paraId="2705BC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1427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8B11B">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46A0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E3D87">
            <w:pPr>
              <w:wordWrap/>
              <w:spacing w:line="200" w:lineRule="exact"/>
              <w:jc w:val="center"/>
              <w:textAlignment w:val="center"/>
              <w:rPr>
                <w:rFonts w:hint="default" w:ascii="Times New Roman" w:hAnsi="Times New Roman" w:cs="Times New Roman"/>
                <w:color w:val="000000"/>
                <w:sz w:val="20"/>
                <w:szCs w:val="20"/>
              </w:rPr>
            </w:pPr>
          </w:p>
        </w:tc>
      </w:tr>
      <w:tr w14:paraId="3C4802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71AB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11A4C">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AFBB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7C4DF">
            <w:pPr>
              <w:wordWrap/>
              <w:spacing w:line="200" w:lineRule="exact"/>
              <w:jc w:val="center"/>
              <w:textAlignment w:val="center"/>
              <w:rPr>
                <w:rFonts w:hint="default" w:ascii="Times New Roman" w:hAnsi="Times New Roman" w:cs="Times New Roman"/>
                <w:color w:val="000000"/>
                <w:sz w:val="20"/>
                <w:szCs w:val="20"/>
              </w:rPr>
            </w:pPr>
          </w:p>
        </w:tc>
      </w:tr>
      <w:tr w14:paraId="21EFB3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D187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212FE">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E845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50976">
            <w:pPr>
              <w:wordWrap/>
              <w:spacing w:line="200" w:lineRule="exact"/>
              <w:jc w:val="center"/>
              <w:textAlignment w:val="center"/>
              <w:rPr>
                <w:rFonts w:hint="default" w:ascii="Times New Roman" w:hAnsi="Times New Roman" w:cs="Times New Roman"/>
                <w:color w:val="000000"/>
                <w:sz w:val="20"/>
                <w:szCs w:val="20"/>
              </w:rPr>
            </w:pPr>
          </w:p>
        </w:tc>
      </w:tr>
      <w:tr w14:paraId="0B5B61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7159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C3E7B">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CAD5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A397D">
            <w:pPr>
              <w:wordWrap/>
              <w:spacing w:line="200" w:lineRule="exact"/>
              <w:jc w:val="center"/>
              <w:textAlignment w:val="center"/>
              <w:rPr>
                <w:rFonts w:hint="default" w:ascii="Times New Roman" w:hAnsi="Times New Roman" w:cs="Times New Roman"/>
                <w:color w:val="000000"/>
                <w:sz w:val="20"/>
                <w:szCs w:val="20"/>
              </w:rPr>
            </w:pPr>
          </w:p>
        </w:tc>
      </w:tr>
      <w:tr w14:paraId="0ED831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0253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8005385">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DF98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645B3">
            <w:pPr>
              <w:wordWrap/>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6.65</w:t>
            </w:r>
          </w:p>
        </w:tc>
      </w:tr>
      <w:tr w14:paraId="6C6C13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E3E23">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B54FF7">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58A2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5FF35">
            <w:pPr>
              <w:wordWrap/>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w:t>
            </w:r>
          </w:p>
        </w:tc>
      </w:tr>
      <w:tr w14:paraId="564D2A6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008FF">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DC5279">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245E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8FA02">
            <w:pPr>
              <w:wordWrap/>
              <w:spacing w:line="200" w:lineRule="exact"/>
              <w:jc w:val="center"/>
              <w:textAlignment w:val="center"/>
              <w:rPr>
                <w:rFonts w:hint="default" w:ascii="Times New Roman" w:hAnsi="Times New Roman" w:cs="Times New Roman"/>
                <w:color w:val="000000"/>
                <w:sz w:val="20"/>
                <w:szCs w:val="20"/>
              </w:rPr>
            </w:pPr>
          </w:p>
        </w:tc>
      </w:tr>
      <w:tr w14:paraId="704FE6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F7A3C">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C0FDD2">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420B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D6E97">
            <w:pPr>
              <w:wordWrap/>
              <w:spacing w:line="200" w:lineRule="exact"/>
              <w:jc w:val="center"/>
              <w:textAlignment w:val="center"/>
              <w:rPr>
                <w:rFonts w:hint="default" w:ascii="Times New Roman" w:hAnsi="Times New Roman" w:cs="Times New Roman"/>
                <w:color w:val="000000"/>
                <w:sz w:val="20"/>
                <w:szCs w:val="20"/>
              </w:rPr>
            </w:pPr>
          </w:p>
        </w:tc>
      </w:tr>
      <w:tr w14:paraId="3DDF28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8A654">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C5DBF4">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B12D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AA495">
            <w:pPr>
              <w:wordWrap/>
              <w:spacing w:line="200" w:lineRule="exact"/>
              <w:jc w:val="center"/>
              <w:textAlignment w:val="center"/>
              <w:rPr>
                <w:rFonts w:hint="default" w:ascii="Times New Roman" w:hAnsi="Times New Roman" w:cs="Times New Roman"/>
                <w:color w:val="000000"/>
                <w:sz w:val="20"/>
                <w:szCs w:val="20"/>
              </w:rPr>
            </w:pPr>
          </w:p>
        </w:tc>
      </w:tr>
      <w:tr w14:paraId="06D721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CAC82">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5A9B2">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C282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973B1">
            <w:pPr>
              <w:wordWrap/>
              <w:spacing w:line="200" w:lineRule="exact"/>
              <w:jc w:val="center"/>
              <w:textAlignment w:val="center"/>
              <w:rPr>
                <w:rFonts w:hint="default" w:ascii="Times New Roman" w:hAnsi="Times New Roman" w:cs="Times New Roman"/>
                <w:color w:val="000000"/>
                <w:sz w:val="20"/>
                <w:szCs w:val="20"/>
              </w:rPr>
            </w:pPr>
          </w:p>
        </w:tc>
      </w:tr>
      <w:tr w14:paraId="04C949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B5C92">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84BED">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8C77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3220D">
            <w:pPr>
              <w:wordWrap/>
              <w:spacing w:line="200" w:lineRule="exact"/>
              <w:jc w:val="center"/>
              <w:textAlignment w:val="center"/>
              <w:rPr>
                <w:rFonts w:hint="default" w:ascii="Times New Roman" w:hAnsi="Times New Roman" w:cs="Times New Roman"/>
                <w:color w:val="000000"/>
                <w:sz w:val="20"/>
                <w:szCs w:val="20"/>
              </w:rPr>
            </w:pPr>
          </w:p>
        </w:tc>
      </w:tr>
      <w:tr w14:paraId="72EE48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D89E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8DDE9">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9037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87E7A">
            <w:pPr>
              <w:wordWrap/>
              <w:spacing w:line="200" w:lineRule="exact"/>
              <w:jc w:val="center"/>
              <w:textAlignment w:val="center"/>
              <w:rPr>
                <w:rFonts w:hint="default" w:ascii="Times New Roman" w:hAnsi="Times New Roman" w:cs="Times New Roman"/>
                <w:color w:val="000000"/>
                <w:sz w:val="20"/>
                <w:szCs w:val="20"/>
              </w:rPr>
            </w:pPr>
          </w:p>
        </w:tc>
      </w:tr>
      <w:tr w14:paraId="3DB775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CE3D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349CF">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C825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4D47D">
            <w:pPr>
              <w:wordWrap/>
              <w:spacing w:line="200" w:lineRule="exact"/>
              <w:jc w:val="center"/>
              <w:textAlignment w:val="center"/>
              <w:rPr>
                <w:rFonts w:hint="default" w:ascii="Times New Roman" w:hAnsi="Times New Roman" w:cs="Times New Roman"/>
                <w:color w:val="000000"/>
                <w:sz w:val="20"/>
                <w:szCs w:val="20"/>
              </w:rPr>
            </w:pPr>
          </w:p>
        </w:tc>
      </w:tr>
      <w:tr w14:paraId="4583D8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7008B">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129E8">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9E79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8B8DD">
            <w:pPr>
              <w:wordWrap/>
              <w:spacing w:line="200" w:lineRule="exact"/>
              <w:jc w:val="center"/>
              <w:textAlignment w:val="center"/>
              <w:rPr>
                <w:rFonts w:hint="default" w:ascii="Times New Roman" w:hAnsi="Times New Roman" w:cs="Times New Roman"/>
                <w:color w:val="000000"/>
                <w:sz w:val="20"/>
                <w:szCs w:val="20"/>
              </w:rPr>
            </w:pPr>
          </w:p>
        </w:tc>
      </w:tr>
      <w:tr w14:paraId="77DF58D8">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5781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A69A2">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CBCF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3CFE5">
            <w:pPr>
              <w:wordWrap/>
              <w:spacing w:line="200" w:lineRule="exact"/>
              <w:jc w:val="center"/>
              <w:textAlignment w:val="center"/>
              <w:rPr>
                <w:rFonts w:hint="default" w:ascii="Times New Roman" w:hAnsi="Times New Roman" w:cs="Times New Roman"/>
                <w:color w:val="000000"/>
                <w:sz w:val="20"/>
                <w:szCs w:val="20"/>
              </w:rPr>
            </w:pPr>
          </w:p>
        </w:tc>
      </w:tr>
      <w:tr w14:paraId="5A1F8B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34CE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24622">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BB9A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239AA">
            <w:pPr>
              <w:wordWrap/>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w:t>
            </w:r>
          </w:p>
        </w:tc>
      </w:tr>
      <w:tr w14:paraId="0C8BBB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23DED">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B9C3D">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551D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F832C">
            <w:pPr>
              <w:wordWrap/>
              <w:spacing w:line="200" w:lineRule="exact"/>
              <w:jc w:val="center"/>
              <w:textAlignment w:val="center"/>
              <w:rPr>
                <w:rFonts w:hint="default" w:ascii="Times New Roman" w:hAnsi="Times New Roman" w:cs="Times New Roman"/>
                <w:color w:val="000000"/>
                <w:sz w:val="20"/>
                <w:szCs w:val="20"/>
              </w:rPr>
            </w:pPr>
          </w:p>
        </w:tc>
      </w:tr>
      <w:tr w14:paraId="631EB3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09869">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7D826">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6203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AA213">
            <w:pPr>
              <w:wordWrap/>
              <w:spacing w:line="200" w:lineRule="exact"/>
              <w:jc w:val="center"/>
              <w:textAlignment w:val="center"/>
              <w:rPr>
                <w:rFonts w:hint="default" w:ascii="Times New Roman" w:hAnsi="Times New Roman" w:cs="Times New Roman"/>
                <w:color w:val="000000"/>
                <w:sz w:val="20"/>
                <w:szCs w:val="20"/>
              </w:rPr>
            </w:pPr>
          </w:p>
        </w:tc>
      </w:tr>
      <w:tr w14:paraId="3A5149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9F4F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2C6E7">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F0AE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F0CD6">
            <w:pPr>
              <w:wordWrap/>
              <w:spacing w:line="200" w:lineRule="exact"/>
              <w:jc w:val="center"/>
              <w:textAlignment w:val="center"/>
              <w:rPr>
                <w:rFonts w:hint="default" w:ascii="Times New Roman" w:hAnsi="Times New Roman" w:cs="Times New Roman"/>
                <w:color w:val="000000"/>
                <w:sz w:val="20"/>
                <w:szCs w:val="20"/>
              </w:rPr>
            </w:pPr>
          </w:p>
        </w:tc>
      </w:tr>
      <w:tr w14:paraId="4A8113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19BC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95210">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3276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6D105">
            <w:pPr>
              <w:wordWrap/>
              <w:spacing w:line="200" w:lineRule="exact"/>
              <w:jc w:val="center"/>
              <w:textAlignment w:val="center"/>
              <w:rPr>
                <w:rFonts w:hint="default" w:ascii="Times New Roman" w:hAnsi="Times New Roman" w:cs="Times New Roman"/>
                <w:color w:val="000000"/>
                <w:sz w:val="20"/>
                <w:szCs w:val="20"/>
              </w:rPr>
            </w:pPr>
          </w:p>
        </w:tc>
      </w:tr>
      <w:tr w14:paraId="774A74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AF1EF">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70178">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845C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A6780">
            <w:pPr>
              <w:wordWrap/>
              <w:spacing w:line="200" w:lineRule="exact"/>
              <w:jc w:val="center"/>
              <w:textAlignment w:val="center"/>
              <w:rPr>
                <w:rFonts w:hint="default" w:ascii="Times New Roman" w:hAnsi="Times New Roman" w:cs="Times New Roman"/>
                <w:color w:val="000000"/>
                <w:sz w:val="20"/>
                <w:szCs w:val="20"/>
              </w:rPr>
            </w:pPr>
          </w:p>
        </w:tc>
      </w:tr>
      <w:tr w14:paraId="1684D2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0227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0F3CF">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879D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813E2">
            <w:pPr>
              <w:wordWrap/>
              <w:spacing w:line="200" w:lineRule="exact"/>
              <w:jc w:val="center"/>
              <w:textAlignment w:val="center"/>
              <w:rPr>
                <w:rFonts w:hint="default" w:ascii="Times New Roman" w:hAnsi="Times New Roman" w:cs="Times New Roman"/>
                <w:color w:val="000000"/>
                <w:sz w:val="20"/>
                <w:szCs w:val="20"/>
              </w:rPr>
            </w:pPr>
          </w:p>
        </w:tc>
      </w:tr>
      <w:tr w14:paraId="23B9961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5C67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7E0AA">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2BAD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A5C1C">
            <w:pPr>
              <w:wordWrap/>
              <w:spacing w:line="200" w:lineRule="exact"/>
              <w:jc w:val="center"/>
              <w:textAlignment w:val="center"/>
              <w:rPr>
                <w:rFonts w:hint="default" w:ascii="Times New Roman" w:hAnsi="Times New Roman" w:cs="Times New Roman"/>
                <w:color w:val="000000"/>
                <w:sz w:val="20"/>
                <w:szCs w:val="20"/>
              </w:rPr>
            </w:pPr>
          </w:p>
        </w:tc>
      </w:tr>
      <w:tr w14:paraId="68B46F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D01E0">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AB017">
            <w:pPr>
              <w:wordWrap/>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38.36</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1D303">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4DC09">
            <w:pPr>
              <w:wordWrap/>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38.36</w:t>
            </w:r>
          </w:p>
        </w:tc>
      </w:tr>
      <w:tr w14:paraId="759AC21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96B6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0DB5F">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AB76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A36EC">
            <w:pPr>
              <w:wordWrap/>
              <w:spacing w:line="200" w:lineRule="exact"/>
              <w:jc w:val="center"/>
              <w:textAlignment w:val="center"/>
              <w:rPr>
                <w:rFonts w:hint="default" w:ascii="Times New Roman" w:hAnsi="Times New Roman" w:cs="Times New Roman"/>
                <w:color w:val="000000"/>
                <w:sz w:val="20"/>
                <w:szCs w:val="20"/>
              </w:rPr>
            </w:pPr>
          </w:p>
        </w:tc>
      </w:tr>
      <w:tr w14:paraId="06BD6A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7F14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114B2">
            <w:pPr>
              <w:wordWrap/>
              <w:spacing w:line="200" w:lineRule="exact"/>
              <w:jc w:val="center"/>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F456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6560754">
            <w:pPr>
              <w:wordWrap/>
              <w:spacing w:line="200" w:lineRule="exact"/>
              <w:jc w:val="center"/>
              <w:textAlignment w:val="center"/>
              <w:rPr>
                <w:rFonts w:hint="default" w:ascii="Times New Roman" w:hAnsi="Times New Roman" w:cs="Times New Roman"/>
                <w:color w:val="000000"/>
                <w:sz w:val="20"/>
                <w:szCs w:val="20"/>
              </w:rPr>
            </w:pPr>
          </w:p>
        </w:tc>
      </w:tr>
      <w:tr w14:paraId="6DC72273">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A19DD">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FF6A">
            <w:pPr>
              <w:wordWrap/>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38.36</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E0EDB8E">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692DD7">
            <w:pPr>
              <w:wordWrap/>
              <w:spacing w:line="20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38.36</w:t>
            </w:r>
          </w:p>
        </w:tc>
      </w:tr>
    </w:tbl>
    <w:p w14:paraId="30CFCC3E">
      <w:pPr>
        <w:rPr>
          <w:rFonts w:hint="default" w:ascii="Times New Roman" w:hAnsi="Times New Roman" w:cs="Times New Roman"/>
          <w:sz w:val="21"/>
          <w:szCs w:val="21"/>
        </w:rPr>
      </w:pPr>
    </w:p>
    <w:p w14:paraId="2745596E">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default" w:ascii="Times New Roman" w:hAnsi="Times New Roman" w:cs="Times New Roman"/>
          <w:sz w:val="18"/>
          <w:szCs w:val="18"/>
          <w:lang w:eastAsia="zh-CN"/>
        </w:rPr>
        <w:t>单位</w:t>
      </w:r>
      <w:r>
        <w:rPr>
          <w:rFonts w:hint="default" w:ascii="Times New Roman" w:hAnsi="Times New Roman" w:cs="Times New Roman"/>
          <w:sz w:val="20"/>
          <w:szCs w:val="20"/>
        </w:rPr>
        <w:t>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9"/>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34C8BC07">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4309824">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1C490C42">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0ACA952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丰都县贸易促进中心</w:t>
            </w:r>
          </w:p>
        </w:tc>
        <w:tc>
          <w:tcPr>
            <w:tcW w:w="461" w:type="pct"/>
            <w:tcBorders>
              <w:top w:val="nil"/>
              <w:left w:val="nil"/>
              <w:bottom w:val="nil"/>
              <w:right w:val="nil"/>
            </w:tcBorders>
            <w:shd w:val="clear" w:color="auto" w:fill="auto"/>
            <w:noWrap/>
            <w:tcMar>
              <w:top w:w="15" w:type="dxa"/>
              <w:left w:w="15" w:type="dxa"/>
              <w:right w:w="15" w:type="dxa"/>
            </w:tcMar>
            <w:vAlign w:val="bottom"/>
          </w:tcPr>
          <w:p w14:paraId="66BC9D5F">
            <w:pPr>
              <w:rPr>
                <w:rFonts w:hint="default" w:ascii="Times New Roman" w:hAnsi="Times New Roman" w:cs="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3E521E05">
            <w:pPr>
              <w:rPr>
                <w:rFonts w:hint="default" w:ascii="Times New Roman" w:hAnsi="Times New Roman" w:cs="Times New Roman"/>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762EFBAC">
            <w:pPr>
              <w:rPr>
                <w:rFonts w:hint="default" w:ascii="Times New Roman" w:hAnsi="Times New Roman" w:cs="Times New Roman"/>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57B151FC">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639DCA3">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19CAB82">
            <w:pPr>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3196DEA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02</w:t>
            </w:r>
            <w:r>
              <w:rPr>
                <w:rFonts w:hint="default" w:ascii="Times New Roman" w:hAnsi="Times New Roman" w:cs="Times New Roman"/>
                <w:color w:val="000000"/>
                <w:sz w:val="20"/>
                <w:szCs w:val="20"/>
              </w:rPr>
              <w:t>表</w:t>
            </w:r>
          </w:p>
        </w:tc>
      </w:tr>
      <w:tr w14:paraId="0BA3B68E">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4BE5FC86">
            <w:pPr>
              <w:rPr>
                <w:rFonts w:hint="default" w:ascii="Times New Roman" w:hAnsi="Times New Roman" w:cs="Times New Roman"/>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576DA38E">
            <w:pPr>
              <w:rPr>
                <w:rFonts w:hint="default" w:ascii="Times New Roman" w:hAnsi="Times New Roman" w:cs="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2C7418AD">
            <w:pPr>
              <w:rPr>
                <w:rFonts w:hint="default" w:ascii="Times New Roman" w:hAnsi="Times New Roman" w:cs="Times New Roman"/>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6DFB40BC">
            <w:pPr>
              <w:rPr>
                <w:rFonts w:hint="default" w:ascii="Times New Roman" w:hAnsi="Times New Roman" w:cs="Times New Roman"/>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5E3707FA">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383E44A">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AE42612">
            <w:pPr>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63CAD40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ADA41C1">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45CADB0">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E289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9A72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A00C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FA1434">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E7AF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8C23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AC29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5EE533EC">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6CF2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681264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9EAAC">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C7230">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9F25D">
            <w:pPr>
              <w:jc w:val="center"/>
              <w:rPr>
                <w:rFonts w:hint="default" w:ascii="Times New Roman" w:hAnsi="Times New Roman" w:cs="Times New Roman"/>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0F61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F9D9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5420A">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2E8F1">
            <w:pP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7232A">
            <w:pPr>
              <w:jc w:val="center"/>
              <w:rPr>
                <w:rFonts w:hint="default" w:ascii="Times New Roman" w:hAnsi="Times New Roman" w:cs="Times New Roman"/>
                <w:b/>
                <w:color w:val="000000"/>
                <w:sz w:val="20"/>
                <w:szCs w:val="20"/>
              </w:rPr>
            </w:pPr>
          </w:p>
        </w:tc>
      </w:tr>
      <w:tr w14:paraId="689AB31E">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04A44">
            <w:pPr>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28A2F8E">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6A9E6">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25EF8">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9E1CA">
            <w:pPr>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F057E">
            <w:pPr>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BCC54">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059B9">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B4FA0">
            <w:pP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820EF">
            <w:pPr>
              <w:jc w:val="center"/>
              <w:rPr>
                <w:rFonts w:hint="default" w:ascii="Times New Roman" w:hAnsi="Times New Roman" w:cs="Times New Roman"/>
                <w:b/>
                <w:color w:val="000000"/>
                <w:sz w:val="20"/>
                <w:szCs w:val="20"/>
              </w:rPr>
            </w:pPr>
          </w:p>
        </w:tc>
      </w:tr>
      <w:tr w14:paraId="1CCACEF3">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5DFC4">
            <w:pPr>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923DE93">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87ABF">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5CC49">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48BF2">
            <w:pPr>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DDE91">
            <w:pPr>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D6395">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F8082">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F5698">
            <w:pP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8A35C">
            <w:pPr>
              <w:jc w:val="center"/>
              <w:rPr>
                <w:rFonts w:hint="default" w:ascii="Times New Roman" w:hAnsi="Times New Roman" w:cs="Times New Roman"/>
                <w:b/>
                <w:color w:val="000000"/>
                <w:sz w:val="20"/>
                <w:szCs w:val="20"/>
              </w:rPr>
            </w:pPr>
          </w:p>
        </w:tc>
      </w:tr>
      <w:tr w14:paraId="1F06F840">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AA8F7">
            <w:pPr>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38C777B">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29B7F">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6286F">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4BF85">
            <w:pPr>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2983A">
            <w:pPr>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84E30">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CB37A">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972B9">
            <w:pP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73894">
            <w:pPr>
              <w:jc w:val="center"/>
              <w:rPr>
                <w:rFonts w:hint="default" w:ascii="Times New Roman" w:hAnsi="Times New Roman" w:cs="Times New Roman"/>
                <w:b/>
                <w:color w:val="000000"/>
                <w:sz w:val="20"/>
                <w:szCs w:val="20"/>
              </w:rPr>
            </w:pPr>
          </w:p>
        </w:tc>
      </w:tr>
      <w:tr w14:paraId="3B273CAE">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6773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7E9AC">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38.36</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8824B">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38.36</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51F99">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DD357">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A1BC1">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24C8F">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4A55C">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52E69">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60CDA14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ADF2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F7EE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16E09">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58798">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9B71B">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B841A">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CB1F6">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B38D2">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1C089">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D6DB0">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C34668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1FB4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DB85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DB4BC">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A2D34">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DDD86">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13229">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E8B0E">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51133">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1E601">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71B63">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6F9EA7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98A3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B8A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45906">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76356">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4531C">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BA704">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A4935">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E3163">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9E3D4">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D6696">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2AD79F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4BDC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85C5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BE86C">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6FA8D">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AAEA0">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B22B3">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5597D">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8D7AD">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EB802">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4E4C4">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C05C2D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9158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1FD2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03DB5">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98562">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7C5D9">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A943F">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4293">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B317C">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3A73C">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5B2B7">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6EBCF7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AF1E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FEC4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8FB48">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BB1E8">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D2E4B">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5B422">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8F4E5">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28CF2">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3C68D">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F257A">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26673A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B4F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CBC1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35452">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5B0C6">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B0257">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D2A72">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65BE2">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F841C">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D2CB6">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15AAF">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41CAFA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1D5D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620B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EBCCB">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176D0">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73BD4">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DB8DF">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F6AC8">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E8D4E">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00AE6">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65C2A">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78A150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C308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0C3A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7668">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D9A4">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D6405">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55EA9">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F07D6">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754B8">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7E92A">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42821">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B3FA41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A79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50B8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96D99">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0C88A">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C9B08">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7D5EA">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8628C">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A2DE7">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98B8">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1BBBF">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C23D0F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BEBD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E3D1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8F541">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DA1F6">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F6C7B">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A3B5D">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4A0BD">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2B104">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31195">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AEFEC">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083D0A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A46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ED53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3E34C">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7F0C6">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95FF">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8AFF0">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3D876">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3CF8E">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67FA">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33270">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EDB661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E6A4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C9C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F67CD">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C7C45">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FC9E3">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BB9E2">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9F371">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6D336">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DFCB2">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8E7BA">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B40CA7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AA0C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12E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010DD">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34810">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FF2B5">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728EE">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99323">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840E9">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0DD8E">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E08A5">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bl>
    <w:p w14:paraId="31D6946E">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default" w:ascii="Times New Roman" w:hAnsi="Times New Roman" w:cs="Times New Roman"/>
          <w:sz w:val="18"/>
          <w:szCs w:val="18"/>
          <w:lang w:eastAsia="zh-CN"/>
        </w:rPr>
        <w:t>单位</w:t>
      </w:r>
      <w:r>
        <w:rPr>
          <w:rFonts w:hint="default" w:ascii="Times New Roman" w:hAnsi="Times New Roman" w:cs="Times New Roman"/>
          <w:sz w:val="20"/>
          <w:szCs w:val="20"/>
        </w:rPr>
        <w:t>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2DE3D47">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9"/>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0F799160">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DDE1F01">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54D67DEE">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543B81B7">
            <w:pPr>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丰都县贸易促进中心 </w:t>
            </w:r>
          </w:p>
        </w:tc>
        <w:tc>
          <w:tcPr>
            <w:tcW w:w="567" w:type="pct"/>
            <w:tcBorders>
              <w:top w:val="nil"/>
              <w:left w:val="nil"/>
              <w:bottom w:val="nil"/>
              <w:right w:val="nil"/>
            </w:tcBorders>
            <w:shd w:val="clear" w:color="auto" w:fill="auto"/>
            <w:noWrap/>
            <w:tcMar>
              <w:top w:w="15" w:type="dxa"/>
              <w:left w:w="15" w:type="dxa"/>
              <w:right w:w="15" w:type="dxa"/>
            </w:tcMar>
            <w:vAlign w:val="bottom"/>
          </w:tcPr>
          <w:p w14:paraId="75A02552">
            <w:pPr>
              <w:rPr>
                <w:rFonts w:hint="default" w:ascii="Times New Roman" w:hAnsi="Times New Roman" w:cs="Times New Roman"/>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24F202F4">
            <w:pPr>
              <w:rPr>
                <w:rFonts w:hint="default" w:ascii="Times New Roman" w:hAnsi="Times New Roman" w:cs="Times New Roman"/>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79502504">
            <w:pPr>
              <w:rPr>
                <w:rFonts w:hint="default" w:ascii="Times New Roman" w:hAnsi="Times New Roman"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4A7097FB">
            <w:pPr>
              <w:rPr>
                <w:rFonts w:hint="default" w:ascii="Times New Roman" w:hAnsi="Times New Roman" w:cs="Times New Roman"/>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00B56ED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03</w:t>
            </w:r>
            <w:r>
              <w:rPr>
                <w:rFonts w:hint="default" w:ascii="Times New Roman" w:hAnsi="Times New Roman" w:cs="Times New Roman"/>
                <w:color w:val="000000"/>
                <w:sz w:val="20"/>
                <w:szCs w:val="20"/>
              </w:rPr>
              <w:t>表</w:t>
            </w:r>
          </w:p>
        </w:tc>
      </w:tr>
      <w:tr w14:paraId="388EFCEB">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2F0547ED">
            <w:pPr>
              <w:rPr>
                <w:rFonts w:hint="default" w:ascii="Times New Roman" w:hAnsi="Times New Roman" w:cs="Times New Roman"/>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7AC6DC9D">
            <w:pPr>
              <w:rPr>
                <w:rFonts w:hint="default" w:ascii="Times New Roman" w:hAnsi="Times New Roman" w:cs="Times New Roman"/>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5DE790D6">
            <w:pPr>
              <w:rPr>
                <w:rFonts w:hint="default" w:ascii="Times New Roman" w:hAnsi="Times New Roman" w:cs="Times New Roman"/>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29146810">
            <w:pPr>
              <w:rPr>
                <w:rFonts w:hint="default" w:ascii="Times New Roman" w:hAnsi="Times New Roman"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031F58C1">
            <w:pPr>
              <w:rPr>
                <w:rFonts w:hint="default" w:ascii="Times New Roman" w:hAnsi="Times New Roman" w:cs="Times New Roman"/>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0F38C3C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2A9916D">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95C616">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889B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9B92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69DA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0AD3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0872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A621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3EEDA9E8">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4497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6EC629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39A1A">
            <w:pP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DB8D5">
            <w:pP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FDBD7">
            <w:pP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D6478">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114A2">
            <w:pP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DEE4E">
            <w:pPr>
              <w:jc w:val="center"/>
              <w:rPr>
                <w:rFonts w:hint="default" w:ascii="Times New Roman" w:hAnsi="Times New Roman" w:cs="Times New Roman"/>
                <w:b/>
                <w:color w:val="000000"/>
                <w:sz w:val="20"/>
                <w:szCs w:val="20"/>
              </w:rPr>
            </w:pPr>
          </w:p>
        </w:tc>
      </w:tr>
      <w:tr w14:paraId="385822FB">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DF95B">
            <w:pPr>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5D98D28">
            <w:pPr>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159BB">
            <w:pP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2CD03">
            <w:pP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AB395">
            <w:pP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06303">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1640E">
            <w:pP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47C6E">
            <w:pPr>
              <w:jc w:val="center"/>
              <w:rPr>
                <w:rFonts w:hint="default" w:ascii="Times New Roman" w:hAnsi="Times New Roman" w:cs="Times New Roman"/>
                <w:b/>
                <w:color w:val="000000"/>
                <w:sz w:val="20"/>
                <w:szCs w:val="20"/>
              </w:rPr>
            </w:pPr>
          </w:p>
        </w:tc>
      </w:tr>
      <w:tr w14:paraId="4D2126A9">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9A064">
            <w:pPr>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A0E7DD5">
            <w:pPr>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74B37">
            <w:pP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96E41">
            <w:pP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3A46E">
            <w:pP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E7E8F">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40558">
            <w:pP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85854">
            <w:pPr>
              <w:jc w:val="center"/>
              <w:rPr>
                <w:rFonts w:hint="default" w:ascii="Times New Roman" w:hAnsi="Times New Roman" w:cs="Times New Roman"/>
                <w:b/>
                <w:color w:val="000000"/>
                <w:sz w:val="20"/>
                <w:szCs w:val="20"/>
              </w:rPr>
            </w:pPr>
          </w:p>
        </w:tc>
      </w:tr>
      <w:tr w14:paraId="219A81DD">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0EED2">
            <w:pPr>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CBEBAD9">
            <w:pPr>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34B98">
            <w:pP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DE4F8">
            <w:pP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B9E5F">
            <w:pP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3F364">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4512A">
            <w:pP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D1628">
            <w:pPr>
              <w:jc w:val="center"/>
              <w:rPr>
                <w:rFonts w:hint="default" w:ascii="Times New Roman" w:hAnsi="Times New Roman" w:cs="Times New Roman"/>
                <w:b/>
                <w:color w:val="000000"/>
                <w:sz w:val="20"/>
                <w:szCs w:val="20"/>
              </w:rPr>
            </w:pPr>
          </w:p>
        </w:tc>
      </w:tr>
      <w:tr w14:paraId="2A5116CB">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700E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0A465">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38.36</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F0E6C">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38.36</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57ABC">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E58B9">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E6523">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8AACF">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0100E70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D4C0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E3B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864D">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E07D0">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D728C">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FDEA2">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8CD96">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05436">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FF5CA6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008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B42C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8D62A">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17F31">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D3A0B">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3A300">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D8713">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C6DC8">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4F0F697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182C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9C8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B489B">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6D13D">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79C7F">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48197">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43469">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9B576">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E88DFC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3B1A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7F12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D6829">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68D19">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6.65</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8EE5A">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E1EE8">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3EAD9">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2739E">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FE0888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A4D2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1D3F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8033A">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B2756">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6.65</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AC0A2">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740D2">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20AF5">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89AA3">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57BA64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DDEA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93A2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6730B">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2F5BC">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4.43</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3E547">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8EAC3">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68805">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A776">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412A21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3253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E7F5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88668">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D1757">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2.22</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E59A9">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27E90">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CE602">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986F9">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536682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47ED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6024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0E993">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BC391">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5A71B">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59503">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17A5E">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CAEEB">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F436E2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1E2C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7259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402FC">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77375">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05ED4">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AE1B5">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C85D8">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138D5">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000F42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44EB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C6D1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8F3CB">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235F0">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1.08</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62624">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8244E">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0C922">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25B5B">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D38EB0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D59C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2E74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B38B9">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6ABCC">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0.23</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8EDB">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40D12">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7AFB1">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547C0">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3E1828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CFAC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1BD5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DB18E">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2BA41">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2B1C3">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2BB5">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AE7CF">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6E043">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9C2CAD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6190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EEE5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F0D11">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CD6B1">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1.52</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48E61">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3D9A5">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F8A41">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F134B">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0B3D48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D322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9DE8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B9BCA">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7AB4C">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B5B72">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EC150">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750AE">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E4D7D">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bl>
    <w:p w14:paraId="620DB5B7">
      <w:pPr>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default" w:ascii="Times New Roman" w:hAnsi="Times New Roman" w:cs="Times New Roman"/>
          <w:sz w:val="18"/>
          <w:szCs w:val="18"/>
          <w:lang w:eastAsia="zh-CN"/>
        </w:rPr>
        <w:t>单位</w:t>
      </w:r>
      <w:r>
        <w:rPr>
          <w:rFonts w:hint="default" w:ascii="Times New Roman" w:hAnsi="Times New Roman" w:cs="Times New Roman"/>
          <w:sz w:val="20"/>
          <w:szCs w:val="20"/>
        </w:rPr>
        <w:t>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AEE3B18">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4A538D48">
      <w:pPr>
        <w:rPr>
          <w:rFonts w:hint="default" w:ascii="Times New Roman" w:hAnsi="Times New Roman" w:cs="Times New Roman"/>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7867A7C">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F954C1F">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1D2D1B83">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F79E7F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丰都县贸易促进中心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2A439556">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457D4CC">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48B3BA9">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404FF78">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04</w:t>
            </w:r>
            <w:r>
              <w:rPr>
                <w:rFonts w:hint="default" w:ascii="Times New Roman" w:hAnsi="Times New Roman" w:cs="Times New Roman"/>
                <w:color w:val="000000"/>
                <w:sz w:val="20"/>
                <w:szCs w:val="20"/>
              </w:rPr>
              <w:t>表</w:t>
            </w:r>
          </w:p>
        </w:tc>
      </w:tr>
      <w:tr w14:paraId="6DAA86D9">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8C0B23A">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30AAE7F">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1F9B222">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1867C92">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3A5A926">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7599F7A">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9F97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E996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5D9D81BF">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472C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AEA0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55D65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6AA2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2D5EA754">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91D5B">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66824">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B18ABD">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C9B2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D2AC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3065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B48C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471F09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35E7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42590">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38.36</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A565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21750">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28.88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20E6">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28.88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3B4CC">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EF902">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EBC8D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0D98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CA27C">
            <w:pPr>
              <w:wordWrap/>
              <w:spacing w:line="200" w:lineRule="exact"/>
              <w:jc w:val="center"/>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5B61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E4CF5">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B2AEC">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AB67E">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B5E58">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B88C9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B1D8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D0F20">
            <w:pPr>
              <w:wordWrap/>
              <w:spacing w:line="200" w:lineRule="exact"/>
              <w:jc w:val="center"/>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C185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00DBD">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ECFBC">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AB005">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65666">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E3B05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F9E2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B87380">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66AF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F05A1">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6E971">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6C67D">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A8B53">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6C3B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6192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1A707E">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B73B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3759F">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21A2">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D56B1">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244C3">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DF683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5586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861409">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D0C7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75908">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CE14B">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C90E0">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D07EF">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82035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8EF9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5981C7">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256C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F7130">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D58BE">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54AF2">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D9909">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C81D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1274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CDE7CF">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49B1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ABB9E">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46226">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7CF1E">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4A391">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1537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3B3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E0484F">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D3F9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53227">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D64C7">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5EA73">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61C2B">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7BEE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5D05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326D6">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5820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4CE2A">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06FD2">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552D3">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A9CF">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8F3E7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228E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8EB64">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12D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E519F">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90CCC">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95F84">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26698">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DF0B0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1AAF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DB7DE">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3103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C8C8F">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09674">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73F82">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084B3">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006D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6967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CE36C">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856C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1E015">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985A7">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C2C08">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F4818">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901E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219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A8FE5">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4BB2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02276">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0898F">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CC58">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DEA13">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514B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6BF1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0B042">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EA8A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117B3">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60421">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2E029">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85B62">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5734F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CA0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66D17">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AEBD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C577">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676B3">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625DB">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29F38">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ECB3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F70B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EAF34">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41A2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7F82">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33120">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C3525">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4767E">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B170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AFBA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EBD4A">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2185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3B321">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17D34">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DC5DE">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B32A7">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7EC7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2988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EEBCF">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F49C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E7163">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669C7">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BCEE3">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BC1CC">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A11FB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A927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818A0">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CB8E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C5E68">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EE5F9">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2EC3A">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EAAF7">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AA72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03E3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2696D">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FE34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61B02">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D0E75">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DE3D4">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62F4E">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6E7D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7433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62C5F">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FC56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8BDF4">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F2B98">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EEC4E">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36ADA">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1E8E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59B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28E3">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B4D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52F64">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42F0E">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006D0">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1E670">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E9EB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0CDE1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31052">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7339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5001C">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BBECF">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E36CB">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DAA06">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592A5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CAD4A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D930A">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2796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184B2">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5DEEE">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BFF16">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F43D2">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4048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C5BAC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3E56F">
            <w:pPr>
              <w:spacing w:line="200" w:lineRule="exact"/>
              <w:jc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90D3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479CB">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AC22D">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C67DD">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F6626">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42F4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1B7AD">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FB7C1">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38.36</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8A998">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0B1B9">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38.36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79497">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38.36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10697">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04C83">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99DC9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EEBB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AD939">
            <w:pPr>
              <w:wordWrap/>
              <w:spacing w:line="200" w:lineRule="exact"/>
              <w:jc w:val="center"/>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2F53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83C54">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FAF3D">
            <w:pPr>
              <w:wordWrap/>
              <w:spacing w:line="200" w:lineRule="exact"/>
              <w:jc w:val="center"/>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CAD3D">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5652C">
            <w:pPr>
              <w:wordWrap/>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E33A3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1E08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BB41">
            <w:pPr>
              <w:wordWrap/>
              <w:spacing w:line="200" w:lineRule="exact"/>
              <w:jc w:val="center"/>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B7B9EB">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932EAD">
            <w:pPr>
              <w:spacing w:line="200" w:lineRule="exact"/>
              <w:jc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F881B1">
            <w:pPr>
              <w:spacing w:line="200" w:lineRule="exact"/>
              <w:jc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0985D4">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0E3F66">
            <w:pPr>
              <w:spacing w:line="200" w:lineRule="exact"/>
              <w:rPr>
                <w:rFonts w:hint="default" w:ascii="Times New Roman" w:hAnsi="Times New Roman" w:cs="Times New Roman"/>
                <w:color w:val="000000"/>
                <w:sz w:val="18"/>
                <w:szCs w:val="18"/>
              </w:rPr>
            </w:pPr>
          </w:p>
        </w:tc>
      </w:tr>
      <w:tr w14:paraId="7986D0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B079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156AC">
            <w:pPr>
              <w:wordWrap/>
              <w:spacing w:line="200" w:lineRule="exact"/>
              <w:jc w:val="center"/>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D84C1">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7ADC2">
            <w:pPr>
              <w:spacing w:line="200" w:lineRule="exact"/>
              <w:jc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83D79">
            <w:pPr>
              <w:spacing w:line="200" w:lineRule="exact"/>
              <w:jc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753A1">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8875B">
            <w:pPr>
              <w:spacing w:line="200" w:lineRule="exact"/>
              <w:jc w:val="right"/>
              <w:rPr>
                <w:rFonts w:hint="default" w:ascii="Times New Roman" w:hAnsi="Times New Roman" w:cs="Times New Roman"/>
                <w:color w:val="000000"/>
                <w:sz w:val="18"/>
                <w:szCs w:val="18"/>
              </w:rPr>
            </w:pPr>
          </w:p>
        </w:tc>
      </w:tr>
      <w:tr w14:paraId="52F60A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5C42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43453">
            <w:pPr>
              <w:wordWrap/>
              <w:spacing w:line="200" w:lineRule="exact"/>
              <w:jc w:val="center"/>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DFC1C">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5C8AB">
            <w:pPr>
              <w:spacing w:line="200" w:lineRule="exact"/>
              <w:jc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B3481">
            <w:pPr>
              <w:spacing w:line="200" w:lineRule="exact"/>
              <w:jc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C9A2E">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DE79B">
            <w:pPr>
              <w:spacing w:line="200" w:lineRule="exact"/>
              <w:jc w:val="right"/>
              <w:rPr>
                <w:rFonts w:hint="default" w:ascii="Times New Roman" w:hAnsi="Times New Roman" w:cs="Times New Roman"/>
                <w:color w:val="000000"/>
                <w:sz w:val="18"/>
                <w:szCs w:val="18"/>
              </w:rPr>
            </w:pPr>
          </w:p>
        </w:tc>
      </w:tr>
      <w:tr w14:paraId="58A116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39F7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66D35">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38.36</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AB21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7B46E">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38.36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5090">
            <w:pPr>
              <w:wordWrap/>
              <w:spacing w:line="20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38.36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DFF6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80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3AF0030E">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default" w:ascii="Times New Roman" w:hAnsi="Times New Roman" w:cs="Times New Roman"/>
          <w:sz w:val="18"/>
          <w:szCs w:val="18"/>
          <w:lang w:eastAsia="zh-CN"/>
        </w:rPr>
        <w:t>单位</w:t>
      </w:r>
      <w:r>
        <w:rPr>
          <w:rFonts w:hint="default" w:ascii="Times New Roman" w:hAnsi="Times New Roman" w:cs="Times New Roman"/>
          <w:sz w:val="20"/>
          <w:szCs w:val="20"/>
        </w:rPr>
        <w:t>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5C06C8F0">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52E038D">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2997A067">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40810D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丰都县贸易促进中心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CC6F52E">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954935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05</w:t>
            </w:r>
            <w:r>
              <w:rPr>
                <w:rFonts w:hint="default" w:ascii="Times New Roman" w:hAnsi="Times New Roman" w:cs="Times New Roman"/>
                <w:color w:val="000000"/>
                <w:sz w:val="20"/>
                <w:szCs w:val="20"/>
              </w:rPr>
              <w:t>表</w:t>
            </w:r>
          </w:p>
        </w:tc>
      </w:tr>
      <w:tr w14:paraId="016BDA98">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3D592E2">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2168168">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39DB61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D76378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0EA9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D2E9C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6776DD79">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782C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3818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13C8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B20A6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484B6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386A5F0F">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08522">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7205E8">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7BBFC3">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BB548">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9EF60">
            <w:pPr>
              <w:jc w:val="center"/>
              <w:rPr>
                <w:rFonts w:hint="default" w:ascii="Times New Roman" w:hAnsi="Times New Roman" w:cs="Times New Roman"/>
                <w:b/>
                <w:color w:val="000000"/>
                <w:sz w:val="20"/>
                <w:szCs w:val="20"/>
              </w:rPr>
            </w:pPr>
          </w:p>
        </w:tc>
      </w:tr>
      <w:tr w14:paraId="17CE9760">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A9F8C">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37D24">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39B61">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D89CB">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CEEAC">
            <w:pPr>
              <w:jc w:val="center"/>
              <w:rPr>
                <w:rFonts w:hint="default" w:ascii="Times New Roman" w:hAnsi="Times New Roman" w:cs="Times New Roman"/>
                <w:b/>
                <w:color w:val="000000"/>
                <w:sz w:val="20"/>
                <w:szCs w:val="20"/>
              </w:rPr>
            </w:pPr>
          </w:p>
        </w:tc>
      </w:tr>
      <w:tr w14:paraId="356C5210">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CCCB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B90D9">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38.36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7E556">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38.36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1FFA0">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1862CF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7C92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0427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50FD8">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28.88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CD256">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28.88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4753C">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3B1A370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34A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F71A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80BB3">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28.88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205FD">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28.88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7775A">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54DD58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5AAF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DEA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1CBF6">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28.88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F6AF8">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28.88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ACCE9">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178911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3BEA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CDCC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A6C1C">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0678B">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8A828">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2E63F1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BF6D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1ABB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CAE99">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C3FA0">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56B0C">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48209C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C05E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BB08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07EFE">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DACD1">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14C0D">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25D3BA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925D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750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08E50">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B6AD2">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DFABB">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7D0E1D1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0E7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AF71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57258">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E214C">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D8BE1">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4E3B92A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3A9B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9BAA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8B4E7">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3617C">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BC04B">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33F226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33B0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DA4B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91069">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7906C">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B3601">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251ED2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FBF3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0972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00B55">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4C627">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399D7">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180D66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057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00A4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AD14A">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73670">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A9C12">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7A123F4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F61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D904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D9218">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CE659">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26F6A">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4CE10E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F9D2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E1FD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53E84">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97374">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77976">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14:paraId="6A08C876">
      <w:pPr>
        <w:rPr>
          <w:rFonts w:hint="default" w:ascii="Times New Roman" w:hAnsi="Times New Roman" w:cs="Times New Roman"/>
          <w:sz w:val="21"/>
          <w:szCs w:val="21"/>
        </w:rPr>
      </w:pPr>
      <w:r>
        <w:rPr>
          <w:rFonts w:hint="default" w:ascii="Times New Roman" w:hAnsi="Times New Roman" w:cs="Times New Roman"/>
          <w:sz w:val="20"/>
          <w:szCs w:val="20"/>
        </w:rPr>
        <w:t>备注：1.本表反映</w:t>
      </w:r>
      <w:r>
        <w:rPr>
          <w:rFonts w:hint="default" w:ascii="Times New Roman" w:hAnsi="Times New Roman" w:cs="Times New Roman"/>
          <w:sz w:val="18"/>
          <w:szCs w:val="18"/>
          <w:lang w:eastAsia="zh-CN"/>
        </w:rPr>
        <w:t>单位</w:t>
      </w:r>
      <w:r>
        <w:rPr>
          <w:rFonts w:hint="default" w:ascii="Times New Roman" w:hAnsi="Times New Roman" w:cs="Times New Roman"/>
          <w:sz w:val="20"/>
          <w:szCs w:val="20"/>
        </w:rPr>
        <w:t>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645CCA1">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4BEDD4D6">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A6502E1">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68D653F1">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87B216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丰都县贸易促进中心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68237D77">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A0F060B">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8190087">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8361E7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06</w:t>
            </w:r>
            <w:r>
              <w:rPr>
                <w:rFonts w:hint="default" w:ascii="Times New Roman" w:hAnsi="Times New Roman" w:cs="Times New Roman"/>
                <w:color w:val="000000"/>
                <w:sz w:val="20"/>
                <w:szCs w:val="20"/>
              </w:rPr>
              <w:t>表</w:t>
            </w:r>
          </w:p>
        </w:tc>
      </w:tr>
      <w:tr w14:paraId="6E757803">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6651773">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80F6FB6">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54B4713">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14D6784">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DCB7F2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1490A23">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84E2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7A4E2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2D079667">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DBA2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75F5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06C16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CC75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61A59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BB90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1930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4FCD8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2648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3FD05BF6">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9201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02A4B">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EF0EC">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C6A46">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A06F7">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492AA">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47C8A">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D200B">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E040A">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00B2E2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0AA3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5CA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3CFC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35.70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37A1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7DC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7270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1C69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380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791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5E386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0466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50C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330D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8.44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B545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6DE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37CA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EACB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3E2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422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531F9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1F86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C66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F325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2F7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7B8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756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0909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2F1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FAD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532F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04D8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2EB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FA83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D4C1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865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AA89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8DE8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4A1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351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89D2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3E7D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E83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91D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FF26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BBF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49D6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A4DE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F50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CDF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83C1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1B63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60D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7B0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E3FA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691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EA96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5DE6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17B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4B7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B085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2DD4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CD2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D6A5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C002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0C0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FBAE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A44B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F6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586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0F0C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6748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EF6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0CF8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2F2E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CA0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73B2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1A80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0F9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1FD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1301F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0545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99C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DB74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E3AB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539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C40A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FCAD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635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F45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CC879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F492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5DB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B0DD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C4B4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2A2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5A3C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A43B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380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058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EB64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9698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B33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D088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BB20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30C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0566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046A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C1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46F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F775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4420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DD0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8DED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146C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B22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F775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DBD4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E14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DEF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85F6E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D986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624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1A67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870B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E23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5490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9AAD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8D7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C10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BC918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DC70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E3D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3D17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8807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187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B7B4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B7E6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01F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998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F5E5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F984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747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4F56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6F73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220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132B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7CC1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32B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897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78D3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26B6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643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2587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54A9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C48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408B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4BC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981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84B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7EAD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B6F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C59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A2F5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28E4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9DA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847A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57CC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AC9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88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8068E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2CCA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45E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7B4A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3436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BD6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CFE3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4B25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A4B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19D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2D6C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A470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127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9CAB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903E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62D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C727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B9BD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9DC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EB2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1F158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35DF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844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6523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F30C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68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758C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1D39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FC9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C5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A59A25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4D4D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439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677B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CB67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E6A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664A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DEC2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2BD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236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0A10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AF13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249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AE80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744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39D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D4E7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EE7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8D2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92D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18B65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9ECD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0AF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C8D3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68E6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414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FA1F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33C0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4CB76">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7C3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28577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4436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658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C790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830D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19D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DB6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25B0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8B7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E69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92195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0ACE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29B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EED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5FA6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7CB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6224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8E7F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18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BE7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085B6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D433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E9F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C01F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F346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C33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8877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798C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BBF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924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8F44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DEDF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5CA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BEF2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65D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FBD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A85B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89AF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41A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2B2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06A33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54DD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B9BA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324753">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FA84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1FB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3345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4A9F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4B6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C15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1DC5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6D46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86DA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4C66D4">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600A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CD2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8701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9281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E54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297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BFE7B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2B88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391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B3828D">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3D20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66E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E552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3795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79B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527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87B438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282B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122C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3CDD2A">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7858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F4F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1B2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D010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557F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F030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03CAF5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29D2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ABC0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58C6C9">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324C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EA6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B8F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0BF3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6E45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6BBD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72BB410F">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80D6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4ED1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BDC32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0417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3AA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458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BA47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0F61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1D28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7BDD1027">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FE0A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DB3C90">
            <w:pPr>
              <w:keepNext w:val="0"/>
              <w:keepLines w:val="0"/>
              <w:pageBreakBefore w:val="0"/>
              <w:widowControl/>
              <w:kinsoku/>
              <w:wordWrap/>
              <w:overflowPunct/>
              <w:topLinePunct w:val="0"/>
              <w:autoSpaceDE/>
              <w:autoSpaceDN/>
              <w:bidi w:val="0"/>
              <w:adjustRightInd/>
              <w:snapToGrid/>
              <w:spacing w:line="192" w:lineRule="exact"/>
              <w:jc w:val="center"/>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35.70</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2E28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588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2.66</w:t>
            </w:r>
            <w:r>
              <w:rPr>
                <w:rFonts w:hint="default" w:ascii="Times New Roman" w:hAnsi="Times New Roman" w:cs="Times New Roman"/>
                <w:color w:val="000000"/>
                <w:sz w:val="18"/>
                <w:u w:color="auto"/>
              </w:rPr>
              <w:t xml:space="preserve"> </w:t>
            </w:r>
          </w:p>
        </w:tc>
      </w:tr>
    </w:tbl>
    <w:p w14:paraId="577B7E5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default" w:ascii="Times New Roman" w:hAnsi="Times New Roman" w:cs="Times New Roman"/>
          <w:sz w:val="18"/>
          <w:szCs w:val="18"/>
          <w:lang w:eastAsia="zh-CN"/>
        </w:rPr>
        <w:t>单位</w:t>
      </w:r>
      <w:r>
        <w:rPr>
          <w:rFonts w:hint="default" w:ascii="Times New Roman" w:hAnsi="Times New Roman" w:cs="Times New Roman"/>
          <w:sz w:val="20"/>
          <w:szCs w:val="20"/>
        </w:rPr>
        <w:t>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1FC53170">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CC74011">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756115FF">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58789C8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丰都县贸易促进中心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248F68C5">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B452023">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7B3042A">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51BBE0F">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C355BC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07</w:t>
            </w:r>
            <w:r>
              <w:rPr>
                <w:rFonts w:hint="default" w:ascii="Times New Roman" w:hAnsi="Times New Roman" w:cs="Times New Roman"/>
                <w:color w:val="000000"/>
                <w:sz w:val="20"/>
                <w:szCs w:val="20"/>
              </w:rPr>
              <w:t>表</w:t>
            </w:r>
          </w:p>
        </w:tc>
      </w:tr>
      <w:tr w14:paraId="3DC5C147">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37AEFB4">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D35626D">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EFE42E7">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E91E90D">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9EFE5DC">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7418E6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03B4F9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DD32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56569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4C5B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ED680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557F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53391194">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9F21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AEBB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254DA3">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7FC25">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EA6D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7738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C2537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D7618">
            <w:pPr>
              <w:jc w:val="center"/>
              <w:rPr>
                <w:rFonts w:hint="default" w:ascii="Times New Roman" w:hAnsi="Times New Roman" w:cs="Times New Roman"/>
                <w:b/>
                <w:color w:val="000000"/>
                <w:sz w:val="20"/>
                <w:szCs w:val="20"/>
              </w:rPr>
            </w:pPr>
          </w:p>
        </w:tc>
      </w:tr>
      <w:tr w14:paraId="60746A6A">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56279">
            <w:pPr>
              <w:jc w:val="center"/>
              <w:rPr>
                <w:rFonts w:hint="default" w:ascii="Times New Roman" w:hAnsi="Times New Roman" w:cs="Times New Roman"/>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B6E6B">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2E5578">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9CFF0">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16CCF">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B56EE">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6C904">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587FE">
            <w:pPr>
              <w:jc w:val="center"/>
              <w:rPr>
                <w:rFonts w:hint="default" w:ascii="Times New Roman" w:hAnsi="Times New Roman" w:cs="Times New Roman"/>
                <w:b/>
                <w:color w:val="000000"/>
                <w:sz w:val="20"/>
                <w:szCs w:val="20"/>
              </w:rPr>
            </w:pPr>
          </w:p>
        </w:tc>
      </w:tr>
      <w:tr w14:paraId="591E55E9">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27BFD">
            <w:pPr>
              <w:jc w:val="center"/>
              <w:rPr>
                <w:rFonts w:hint="default" w:ascii="Times New Roman" w:hAnsi="Times New Roman" w:cs="Times New Roman"/>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35441">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80688C">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AA1FD">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70B96">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3F7738">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8AB641">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5C02A">
            <w:pPr>
              <w:jc w:val="center"/>
              <w:rPr>
                <w:rFonts w:hint="default" w:ascii="Times New Roman" w:hAnsi="Times New Roman" w:cs="Times New Roman"/>
                <w:b/>
                <w:color w:val="000000"/>
                <w:sz w:val="20"/>
                <w:szCs w:val="20"/>
              </w:rPr>
            </w:pPr>
          </w:p>
        </w:tc>
      </w:tr>
      <w:tr w14:paraId="650158F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D692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C986E">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ED4BA">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0D136">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B72D3">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6AC8F">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9EFB3">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544DB721">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6E24F">
            <w:pPr>
              <w:jc w:val="both"/>
              <w:textAlignment w:val="center"/>
              <w:rPr>
                <w:rFonts w:hint="default" w:ascii="Times New Roman" w:hAnsi="Times New Roman" w:cs="Times New Roman"/>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49860">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98FF6">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941B6">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A201B">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B841C">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29B91">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EFF55">
            <w:pPr>
              <w:wordWrap/>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14:paraId="49B661A1">
      <w:pPr>
        <w:rPr>
          <w:rFonts w:hint="default" w:ascii="Times New Roman" w:hAnsi="Times New Roman" w:cs="Times New Roman"/>
          <w:sz w:val="21"/>
          <w:szCs w:val="21"/>
        </w:rPr>
      </w:pPr>
      <w:r>
        <w:rPr>
          <w:rFonts w:hint="default" w:ascii="Times New Roman" w:hAnsi="Times New Roman" w:cs="Times New Roman"/>
          <w:sz w:val="20"/>
          <w:szCs w:val="20"/>
        </w:rPr>
        <w:t>备注：本表反映</w:t>
      </w:r>
      <w:r>
        <w:rPr>
          <w:rFonts w:hint="default" w:ascii="Times New Roman" w:hAnsi="Times New Roman" w:cs="Times New Roman"/>
          <w:sz w:val="20"/>
          <w:szCs w:val="20"/>
          <w:lang w:eastAsia="zh-CN"/>
        </w:rPr>
        <w:t>单位</w:t>
      </w:r>
      <w:r>
        <w:rPr>
          <w:rFonts w:hint="default" w:ascii="Times New Roman" w:hAnsi="Times New Roman" w:cs="Times New Roman"/>
          <w:sz w:val="20"/>
          <w:szCs w:val="20"/>
        </w:rPr>
        <w:t>本年度政府性基金预算财政拨款收入支出及结转和结余情况。本</w:t>
      </w:r>
      <w:r>
        <w:rPr>
          <w:rFonts w:hint="default" w:ascii="Times New Roman" w:hAnsi="Times New Roman" w:cs="Times New Roman"/>
          <w:sz w:val="20"/>
          <w:szCs w:val="20"/>
          <w:lang w:eastAsia="zh-CN"/>
        </w:rPr>
        <w:t>单位</w:t>
      </w:r>
      <w:r>
        <w:rPr>
          <w:rFonts w:hint="default" w:ascii="Times New Roman" w:hAnsi="Times New Roman" w:cs="Times New Roman"/>
          <w:sz w:val="20"/>
          <w:szCs w:val="20"/>
        </w:rPr>
        <w:t>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EB30C3C">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76CBFA20">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D0ADB03">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1481CC5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67287F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丰都县贸易促进中心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6519E63">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95034E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08</w:t>
            </w:r>
            <w:r>
              <w:rPr>
                <w:rFonts w:hint="default" w:ascii="Times New Roman" w:hAnsi="Times New Roman" w:cs="Times New Roman"/>
                <w:color w:val="000000"/>
                <w:sz w:val="20"/>
                <w:szCs w:val="20"/>
              </w:rPr>
              <w:t>表</w:t>
            </w:r>
          </w:p>
        </w:tc>
      </w:tr>
      <w:tr w14:paraId="0FAE5477">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98DE10D">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A02843B">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DE3AC2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9A9FC4D">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9F9305">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DFBA41">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B1AA452">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3D5B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A4B1E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648D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B2CE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21E6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3CCD550B">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CD391">
            <w:pPr>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777EF">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112DE">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5F49E">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E34F3B">
            <w:pPr>
              <w:jc w:val="center"/>
              <w:rPr>
                <w:rFonts w:hint="default" w:ascii="Times New Roman" w:hAnsi="Times New Roman" w:cs="Times New Roman"/>
                <w:b/>
                <w:color w:val="000000"/>
                <w:sz w:val="20"/>
                <w:szCs w:val="20"/>
              </w:rPr>
            </w:pPr>
          </w:p>
        </w:tc>
      </w:tr>
      <w:tr w14:paraId="6A6753A7">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E151E">
            <w:pPr>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6BA44">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DA457">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0CC52">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FD0B2F">
            <w:pPr>
              <w:jc w:val="center"/>
              <w:rPr>
                <w:rFonts w:hint="default" w:ascii="Times New Roman" w:hAnsi="Times New Roman" w:cs="Times New Roman"/>
                <w:b/>
                <w:color w:val="000000"/>
                <w:sz w:val="20"/>
                <w:szCs w:val="20"/>
              </w:rPr>
            </w:pPr>
          </w:p>
        </w:tc>
      </w:tr>
      <w:tr w14:paraId="7BEE4CD8">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D7BD0">
            <w:pPr>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3917F">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EB44D">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4B89D">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926E27">
            <w:pPr>
              <w:jc w:val="center"/>
              <w:rPr>
                <w:rFonts w:hint="default" w:ascii="Times New Roman" w:hAnsi="Times New Roman" w:cs="Times New Roman"/>
                <w:b/>
                <w:color w:val="000000"/>
                <w:sz w:val="20"/>
                <w:szCs w:val="20"/>
              </w:rPr>
            </w:pPr>
          </w:p>
        </w:tc>
      </w:tr>
      <w:tr w14:paraId="302A59CC">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D6FE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791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36920">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F81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88382B2">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8F458">
            <w:pPr>
              <w:textAlignment w:val="center"/>
              <w:rPr>
                <w:rFonts w:hint="default" w:ascii="Times New Roman" w:hAnsi="Times New Roman" w:cs="Times New Roman"/>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C9343">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2CA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6F8B9">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5F3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69465081">
      <w:pPr>
        <w:rPr>
          <w:rFonts w:hint="default" w:ascii="Times New Roman" w:hAnsi="Times New Roman" w:cs="Times New Roman"/>
          <w:sz w:val="21"/>
          <w:szCs w:val="21"/>
        </w:rPr>
      </w:pPr>
      <w:r>
        <w:rPr>
          <w:rFonts w:hint="default" w:ascii="Times New Roman" w:hAnsi="Times New Roman" w:cs="Times New Roman"/>
          <w:sz w:val="20"/>
          <w:szCs w:val="20"/>
        </w:rPr>
        <w:t>备注：本表反映</w:t>
      </w:r>
      <w:r>
        <w:rPr>
          <w:rFonts w:hint="default" w:ascii="Times New Roman" w:hAnsi="Times New Roman" w:cs="Times New Roman"/>
          <w:sz w:val="20"/>
          <w:szCs w:val="20"/>
          <w:lang w:eastAsia="zh-CN"/>
        </w:rPr>
        <w:t>单位</w:t>
      </w:r>
      <w:r>
        <w:rPr>
          <w:rFonts w:hint="default" w:ascii="Times New Roman" w:hAnsi="Times New Roman" w:cs="Times New Roman"/>
          <w:sz w:val="20"/>
          <w:szCs w:val="20"/>
        </w:rPr>
        <w:t>本年度国有资本经营预算财政拨款支出情况。本</w:t>
      </w:r>
      <w:r>
        <w:rPr>
          <w:rFonts w:hint="default" w:ascii="Times New Roman" w:hAnsi="Times New Roman" w:cs="Times New Roman"/>
          <w:sz w:val="20"/>
          <w:szCs w:val="20"/>
          <w:lang w:eastAsia="zh-CN"/>
        </w:rPr>
        <w:t>单位</w:t>
      </w:r>
      <w:r>
        <w:rPr>
          <w:rFonts w:hint="default" w:ascii="Times New Roman" w:hAnsi="Times New Roman" w:cs="Times New Roman"/>
          <w:sz w:val="20"/>
          <w:szCs w:val="20"/>
        </w:rPr>
        <w:t>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AE99504">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71C55ABD">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FC64BCF">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43978F7C">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977F5D7">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142A8052">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015A442D">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366CD69E">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4C82C90B">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w:t>
            </w:r>
            <w:r>
              <w:rPr>
                <w:rFonts w:hint="default" w:ascii="Times New Roman" w:hAnsi="Times New Roman" w:cs="Times New Roman"/>
                <w:color w:val="000000"/>
                <w:kern w:val="2"/>
                <w:sz w:val="20"/>
                <w:szCs w:val="20"/>
              </w:rPr>
              <w:t>09</w:t>
            </w:r>
            <w:r>
              <w:rPr>
                <w:rFonts w:hint="default" w:ascii="Times New Roman" w:hAnsi="Times New Roman" w:cs="Times New Roman"/>
                <w:color w:val="000000"/>
                <w:kern w:val="2"/>
                <w:sz w:val="20"/>
                <w:szCs w:val="20"/>
              </w:rPr>
              <w:t>表</w:t>
            </w:r>
          </w:p>
        </w:tc>
      </w:tr>
      <w:tr w14:paraId="67204C3A">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CF78859">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丰都县贸易促进中心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B5B422B">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656368C">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1EF0B8C1">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2A20EDA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D9AE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86B55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D5CE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680DB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FBC9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645E13A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0001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9C88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2F02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B168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72E8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181021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9FCE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37FC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BD70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4F10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4861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0AA33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0D5E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231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08E0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A342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2B36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B0AE9F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E62D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1F67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F392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607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E7BC8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661085A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0DC5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7288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5A0F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AD0B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659F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1FBE9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9CAE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50DF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E670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8E3B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D115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095DA6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DFDB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C007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A43A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511A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0AAA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062B2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05C8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F9A39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4BBC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26E9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4FD0C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B2105B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CABA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AD25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DB0C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6502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9394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54699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8D39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04BFD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D771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AD62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4FDB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FDC31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CCD9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05C6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7F890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6842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860A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871CC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9ACC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E315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0D74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3BEA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5878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83E50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2E97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B6F9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6DA3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C287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4A7F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020EFD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6BF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3881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8BC0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A8162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3C9A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851A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4B82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D021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2455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09E4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82083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132EEA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A597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58EA0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781A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875A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5AE4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1DDD7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6D55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8033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3268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ECBD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467F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43D81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986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6C8F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F293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AB73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E4D7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8D8F77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7931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59A4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3B8F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3789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07E9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8818A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33B0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94E7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104E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FBEC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1C71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AEECB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D1C7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6761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DB0B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C2A5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DF4C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0F87B71">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2C0F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9F80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EB16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C49AD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2A3035">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7E81D6F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D124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65919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C9D0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0.42</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85F28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31CE2">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2EDA0F4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F67A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D0DF0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4FAD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DBB62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E4AFF8">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163457BE">
      <w:pPr>
        <w:rPr>
          <w:rFonts w:hint="default" w:ascii="Times New Roman" w:hAnsi="Times New Roman" w:cs="Times New Roman"/>
          <w:sz w:val="18"/>
          <w:szCs w:val="18"/>
        </w:rPr>
      </w:pPr>
      <w:r>
        <w:rPr>
          <w:rFonts w:hint="default" w:ascii="Times New Roman" w:hAnsi="Times New Roman" w:cs="Times New Roman"/>
          <w:sz w:val="18"/>
          <w:szCs w:val="18"/>
        </w:rPr>
        <w:t>备注：1.本表反映</w:t>
      </w:r>
      <w:r>
        <w:rPr>
          <w:rFonts w:hint="default" w:ascii="Times New Roman" w:hAnsi="Times New Roman" w:cs="Times New Roman"/>
          <w:sz w:val="18"/>
          <w:szCs w:val="18"/>
          <w:lang w:eastAsia="zh-CN"/>
        </w:rPr>
        <w:t>单位</w:t>
      </w:r>
      <w:r>
        <w:rPr>
          <w:rFonts w:hint="default" w:ascii="Times New Roman" w:hAnsi="Times New Roman" w:cs="Times New Roman"/>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D8909">
    <w:pPr>
      <w:pStyle w:val="5"/>
      <w:rPr>
        <w:rFonts w:hint="default"/>
      </w:rPr>
    </w:pPr>
    <w:r>
      <w:rPr>
        <w:rFonts w:hint="default"/>
      </w:rPr>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14:paraId="3872D208">
                <w:pPr>
                  <w:pStyle w:val="5"/>
                  <w:rPr>
                    <w:rFonts w:hint="default"/>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37CD4">
    <w:pPr>
      <w:pStyle w:val="5"/>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v:path/>
          <v:fill on="f" focussize="0,0"/>
          <v:stroke on="f" weight="0.5pt"/>
          <v:imagedata o:title=""/>
          <o:lock v:ext="edit" aspectratio="f"/>
          <v:textbox inset="0mm,0mm,0mm,0mm" style="mso-fit-shape-to-text:t;">
            <w:txbxContent>
              <w:p w14:paraId="637B8FD8">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2CF99195">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B1BB0">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EDDBB"/>
    <w:multiLevelType w:val="singleLevel"/>
    <w:tmpl w:val="B43EDDB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094A42"/>
    <w:rsid w:val="03077B2E"/>
    <w:rsid w:val="03B87EA0"/>
    <w:rsid w:val="03E3214F"/>
    <w:rsid w:val="04387860"/>
    <w:rsid w:val="04402F82"/>
    <w:rsid w:val="044C50BA"/>
    <w:rsid w:val="05BC6D49"/>
    <w:rsid w:val="06194FF1"/>
    <w:rsid w:val="06A2550B"/>
    <w:rsid w:val="06BA27AF"/>
    <w:rsid w:val="06F80EE2"/>
    <w:rsid w:val="07001CCA"/>
    <w:rsid w:val="075678DB"/>
    <w:rsid w:val="079D7CC7"/>
    <w:rsid w:val="07D96C64"/>
    <w:rsid w:val="08051BCA"/>
    <w:rsid w:val="086C12F4"/>
    <w:rsid w:val="08BA052C"/>
    <w:rsid w:val="08DB07BA"/>
    <w:rsid w:val="0969353F"/>
    <w:rsid w:val="098305D0"/>
    <w:rsid w:val="098A0877"/>
    <w:rsid w:val="0A5C4B69"/>
    <w:rsid w:val="0A86124A"/>
    <w:rsid w:val="0AB54CC0"/>
    <w:rsid w:val="0B422D73"/>
    <w:rsid w:val="0B9335CE"/>
    <w:rsid w:val="0C6531BD"/>
    <w:rsid w:val="0C7927C4"/>
    <w:rsid w:val="0C9B098C"/>
    <w:rsid w:val="0D673E11"/>
    <w:rsid w:val="0DDA54E4"/>
    <w:rsid w:val="0E084ABF"/>
    <w:rsid w:val="0E1924B1"/>
    <w:rsid w:val="0E3A5F83"/>
    <w:rsid w:val="0E74421A"/>
    <w:rsid w:val="0EA46639"/>
    <w:rsid w:val="0EC6180C"/>
    <w:rsid w:val="0F497FB6"/>
    <w:rsid w:val="0F4C0664"/>
    <w:rsid w:val="0F836721"/>
    <w:rsid w:val="0FA25D96"/>
    <w:rsid w:val="106B68C8"/>
    <w:rsid w:val="107B59E5"/>
    <w:rsid w:val="10EC0126"/>
    <w:rsid w:val="10F70B9A"/>
    <w:rsid w:val="111445C7"/>
    <w:rsid w:val="113413B0"/>
    <w:rsid w:val="114278C6"/>
    <w:rsid w:val="1158083A"/>
    <w:rsid w:val="11643A4B"/>
    <w:rsid w:val="11ED0F98"/>
    <w:rsid w:val="11F03528"/>
    <w:rsid w:val="12541D09"/>
    <w:rsid w:val="12C921C4"/>
    <w:rsid w:val="12F52ECF"/>
    <w:rsid w:val="13871C70"/>
    <w:rsid w:val="13A71CB4"/>
    <w:rsid w:val="13AF1D43"/>
    <w:rsid w:val="13CE1647"/>
    <w:rsid w:val="13DA0C25"/>
    <w:rsid w:val="13FD55AB"/>
    <w:rsid w:val="14200702"/>
    <w:rsid w:val="14907817"/>
    <w:rsid w:val="163A6CEE"/>
    <w:rsid w:val="16C238E3"/>
    <w:rsid w:val="173708E3"/>
    <w:rsid w:val="174C19C7"/>
    <w:rsid w:val="17C374FC"/>
    <w:rsid w:val="189079DC"/>
    <w:rsid w:val="189B0D0B"/>
    <w:rsid w:val="18B43F7C"/>
    <w:rsid w:val="194A1770"/>
    <w:rsid w:val="19B906A4"/>
    <w:rsid w:val="19FB026E"/>
    <w:rsid w:val="1A5E3F18"/>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8D4DCA"/>
    <w:rsid w:val="1FBB35CD"/>
    <w:rsid w:val="1FCD26AF"/>
    <w:rsid w:val="204A64FA"/>
    <w:rsid w:val="20642787"/>
    <w:rsid w:val="209F0482"/>
    <w:rsid w:val="20F4064E"/>
    <w:rsid w:val="21556F04"/>
    <w:rsid w:val="220E3439"/>
    <w:rsid w:val="22403BD3"/>
    <w:rsid w:val="23DA37D9"/>
    <w:rsid w:val="24B92327"/>
    <w:rsid w:val="24C14514"/>
    <w:rsid w:val="2533755C"/>
    <w:rsid w:val="253C3720"/>
    <w:rsid w:val="25791755"/>
    <w:rsid w:val="26396DF4"/>
    <w:rsid w:val="27167136"/>
    <w:rsid w:val="271E248E"/>
    <w:rsid w:val="274C527F"/>
    <w:rsid w:val="27B23302"/>
    <w:rsid w:val="282B6C11"/>
    <w:rsid w:val="28643ED1"/>
    <w:rsid w:val="287E4F92"/>
    <w:rsid w:val="290851A4"/>
    <w:rsid w:val="29310A5F"/>
    <w:rsid w:val="29932CBF"/>
    <w:rsid w:val="29C37A35"/>
    <w:rsid w:val="2A076083"/>
    <w:rsid w:val="2A73162E"/>
    <w:rsid w:val="2A751F0B"/>
    <w:rsid w:val="2A790107"/>
    <w:rsid w:val="2ADE440E"/>
    <w:rsid w:val="2B167953"/>
    <w:rsid w:val="2B200583"/>
    <w:rsid w:val="2B220436"/>
    <w:rsid w:val="2B8209DE"/>
    <w:rsid w:val="2C6762A3"/>
    <w:rsid w:val="2D825525"/>
    <w:rsid w:val="2DE471A9"/>
    <w:rsid w:val="2E4C78E1"/>
    <w:rsid w:val="2EBF7B3E"/>
    <w:rsid w:val="2EDE1934"/>
    <w:rsid w:val="2FC31E25"/>
    <w:rsid w:val="2FCA4B37"/>
    <w:rsid w:val="2FE029D7"/>
    <w:rsid w:val="2FF06E00"/>
    <w:rsid w:val="3014442E"/>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E46AC5"/>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BDC6748"/>
    <w:rsid w:val="3C566AD6"/>
    <w:rsid w:val="3C6A5B02"/>
    <w:rsid w:val="3D2757A1"/>
    <w:rsid w:val="3D3D4FC4"/>
    <w:rsid w:val="3DDF3AB1"/>
    <w:rsid w:val="3E1D0952"/>
    <w:rsid w:val="3E42660A"/>
    <w:rsid w:val="3E7555B1"/>
    <w:rsid w:val="3E787ED9"/>
    <w:rsid w:val="3E8710EE"/>
    <w:rsid w:val="3EEC37F3"/>
    <w:rsid w:val="3F032E93"/>
    <w:rsid w:val="3F0527E5"/>
    <w:rsid w:val="3F47037C"/>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1A57A0"/>
    <w:rsid w:val="432033BE"/>
    <w:rsid w:val="43307B09"/>
    <w:rsid w:val="43470647"/>
    <w:rsid w:val="438D0E97"/>
    <w:rsid w:val="43BB152F"/>
    <w:rsid w:val="44494994"/>
    <w:rsid w:val="44C37687"/>
    <w:rsid w:val="45CB699A"/>
    <w:rsid w:val="465B470D"/>
    <w:rsid w:val="468123C6"/>
    <w:rsid w:val="469D6AD4"/>
    <w:rsid w:val="471E6C84"/>
    <w:rsid w:val="4748792B"/>
    <w:rsid w:val="475D719D"/>
    <w:rsid w:val="47674801"/>
    <w:rsid w:val="48225EF7"/>
    <w:rsid w:val="488533E1"/>
    <w:rsid w:val="488F422B"/>
    <w:rsid w:val="48E36915"/>
    <w:rsid w:val="48F055E1"/>
    <w:rsid w:val="495C4A24"/>
    <w:rsid w:val="497135DF"/>
    <w:rsid w:val="4A1605D9"/>
    <w:rsid w:val="4A263DF2"/>
    <w:rsid w:val="4A6F6675"/>
    <w:rsid w:val="4ABF0746"/>
    <w:rsid w:val="4B0502DF"/>
    <w:rsid w:val="4B135857"/>
    <w:rsid w:val="4B7951CB"/>
    <w:rsid w:val="4B7C315C"/>
    <w:rsid w:val="4BA05AE3"/>
    <w:rsid w:val="4CB70DEF"/>
    <w:rsid w:val="4CCF773C"/>
    <w:rsid w:val="4DAC4ACA"/>
    <w:rsid w:val="4DBE01D2"/>
    <w:rsid w:val="4EA07161"/>
    <w:rsid w:val="4EC92552"/>
    <w:rsid w:val="4EFC6D10"/>
    <w:rsid w:val="4F0C6BA3"/>
    <w:rsid w:val="4F10477D"/>
    <w:rsid w:val="4F186D58"/>
    <w:rsid w:val="4FEA65B7"/>
    <w:rsid w:val="5042146E"/>
    <w:rsid w:val="508E682D"/>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51F57"/>
    <w:rsid w:val="555A3CBC"/>
    <w:rsid w:val="5582012B"/>
    <w:rsid w:val="558E4E05"/>
    <w:rsid w:val="55BE2E85"/>
    <w:rsid w:val="55D26BA9"/>
    <w:rsid w:val="55D82B6C"/>
    <w:rsid w:val="561D52C4"/>
    <w:rsid w:val="5651697D"/>
    <w:rsid w:val="56530F5D"/>
    <w:rsid w:val="56692AE5"/>
    <w:rsid w:val="567700D3"/>
    <w:rsid w:val="56FF7E9E"/>
    <w:rsid w:val="578867FC"/>
    <w:rsid w:val="5842572D"/>
    <w:rsid w:val="59875AED"/>
    <w:rsid w:val="5A3B59D6"/>
    <w:rsid w:val="5AD134D8"/>
    <w:rsid w:val="5B1769FD"/>
    <w:rsid w:val="5B294982"/>
    <w:rsid w:val="5B6503B1"/>
    <w:rsid w:val="5C0F7EC4"/>
    <w:rsid w:val="5C263CE4"/>
    <w:rsid w:val="5C2A6C04"/>
    <w:rsid w:val="5C5D2777"/>
    <w:rsid w:val="5CF66BF3"/>
    <w:rsid w:val="5D290C69"/>
    <w:rsid w:val="5F2D4A41"/>
    <w:rsid w:val="5F506981"/>
    <w:rsid w:val="5F6D12E1"/>
    <w:rsid w:val="60C74F6C"/>
    <w:rsid w:val="61025A59"/>
    <w:rsid w:val="613D5BBC"/>
    <w:rsid w:val="61536C39"/>
    <w:rsid w:val="61E64F4A"/>
    <w:rsid w:val="623E0993"/>
    <w:rsid w:val="62944DD7"/>
    <w:rsid w:val="6319381F"/>
    <w:rsid w:val="63236436"/>
    <w:rsid w:val="6359301B"/>
    <w:rsid w:val="63C25DC5"/>
    <w:rsid w:val="63C62057"/>
    <w:rsid w:val="63D904D9"/>
    <w:rsid w:val="64571EF5"/>
    <w:rsid w:val="64CB0157"/>
    <w:rsid w:val="64FB113D"/>
    <w:rsid w:val="64FB6B2D"/>
    <w:rsid w:val="65036946"/>
    <w:rsid w:val="654A25FE"/>
    <w:rsid w:val="656152C6"/>
    <w:rsid w:val="6587477F"/>
    <w:rsid w:val="658C3A08"/>
    <w:rsid w:val="65C031CA"/>
    <w:rsid w:val="65CE6852"/>
    <w:rsid w:val="65D82A9D"/>
    <w:rsid w:val="660C4E05"/>
    <w:rsid w:val="661E4DAC"/>
    <w:rsid w:val="66267C04"/>
    <w:rsid w:val="663F505A"/>
    <w:rsid w:val="665C5C0C"/>
    <w:rsid w:val="66967186"/>
    <w:rsid w:val="66EE5541"/>
    <w:rsid w:val="67924660"/>
    <w:rsid w:val="683200C2"/>
    <w:rsid w:val="68407834"/>
    <w:rsid w:val="6883293E"/>
    <w:rsid w:val="688412AD"/>
    <w:rsid w:val="68EB1B71"/>
    <w:rsid w:val="69475C96"/>
    <w:rsid w:val="6A6E23B2"/>
    <w:rsid w:val="6AAD2300"/>
    <w:rsid w:val="6B474EF5"/>
    <w:rsid w:val="6BBF53FD"/>
    <w:rsid w:val="6C560CAE"/>
    <w:rsid w:val="6C576495"/>
    <w:rsid w:val="6D903FF5"/>
    <w:rsid w:val="6DA955B8"/>
    <w:rsid w:val="6DE346AB"/>
    <w:rsid w:val="6DE5391A"/>
    <w:rsid w:val="6E1312A6"/>
    <w:rsid w:val="6E6E2980"/>
    <w:rsid w:val="6EB14883"/>
    <w:rsid w:val="6EFD1324"/>
    <w:rsid w:val="6F5A53AC"/>
    <w:rsid w:val="6FAC003D"/>
    <w:rsid w:val="6FE55E12"/>
    <w:rsid w:val="6FFB2E76"/>
    <w:rsid w:val="708F6F7F"/>
    <w:rsid w:val="70D94BD3"/>
    <w:rsid w:val="71551BD5"/>
    <w:rsid w:val="71C34D91"/>
    <w:rsid w:val="71FB09CF"/>
    <w:rsid w:val="72DB435C"/>
    <w:rsid w:val="72E2613A"/>
    <w:rsid w:val="72F771F4"/>
    <w:rsid w:val="734150D5"/>
    <w:rsid w:val="736650B0"/>
    <w:rsid w:val="73934AD2"/>
    <w:rsid w:val="74141436"/>
    <w:rsid w:val="74911176"/>
    <w:rsid w:val="74CA77E9"/>
    <w:rsid w:val="750837F0"/>
    <w:rsid w:val="754758CF"/>
    <w:rsid w:val="761275E6"/>
    <w:rsid w:val="764F62AB"/>
    <w:rsid w:val="765C45EC"/>
    <w:rsid w:val="768A7619"/>
    <w:rsid w:val="76AA36E6"/>
    <w:rsid w:val="771334D2"/>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C30630"/>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 w:type="paragraph" w:customStyle="1" w:styleId="18">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4894</Words>
  <Characters>5354</Characters>
  <Lines>186</Lines>
  <Paragraphs>52</Paragraphs>
  <TotalTime>7</TotalTime>
  <ScaleCrop>false</ScaleCrop>
  <LinksUpToDate>false</LinksUpToDate>
  <CharactersWithSpaces>5364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2025-09-10T06:57:51Z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eyJoZGlkIjoiNmE4MzJjNGE2NTczMjBlNzU3YjE0MTY0MTYxOGMyODAifQ==</vt:lpwstr>
  </property>
</Properties>
</file>