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DAA5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方正小标宋_GBK" w:cs="Times New Roman"/>
          <w:b w:val="0"/>
          <w:bCs w:val="0"/>
          <w:sz w:val="36"/>
          <w:szCs w:val="36"/>
          <w:lang w:val="en-US" w:eastAsia="zh-CN"/>
        </w:rPr>
      </w:pPr>
    </w:p>
    <w:p w14:paraId="4175224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丰都县口岸和物流服务中心</w:t>
      </w:r>
    </w:p>
    <w:p w14:paraId="16F9003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6E51D694">
      <w:pPr>
        <w:pStyle w:val="12"/>
        <w:keepNext w:val="0"/>
        <w:keepLines w:val="0"/>
        <w:pageBreakBefore w:val="0"/>
        <w:widowControl/>
        <w:kinsoku/>
        <w:wordWrap/>
        <w:overflowPunct/>
        <w:topLinePunct w:val="0"/>
        <w:autoSpaceDN/>
        <w:bidi w:val="0"/>
        <w:adjustRightInd/>
        <w:snapToGrid/>
        <w:spacing w:before="0" w:beforeAutospacing="0" w:after="0" w:afterAutospacing="0" w:line="574"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p>
    <w:p w14:paraId="40862437">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一、部门基本情况</w:t>
      </w:r>
    </w:p>
    <w:p w14:paraId="137C18F4">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580CCA77">
      <w:pPr>
        <w:pStyle w:val="6"/>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承担口岸建设管理协调服务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负责本县口岸与其他单位工作开展的协调服务</w:t>
      </w:r>
      <w:r>
        <w:rPr>
          <w:rFonts w:hint="default" w:ascii="Times New Roman" w:hAnsi="Times New Roman" w:eastAsia="方正仿宋_GBK" w:cs="Times New Roman"/>
          <w:sz w:val="32"/>
          <w:szCs w:val="32"/>
          <w:lang w:eastAsia="zh-CN"/>
        </w:rPr>
        <w:t>；物流管理服务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为口岸查验单位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出入境旅客等提供服务。</w:t>
      </w:r>
    </w:p>
    <w:p w14:paraId="0FB6B92B">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35350C87">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kern w:val="0"/>
          <w:sz w:val="32"/>
          <w:szCs w:val="32"/>
        </w:rPr>
        <w:t>本单位级别为</w:t>
      </w:r>
      <w:r>
        <w:rPr>
          <w:rFonts w:hint="default" w:ascii="Times New Roman" w:hAnsi="Times New Roman" w:eastAsia="方正仿宋_GBK" w:cs="Times New Roman"/>
          <w:color w:val="000000"/>
          <w:kern w:val="0"/>
          <w:sz w:val="32"/>
          <w:szCs w:val="32"/>
          <w:lang w:val="en-US" w:eastAsia="zh-CN"/>
        </w:rPr>
        <w:t>正</w:t>
      </w:r>
      <w:r>
        <w:rPr>
          <w:rFonts w:hint="default" w:ascii="Times New Roman" w:hAnsi="Times New Roman" w:eastAsia="方正仿宋_GBK" w:cs="Times New Roman"/>
          <w:color w:val="000000"/>
          <w:kern w:val="0"/>
          <w:sz w:val="32"/>
          <w:szCs w:val="32"/>
        </w:rPr>
        <w:t>科级，无内设科室，二级预算单位</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核定事业编制为</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val="en-US" w:eastAsia="zh-CN"/>
        </w:rPr>
        <w:t>年末</w:t>
      </w:r>
      <w:r>
        <w:rPr>
          <w:rFonts w:hint="default" w:ascii="Times New Roman" w:hAnsi="Times New Roman" w:eastAsia="方正仿宋_GBK" w:cs="Times New Roman"/>
          <w:sz w:val="32"/>
          <w:szCs w:val="32"/>
        </w:rPr>
        <w:t>实有在编人员</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名。</w:t>
      </w:r>
    </w:p>
    <w:p w14:paraId="4DA308DB">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二、部门决算收支情况说明</w:t>
      </w:r>
    </w:p>
    <w:p w14:paraId="324D48D5">
      <w:pPr>
        <w:pStyle w:val="11"/>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06C3184B">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59.61万元。收、支与2023年度相比，增加59.61万元，增长100.0%，主要原因</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事业单位超额绩效纳入养老保险和职业年金缴费基数等原因，导致收支增加。</w:t>
      </w:r>
    </w:p>
    <w:p w14:paraId="266AA692">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bidi="ar-SA"/>
        </w:rPr>
        <w:t>1.收入情况。</w:t>
      </w:r>
      <w:r>
        <w:rPr>
          <w:rFonts w:hint="default" w:ascii="Times New Roman" w:hAnsi="Times New Roman" w:eastAsia="方正仿宋_GBK" w:cs="Times New Roman"/>
          <w:sz w:val="32"/>
          <w:szCs w:val="32"/>
          <w:shd w:val="clear" w:color="auto" w:fill="FFFFFF"/>
          <w:lang w:val="en-US" w:eastAsia="zh-CN"/>
        </w:rPr>
        <w:t>2024年度收入合计59.61万元，与2023年度相比，增加59.61万元，增长100.0%，主要原因是</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事业单位超额绩效纳入养老保险和职业年金缴费基数等原因，导致收入增加。其中：财政拨款收入59.61万元，占100.00%</w:t>
      </w:r>
      <w:r>
        <w:rPr>
          <w:rFonts w:hint="default" w:ascii="Times New Roman" w:hAnsi="Times New Roman" w:eastAsia="方正仿宋_GBK" w:cs="Times New Roman"/>
          <w:sz w:val="32"/>
          <w:szCs w:val="32"/>
          <w:shd w:val="clear" w:color="auto" w:fill="FFFFFF"/>
        </w:rPr>
        <w:t>。此外，使用非财政拨款结余（含专用结余）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14:paraId="674FDF90">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lang w:val="en-US" w:eastAsia="zh-CN"/>
        </w:rPr>
        <w:t>2</w:t>
      </w:r>
      <w:r>
        <w:rPr>
          <w:rStyle w:val="10"/>
          <w:rFonts w:hint="default" w:ascii="Times New Roman" w:hAnsi="Times New Roman" w:eastAsia="方正仿宋_GBK" w:cs="Times New Roman"/>
          <w:b/>
          <w:bCs w:val="0"/>
          <w:sz w:val="32"/>
          <w:szCs w:val="32"/>
          <w:shd w:val="clear" w:color="auto" w:fill="FFFFFF"/>
        </w:rPr>
        <w:t>.支出情况</w:t>
      </w:r>
      <w:r>
        <w:rPr>
          <w:rStyle w:val="10"/>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2024年度支出合计59.60万元，与2023年度相比，增加59.60万元，增长100.0%，主要原因是</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事业单位超额绩效纳入养老保险和职业年金缴费基数等原因，导致费用增加</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shd w:val="clear" w:color="auto" w:fill="FFFFFF"/>
        </w:rPr>
        <w:t>其中：基本支出59.60万元，占100.0%；项目支出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万元。此外，结余分配</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14:paraId="34A258C0">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Style w:val="10"/>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2024年度年末结转和结余0.01万元，与2023年度相比，增加0.01万元，增长100.0%，主要原因是</w:t>
      </w:r>
      <w:r>
        <w:rPr>
          <w:rFonts w:hint="default" w:ascii="Times New Roman" w:hAnsi="Times New Roman" w:eastAsia="仿宋" w:cs="Times New Roman"/>
          <w:sz w:val="32"/>
          <w:szCs w:val="32"/>
          <w:lang w:eastAsia="zh-CN"/>
        </w:rPr>
        <w:t>职工退多报差旅费</w:t>
      </w:r>
      <w:r>
        <w:rPr>
          <w:rFonts w:hint="default" w:ascii="Times New Roman" w:hAnsi="Times New Roman" w:eastAsia="仿宋" w:cs="Times New Roman"/>
          <w:sz w:val="32"/>
          <w:szCs w:val="32"/>
          <w:lang w:val="en-US" w:eastAsia="zh-CN"/>
        </w:rPr>
        <w:t>0.01万元，导致增加基本支出结转结余</w:t>
      </w:r>
      <w:r>
        <w:rPr>
          <w:rFonts w:hint="default" w:ascii="Times New Roman" w:hAnsi="Times New Roman" w:eastAsia="仿宋" w:cs="Times New Roman"/>
          <w:sz w:val="32"/>
          <w:szCs w:val="32"/>
          <w:lang w:eastAsia="zh-CN"/>
        </w:rPr>
        <w:t>。</w:t>
      </w:r>
    </w:p>
    <w:p w14:paraId="260F133A">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40DED02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2024年度财政拨款收、支总计均为59.61万元。与2023年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相比，财政拨款收、支总计各增加59.61万元，增长100.0%。主要原因是</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事业单位超额绩效纳入养老保险和职业年金缴费基数等原因，导致收支增加。</w:t>
      </w:r>
    </w:p>
    <w:p w14:paraId="70A48C54">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23DA3176">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Style w:val="10"/>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2024年度一般公共预算财政拨款收入59.61万元，与2023年度相比，增加59.61万元，增长100.0%。主要原因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事业单位超额绩效纳入养老保险和职业年金缴费基数等原因，导致收入增加。</w:t>
      </w:r>
      <w:r>
        <w:rPr>
          <w:rFonts w:hint="default" w:ascii="Times New Roman" w:hAnsi="Times New Roman" w:eastAsia="方正仿宋_GBK" w:cs="Times New Roman"/>
          <w:sz w:val="32"/>
          <w:szCs w:val="32"/>
          <w:shd w:val="clear" w:color="auto" w:fill="FFFFFF"/>
        </w:rPr>
        <w:t>较年初预算数增加26.32万元，增长79.1%。主要原因是</w:t>
      </w:r>
      <w:r>
        <w:rPr>
          <w:rFonts w:hint="default" w:ascii="Times New Roman" w:hAnsi="Times New Roman" w:eastAsia="方正仿宋_GBK" w:cs="Times New Roman"/>
          <w:sz w:val="32"/>
          <w:szCs w:val="32"/>
          <w:shd w:val="clear" w:color="auto" w:fill="FFFFFF"/>
          <w:lang w:val="en-US" w:eastAsia="zh-CN"/>
        </w:rPr>
        <w:t>2024年调入2名人员、事业单位超额绩效纳入养老保险和职业年金缴费基数等原因，导致费用增加。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14:paraId="5C5DFA65">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Style w:val="10"/>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2024年度一般公共预算财政拨款支出59.60万元，与2023年度相比，增加59.60万元，增长100.0%。主要原因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事业单位超额绩效纳入养老保险和职业年金缴费基数等原因，导致费用增加。</w:t>
      </w:r>
      <w:r>
        <w:rPr>
          <w:rFonts w:hint="default" w:ascii="Times New Roman" w:hAnsi="Times New Roman" w:eastAsia="方正仿宋_GBK" w:cs="Times New Roman"/>
          <w:sz w:val="32"/>
          <w:szCs w:val="32"/>
          <w:shd w:val="clear" w:color="auto" w:fill="FFFFFF"/>
        </w:rPr>
        <w:t>较年初预算数增加26.31万元，增长79.0%。主要原因是</w:t>
      </w:r>
      <w:r>
        <w:rPr>
          <w:rFonts w:hint="default" w:ascii="Times New Roman" w:hAnsi="Times New Roman" w:eastAsia="方正仿宋_GBK" w:cs="Times New Roman"/>
          <w:sz w:val="32"/>
          <w:szCs w:val="32"/>
          <w:shd w:val="clear" w:color="auto" w:fill="FFFFFF"/>
          <w:lang w:val="en-US" w:eastAsia="zh-CN"/>
        </w:rPr>
        <w:t>2024年调入2名人员、事业单位超额绩效纳入养老保险和职业年金缴费基数等原因，导致费用增加。</w:t>
      </w:r>
    </w:p>
    <w:p w14:paraId="1B5B691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7C897F40">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（1）一般公共服务支出47.21万元，占79.2%，较年初预算数增加18.99万元，增长67.3%，主要原因是</w:t>
      </w:r>
      <w:r>
        <w:rPr>
          <w:rFonts w:hint="default" w:ascii="Times New Roman" w:hAnsi="Times New Roman" w:eastAsia="方正仿宋_GBK" w:cs="Times New Roman"/>
          <w:sz w:val="32"/>
          <w:szCs w:val="32"/>
          <w:shd w:val="clear" w:color="auto" w:fill="FFFFFF"/>
          <w:lang w:val="en-US" w:eastAsia="zh-CN"/>
        </w:rPr>
        <w:t>2024年调入2名人员，导致费用增加。</w:t>
      </w:r>
    </w:p>
    <w:p w14:paraId="237F6F29">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就业支出7.13万元，占12.0%，较年初预算数增加4.67万元，增长189.8%，主要原因是</w:t>
      </w:r>
      <w:r>
        <w:rPr>
          <w:rFonts w:hint="default" w:ascii="Times New Roman" w:hAnsi="Times New Roman" w:eastAsia="方正仿宋_GBK" w:cs="Times New Roman"/>
          <w:sz w:val="32"/>
          <w:szCs w:val="32"/>
          <w:shd w:val="clear" w:color="auto" w:fill="FFFFFF"/>
          <w:lang w:val="en-US" w:eastAsia="zh-CN"/>
        </w:rPr>
        <w:t>2024年调入2名人员，事业单位超额绩效纳入养老保险和职业年金缴费基数等原因，导致费用增加。</w:t>
      </w:r>
    </w:p>
    <w:p w14:paraId="453DF544">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）卫生健康支出2.59万元，占4.4%，较年初预算数增加1.21万元，增长87.7%，主要原因是</w:t>
      </w:r>
      <w:r>
        <w:rPr>
          <w:rFonts w:hint="default" w:ascii="Times New Roman" w:hAnsi="Times New Roman" w:eastAsia="方正仿宋_GBK" w:cs="Times New Roman"/>
          <w:sz w:val="32"/>
          <w:szCs w:val="32"/>
          <w:shd w:val="clear" w:color="auto" w:fill="FFFFFF"/>
          <w:lang w:val="en-US" w:eastAsia="zh-CN"/>
        </w:rPr>
        <w:t>2024年调入2名人员，导致费用增加。</w:t>
      </w:r>
    </w:p>
    <w:p w14:paraId="63A915F6">
      <w:pPr>
        <w:keepNext w:val="0"/>
        <w:keepLines w:val="0"/>
        <w:pageBreakBefore w:val="0"/>
        <w:numPr>
          <w:ilvl w:val="0"/>
          <w:numId w:val="1"/>
        </w:numPr>
        <w:kinsoku/>
        <w:wordWrap/>
        <w:overflowPunct/>
        <w:topLinePunct w:val="0"/>
        <w:autoSpaceDN/>
        <w:bidi w:val="0"/>
        <w:adjustRightInd/>
        <w:spacing w:line="600" w:lineRule="exact"/>
        <w:ind w:left="80" w:leftChars="0" w:firstLine="640" w:firstLineChars="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2.66万元，占4.5%，较年初预算数增加1.43万元，增长116.3%，主要原因是</w:t>
      </w:r>
      <w:r>
        <w:rPr>
          <w:rFonts w:hint="default" w:ascii="Times New Roman" w:hAnsi="Times New Roman" w:eastAsia="方正仿宋_GBK" w:cs="Times New Roman"/>
          <w:sz w:val="32"/>
          <w:szCs w:val="32"/>
          <w:shd w:val="clear" w:color="auto" w:fill="FFFFFF"/>
          <w:lang w:val="en-US" w:eastAsia="zh-CN"/>
        </w:rPr>
        <w:t>2024年调入2名人员，导致费用增加。</w:t>
      </w:r>
    </w:p>
    <w:p w14:paraId="3DADF101">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Style w:val="10"/>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2024年度年末一般公共预算财政拨款结转和结余0.01万元，与2023年度相比，增加0.01万元，增长100.0%，主要原因是</w:t>
      </w:r>
      <w:r>
        <w:rPr>
          <w:rFonts w:hint="default" w:ascii="Times New Roman" w:hAnsi="Times New Roman" w:eastAsia="仿宋" w:cs="Times New Roman"/>
          <w:sz w:val="32"/>
          <w:szCs w:val="32"/>
          <w:lang w:eastAsia="zh-CN"/>
        </w:rPr>
        <w:t>职工退多报差旅费</w:t>
      </w:r>
      <w:r>
        <w:rPr>
          <w:rFonts w:hint="default" w:ascii="Times New Roman" w:hAnsi="Times New Roman" w:eastAsia="仿宋" w:cs="Times New Roman"/>
          <w:sz w:val="32"/>
          <w:szCs w:val="32"/>
          <w:lang w:val="en-US" w:eastAsia="zh-CN"/>
        </w:rPr>
        <w:t>0.01万元，导致增加基本支出结转结余</w:t>
      </w:r>
      <w:r>
        <w:rPr>
          <w:rFonts w:hint="default" w:ascii="Times New Roman" w:hAnsi="Times New Roman" w:eastAsia="仿宋" w:cs="Times New Roman"/>
          <w:sz w:val="32"/>
          <w:szCs w:val="32"/>
          <w:lang w:eastAsia="zh-CN"/>
        </w:rPr>
        <w:t>。</w:t>
      </w:r>
    </w:p>
    <w:p w14:paraId="6FE740CF">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36B160DE">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2024年度一般公共财政拨款基本支出59.60万元。</w:t>
      </w:r>
    </w:p>
    <w:p w14:paraId="46B9258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563B8F5">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shd w:val="clear" w:color="auto" w:fill="FFFFFF"/>
        </w:rPr>
        <w:t>人员经费54.22万元，与2023年度相比，增加54.22万元，增长100.0%，主要原因是</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事业单位超额绩效纳入养老保险和职业年金缴费基数等原因，导致费用增加。</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color w:val="auto"/>
          <w:sz w:val="32"/>
          <w:szCs w:val="32"/>
          <w:highlight w:val="none"/>
          <w:shd w:val="clear" w:color="auto" w:fill="FFFFFF"/>
        </w:rPr>
        <w:t>包括</w:t>
      </w:r>
      <w:r>
        <w:rPr>
          <w:rFonts w:hint="default" w:ascii="Times New Roman" w:hAnsi="Times New Roman" w:eastAsia="方正仿宋_GBK" w:cs="Times New Roman"/>
          <w:color w:val="auto"/>
          <w:sz w:val="32"/>
          <w:szCs w:val="32"/>
          <w:highlight w:val="none"/>
          <w:shd w:val="clear" w:color="auto" w:fill="FFFFFF"/>
          <w:lang w:eastAsia="zh-CN"/>
        </w:rPr>
        <w:t>基本工资、基础绩效、超额绩效、基本医疗保险、机关事业单位基本养老保险、职业年金缴费、住房公积金等</w:t>
      </w:r>
      <w:r>
        <w:rPr>
          <w:rFonts w:hint="default" w:ascii="Times New Roman" w:hAnsi="Times New Roman" w:eastAsia="方正仿宋_GBK" w:cs="Times New Roman"/>
          <w:color w:val="auto"/>
          <w:sz w:val="32"/>
          <w:szCs w:val="32"/>
          <w:highlight w:val="none"/>
          <w:shd w:val="clear" w:color="auto" w:fill="FFFFFF"/>
        </w:rPr>
        <w:t>。</w:t>
      </w:r>
    </w:p>
    <w:p w14:paraId="700BB69F">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公用经费5.38万元，与2023年度相比，增加5.38万元，增长100.0%，主要原因是</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本单位2023年4月成立，2023年12月招录2名研究生相关支出未单独核算和报决算，合并到主管部门县商务委（本级）核算和报决算，导致上年度数据没有，本年度数据增加。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eastAsia="zh-CN"/>
        </w:rPr>
        <w:t>办公费、劳务费、差旅费、物业管理费、培训费、工会经费、其他商务和服务支出等费用</w:t>
      </w:r>
    </w:p>
    <w:p w14:paraId="6D27DEC1">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5C55BE59">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本单位2024年度无政府性基金预算财政拨款收支。</w:t>
      </w:r>
    </w:p>
    <w:p w14:paraId="2674AA7F">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（六）国有资本经营预算财政拨款支出决算情况说明</w:t>
      </w:r>
    </w:p>
    <w:p w14:paraId="59ADFC05">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本单位2024年度无国有资本经营预算财政拨款支出。</w:t>
      </w:r>
    </w:p>
    <w:p w14:paraId="37F3D10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三、财政拨款“三公”经费情况说明</w:t>
      </w:r>
    </w:p>
    <w:p w14:paraId="50CB68FE">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02F2D3D6">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highlight w:val="none"/>
          <w:shd w:val="clear" w:color="auto" w:fill="FFFFFF"/>
          <w:lang w:eastAsia="zh-CN"/>
        </w:rPr>
        <w:t>2024年度本单位未发生</w:t>
      </w:r>
      <w:r>
        <w:rPr>
          <w:rFonts w:hint="default" w:ascii="Times New Roman" w:hAnsi="Times New Roman" w:eastAsia="方正仿宋_GBK" w:cs="Times New Roman"/>
          <w:sz w:val="32"/>
          <w:szCs w:val="32"/>
          <w:shd w:val="clear" w:color="auto" w:fill="FFFFFF"/>
        </w:rPr>
        <w:t>“三公”经费支出</w:t>
      </w:r>
      <w:r>
        <w:rPr>
          <w:rFonts w:hint="default" w:ascii="Times New Roman" w:hAnsi="Times New Roman" w:eastAsia="方正仿宋_GBK" w:cs="Times New Roman"/>
          <w:sz w:val="32"/>
          <w:szCs w:val="32"/>
          <w:shd w:val="clear" w:color="auto" w:fill="FFFFFF"/>
          <w:lang w:eastAsia="zh-CN"/>
        </w:rPr>
        <w:t>，与年初预算数及上年支出数持平。</w:t>
      </w:r>
    </w:p>
    <w:p w14:paraId="754E5BFE">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3A9FA4DF">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，与年初预算数及上年支出数持平。</w:t>
      </w:r>
    </w:p>
    <w:p w14:paraId="0C08480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lang w:eastAsia="zh-CN"/>
        </w:rPr>
        <w:t>与年初预算数及上年支出数持平。</w:t>
      </w:r>
    </w:p>
    <w:p w14:paraId="67506DE8">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lang w:eastAsia="zh-CN"/>
        </w:rPr>
        <w:t>与年初预算数及上年支出数持平。</w:t>
      </w:r>
    </w:p>
    <w:p w14:paraId="75830E00">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与年初预算数及上年支出数持平。</w:t>
      </w:r>
    </w:p>
    <w:p w14:paraId="4822114E">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7AFC34B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38B2591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四、其他需要说明的事项</w:t>
      </w:r>
    </w:p>
    <w:p w14:paraId="63DC73B7">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67B3D520">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会议费，</w:t>
      </w:r>
      <w:r>
        <w:rPr>
          <w:rFonts w:hint="default" w:ascii="Times New Roman" w:hAnsi="Times New Roman" w:eastAsia="方正仿宋_GBK" w:cs="Times New Roman"/>
          <w:sz w:val="32"/>
          <w:szCs w:val="32"/>
          <w:shd w:val="clear" w:color="auto" w:fill="FFFFFF"/>
          <w:lang w:eastAsia="zh-CN"/>
        </w:rPr>
        <w:t>与上年决算数持平。</w:t>
      </w:r>
    </w:p>
    <w:p w14:paraId="4C637BDC">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本单位发生</w:t>
      </w:r>
      <w:r>
        <w:rPr>
          <w:rFonts w:hint="default" w:ascii="Times New Roman" w:hAnsi="Times New Roman" w:eastAsia="方正仿宋_GBK" w:cs="Times New Roman"/>
          <w:sz w:val="32"/>
          <w:szCs w:val="32"/>
          <w:shd w:val="clear" w:color="auto" w:fill="FFFFFF"/>
        </w:rPr>
        <w:t>培训费</w:t>
      </w:r>
      <w:r>
        <w:rPr>
          <w:rFonts w:hint="default" w:ascii="Times New Roman" w:hAnsi="Times New Roman" w:eastAsia="方正仿宋_GBK" w:cs="Times New Roman"/>
          <w:sz w:val="32"/>
          <w:szCs w:val="32"/>
          <w:shd w:val="clear" w:color="auto" w:fill="FFFFFF"/>
          <w:lang w:val="en-US" w:eastAsia="zh-CN"/>
        </w:rPr>
        <w:t>0.85万元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与上年决算数增加</w:t>
      </w:r>
      <w:r>
        <w:rPr>
          <w:rFonts w:hint="default" w:ascii="Times New Roman" w:hAnsi="Times New Roman" w:eastAsia="方正仿宋_GBK" w:cs="Times New Roman"/>
          <w:sz w:val="32"/>
          <w:szCs w:val="32"/>
          <w:shd w:val="clear" w:color="auto" w:fill="FFFFFF"/>
          <w:lang w:val="en-US" w:eastAsia="zh-CN"/>
        </w:rPr>
        <w:t>0.85万元，</w:t>
      </w:r>
      <w:r>
        <w:rPr>
          <w:rFonts w:hint="default" w:ascii="Times New Roman" w:hAnsi="Times New Roman" w:eastAsia="方正仿宋_GBK" w:cs="Times New Roman"/>
          <w:sz w:val="32"/>
          <w:szCs w:val="32"/>
          <w:shd w:val="clear" w:color="auto" w:fill="FFFFFF"/>
        </w:rPr>
        <w:t>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lang w:val="en-US" w:eastAsia="zh-CN"/>
        </w:rPr>
        <w:t>本单位2023年4月成立，2023年12月招录2名研究生相关支出未单独核算和报决算，合并到主管部门县商务委（本级）核算和报决算，导致上年度数据没有，本年度数据增加。</w:t>
      </w:r>
    </w:p>
    <w:p w14:paraId="1610A30B">
      <w:pPr>
        <w:keepNext w:val="0"/>
        <w:keepLines w:val="0"/>
        <w:pageBreakBefore w:val="0"/>
        <w:numPr>
          <w:ilvl w:val="0"/>
          <w:numId w:val="0"/>
        </w:numP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rPr>
        <w:t>年度差旅费支出</w:t>
      </w:r>
      <w:r>
        <w:rPr>
          <w:rFonts w:hint="default"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与2023年度相比，增加0.60万元，增长100.0%，主要原因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2023年4月成立，2023年12月招录2名研究生相关支出未单独核算和报决算，合并到主管部门县商务委（本级）核算和报决算，导致上年度数据没有，本年度数据增加。二是</w:t>
      </w:r>
      <w:r>
        <w:rPr>
          <w:rFonts w:hint="default" w:ascii="Times New Roman" w:hAnsi="Times New Roman" w:eastAsia="方正仿宋_GBK" w:cs="Times New Roman"/>
          <w:sz w:val="32"/>
          <w:szCs w:val="32"/>
          <w:shd w:val="clear" w:color="auto" w:fill="FFFFFF"/>
          <w:lang w:val="en-US" w:eastAsia="zh-CN"/>
        </w:rPr>
        <w:t>2024年调入2名人员，导致费用增加。</w:t>
      </w:r>
    </w:p>
    <w:p w14:paraId="3B265176">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1451AFC7">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按照部门决算列报口径，本单位不在机关运行经费统计范围之内。</w:t>
      </w:r>
    </w:p>
    <w:p w14:paraId="30740300">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317A273B">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0AAB5D02">
      <w:pPr>
        <w:pStyle w:val="11"/>
        <w:keepNext w:val="0"/>
        <w:keepLines w:val="0"/>
        <w:pageBreakBefore w:val="0"/>
        <w:widowControl/>
        <w:numPr>
          <w:ilvl w:val="0"/>
          <w:numId w:val="2"/>
        </w:numPr>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政府采购支出情况说明</w:t>
      </w:r>
    </w:p>
    <w:p w14:paraId="183A683B">
      <w:pPr>
        <w:pStyle w:val="11"/>
        <w:keepNext w:val="0"/>
        <w:keepLines w:val="0"/>
        <w:pageBreakBefore w:val="0"/>
        <w:widowControl/>
        <w:numPr>
          <w:ilvl w:val="0"/>
          <w:numId w:val="0"/>
        </w:numPr>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仿宋_GBK" w:cs="Times New Roman"/>
          <w:b/>
          <w:bCs/>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政府采购</w:t>
      </w:r>
      <w:r>
        <w:rPr>
          <w:rFonts w:hint="default" w:ascii="Times New Roman" w:hAnsi="Times New Roman" w:eastAsia="方正仿宋_GBK" w:cs="Times New Roman"/>
          <w:sz w:val="32"/>
          <w:szCs w:val="32"/>
          <w:shd w:val="clear" w:color="auto" w:fill="FFFFFF"/>
          <w:lang w:eastAsia="zh-CN"/>
        </w:rPr>
        <w:t>事项</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无相关经费支出。</w:t>
      </w:r>
    </w:p>
    <w:p w14:paraId="25B3355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5337678B">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（一）单位自评情况</w:t>
      </w:r>
    </w:p>
    <w:p w14:paraId="4DCB668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2024年本单位无项目资金，未组织开展预算绩效自评。</w:t>
      </w:r>
    </w:p>
    <w:p w14:paraId="19258D9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（二）</w:t>
      </w:r>
      <w:r>
        <w:rPr>
          <w:rFonts w:hint="default" w:ascii="Times New Roman" w:hAnsi="Times New Roman" w:eastAsia="方正楷体_GBK" w:cs="Times New Roman"/>
          <w:b w:val="0"/>
          <w:bCs w:val="0"/>
          <w:kern w:val="0"/>
          <w:sz w:val="32"/>
          <w:szCs w:val="32"/>
          <w:shd w:val="clear" w:fill="FFFFFF"/>
          <w:lang w:eastAsia="zh-CN"/>
        </w:rPr>
        <w:t>单位</w:t>
      </w:r>
      <w:r>
        <w:rPr>
          <w:rFonts w:hint="default" w:ascii="Times New Roman" w:hAnsi="Times New Roman" w:eastAsia="方正楷体_GBK" w:cs="Times New Roman"/>
          <w:b w:val="0"/>
          <w:bCs w:val="0"/>
          <w:kern w:val="0"/>
          <w:sz w:val="32"/>
          <w:szCs w:val="32"/>
          <w:shd w:val="clear" w:fill="FFFFFF"/>
        </w:rPr>
        <w:t>绩效评价情况</w:t>
      </w:r>
    </w:p>
    <w:p w14:paraId="1F6C294C">
      <w:pPr>
        <w:pStyle w:val="16"/>
        <w:keepNext w:val="0"/>
        <w:keepLines w:val="0"/>
        <w:pageBreakBefore w:val="0"/>
        <w:widowControl/>
        <w:kinsoku/>
        <w:wordWrap/>
        <w:overflowPunct/>
        <w:topLinePunct w:val="0"/>
        <w:autoSpaceDE w:val="0"/>
        <w:autoSpaceDN/>
        <w:bidi w:val="0"/>
        <w:adjustRightInd/>
        <w:snapToGrid/>
        <w:spacing w:after="0" w:afterAutospacing="0" w:line="600" w:lineRule="exact"/>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2024年本单位无项目资金，未组织开展预算绩效自评。</w:t>
      </w:r>
    </w:p>
    <w:p w14:paraId="505B30F4">
      <w:pPr>
        <w:pStyle w:val="16"/>
        <w:keepNext w:val="0"/>
        <w:keepLines w:val="0"/>
        <w:pageBreakBefore w:val="0"/>
        <w:widowControl/>
        <w:kinsoku/>
        <w:wordWrap/>
        <w:overflowPunct/>
        <w:topLinePunct w:val="0"/>
        <w:autoSpaceDE w:val="0"/>
        <w:autoSpaceDN/>
        <w:bidi w:val="0"/>
        <w:adjustRightInd/>
        <w:snapToGrid/>
        <w:spacing w:after="0" w:afterAutospacing="0" w:line="600" w:lineRule="exact"/>
        <w:ind w:left="0" w:leftChars="0" w:firstLine="640" w:firstLineChars="200"/>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lang w:val="en-US" w:eastAsia="zh-CN" w:bidi="ar"/>
        </w:rPr>
        <w:t>（三）财政绩效评价情况</w:t>
      </w:r>
    </w:p>
    <w:p w14:paraId="3EDD5E02">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2024年本单位无项目资金，县财政局未委托第三方机构对本单位开展绩效评价。</w:t>
      </w:r>
    </w:p>
    <w:p w14:paraId="0FD2156F">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3"/>
          <w:rFonts w:hint="default" w:ascii="Times New Roman" w:hAnsi="Times New Roman" w:eastAsia="方正黑体_GBK" w:cs="Times New Roman"/>
          <w:b w:val="0"/>
          <w:bCs w:val="0"/>
          <w:sz w:val="32"/>
          <w:szCs w:val="32"/>
          <w:shd w:val="clear" w:fill="FFFFFF"/>
          <w:lang w:val="en-US" w:eastAsia="zh-CN"/>
        </w:rPr>
        <w:t xml:space="preserve"> </w:t>
      </w:r>
      <w:r>
        <w:rPr>
          <w:rStyle w:val="10"/>
          <w:rFonts w:hint="default" w:ascii="Times New Roman" w:hAnsi="Times New Roman" w:eastAsia="方正黑体_GBK" w:cs="Times New Roman"/>
          <w:b w:val="0"/>
          <w:bCs w:val="0"/>
          <w:sz w:val="32"/>
          <w:szCs w:val="32"/>
          <w:shd w:val="clear" w:color="auto" w:fill="FFFFFF"/>
          <w:lang w:val="en-US" w:eastAsia="zh-CN" w:bidi="ar-SA"/>
        </w:rPr>
        <w:t xml:space="preserve"> 六、专业名词解释</w:t>
      </w:r>
    </w:p>
    <w:p w14:paraId="2995B64D">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060E152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73625CD">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45D4226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CDCEBD0">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F2E9FE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B064067">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5965E653">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098692D1">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EF722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5994BB4D">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DB02759">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93BF47">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473479">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76362FE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26021871">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2D433B8B">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D721897">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kern w:val="0"/>
          <w:sz w:val="32"/>
          <w:szCs w:val="32"/>
        </w:rPr>
      </w:pPr>
      <w:r>
        <w:rPr>
          <w:rStyle w:val="10"/>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35C0C0F5">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70F85CB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彭喜梅；</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70738505</w:t>
      </w:r>
    </w:p>
    <w:p w14:paraId="48C87CB1">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E64A7D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F785146">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38D7CC8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81749E">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B95A868">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FFA4545">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D7685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5066DBA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7660A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丰都县口岸和物流服务中心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B1C750D">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9D95E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FA8580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21D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D1670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47D40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E7C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7CD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7A4C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082D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09908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4F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29713">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59.61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44B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3F3D">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47.21</w:t>
            </w:r>
          </w:p>
        </w:tc>
      </w:tr>
      <w:tr w14:paraId="0DAAA8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9E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806F0">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AE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1B90">
            <w:pPr>
              <w:wordWrap/>
              <w:spacing w:line="200" w:lineRule="exact"/>
              <w:jc w:val="center"/>
              <w:textAlignment w:val="center"/>
              <w:rPr>
                <w:rFonts w:hint="default" w:ascii="Times New Roman" w:hAnsi="Times New Roman" w:cs="Times New Roman"/>
                <w:color w:val="000000"/>
                <w:sz w:val="20"/>
                <w:szCs w:val="20"/>
              </w:rPr>
            </w:pPr>
          </w:p>
        </w:tc>
      </w:tr>
      <w:tr w14:paraId="2A4AE6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9A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E6120">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321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66908">
            <w:pPr>
              <w:wordWrap/>
              <w:spacing w:line="200" w:lineRule="exact"/>
              <w:jc w:val="center"/>
              <w:textAlignment w:val="center"/>
              <w:rPr>
                <w:rFonts w:hint="default" w:ascii="Times New Roman" w:hAnsi="Times New Roman" w:cs="Times New Roman"/>
                <w:color w:val="000000"/>
                <w:sz w:val="20"/>
                <w:szCs w:val="20"/>
              </w:rPr>
            </w:pPr>
          </w:p>
        </w:tc>
      </w:tr>
      <w:tr w14:paraId="44D97A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FA8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C9B35">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C25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B6A40">
            <w:pPr>
              <w:wordWrap/>
              <w:spacing w:line="200" w:lineRule="exact"/>
              <w:jc w:val="center"/>
              <w:textAlignment w:val="center"/>
              <w:rPr>
                <w:rFonts w:hint="default" w:ascii="Times New Roman" w:hAnsi="Times New Roman" w:cs="Times New Roman"/>
                <w:color w:val="000000"/>
                <w:sz w:val="20"/>
                <w:szCs w:val="20"/>
              </w:rPr>
            </w:pPr>
          </w:p>
        </w:tc>
      </w:tr>
      <w:tr w14:paraId="2A7280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14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2D809">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E48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0167F">
            <w:pPr>
              <w:wordWrap/>
              <w:spacing w:line="200" w:lineRule="exact"/>
              <w:jc w:val="center"/>
              <w:textAlignment w:val="center"/>
              <w:rPr>
                <w:rFonts w:hint="default" w:ascii="Times New Roman" w:hAnsi="Times New Roman" w:cs="Times New Roman"/>
                <w:color w:val="000000"/>
                <w:sz w:val="20"/>
                <w:szCs w:val="20"/>
              </w:rPr>
            </w:pPr>
          </w:p>
        </w:tc>
      </w:tr>
      <w:tr w14:paraId="06186D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A1F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12F94">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7B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B83EF">
            <w:pPr>
              <w:wordWrap/>
              <w:spacing w:line="200" w:lineRule="exact"/>
              <w:jc w:val="center"/>
              <w:textAlignment w:val="center"/>
              <w:rPr>
                <w:rFonts w:hint="default" w:ascii="Times New Roman" w:hAnsi="Times New Roman" w:cs="Times New Roman"/>
                <w:color w:val="000000"/>
                <w:sz w:val="20"/>
                <w:szCs w:val="20"/>
              </w:rPr>
            </w:pPr>
          </w:p>
        </w:tc>
      </w:tr>
      <w:tr w14:paraId="5D25DA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70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FEE8">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9B3D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7D3B9">
            <w:pPr>
              <w:wordWrap/>
              <w:spacing w:line="200" w:lineRule="exact"/>
              <w:jc w:val="center"/>
              <w:textAlignment w:val="center"/>
              <w:rPr>
                <w:rFonts w:hint="default" w:ascii="Times New Roman" w:hAnsi="Times New Roman" w:cs="Times New Roman"/>
                <w:color w:val="000000"/>
                <w:sz w:val="20"/>
                <w:szCs w:val="20"/>
              </w:rPr>
            </w:pPr>
          </w:p>
        </w:tc>
      </w:tr>
      <w:tr w14:paraId="659C1A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0E4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C40F623">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0F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A5800">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7.13</w:t>
            </w:r>
          </w:p>
        </w:tc>
      </w:tr>
      <w:tr w14:paraId="5265EB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D1F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ABD52">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FCB8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E25DB">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w:t>
            </w:r>
          </w:p>
        </w:tc>
      </w:tr>
      <w:tr w14:paraId="631C87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1BC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4253C">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C56A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CBA8E">
            <w:pPr>
              <w:wordWrap/>
              <w:spacing w:line="200" w:lineRule="exact"/>
              <w:jc w:val="center"/>
              <w:textAlignment w:val="center"/>
              <w:rPr>
                <w:rFonts w:hint="default" w:ascii="Times New Roman" w:hAnsi="Times New Roman" w:cs="Times New Roman"/>
                <w:color w:val="000000"/>
                <w:sz w:val="20"/>
                <w:szCs w:val="20"/>
              </w:rPr>
            </w:pPr>
          </w:p>
        </w:tc>
      </w:tr>
      <w:tr w14:paraId="5FA191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F1D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EB1BD">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591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AA43F">
            <w:pPr>
              <w:wordWrap/>
              <w:spacing w:line="200" w:lineRule="exact"/>
              <w:jc w:val="center"/>
              <w:textAlignment w:val="center"/>
              <w:rPr>
                <w:rFonts w:hint="default" w:ascii="Times New Roman" w:hAnsi="Times New Roman" w:cs="Times New Roman"/>
                <w:color w:val="000000"/>
                <w:sz w:val="20"/>
                <w:szCs w:val="20"/>
              </w:rPr>
            </w:pPr>
          </w:p>
        </w:tc>
      </w:tr>
      <w:tr w14:paraId="121CF5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6BB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CFAB9">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BF56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35A39">
            <w:pPr>
              <w:wordWrap/>
              <w:spacing w:line="200" w:lineRule="exact"/>
              <w:jc w:val="center"/>
              <w:textAlignment w:val="center"/>
              <w:rPr>
                <w:rFonts w:hint="default" w:ascii="Times New Roman" w:hAnsi="Times New Roman" w:cs="Times New Roman"/>
                <w:color w:val="000000"/>
                <w:sz w:val="20"/>
                <w:szCs w:val="20"/>
              </w:rPr>
            </w:pPr>
          </w:p>
        </w:tc>
      </w:tr>
      <w:tr w14:paraId="3B4C5C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E18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87CE">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9B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769CB">
            <w:pPr>
              <w:wordWrap/>
              <w:spacing w:line="200" w:lineRule="exact"/>
              <w:jc w:val="center"/>
              <w:textAlignment w:val="center"/>
              <w:rPr>
                <w:rFonts w:hint="default" w:ascii="Times New Roman" w:hAnsi="Times New Roman" w:cs="Times New Roman"/>
                <w:color w:val="000000"/>
                <w:sz w:val="20"/>
                <w:szCs w:val="20"/>
              </w:rPr>
            </w:pPr>
          </w:p>
        </w:tc>
      </w:tr>
      <w:tr w14:paraId="0A086D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BBB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62CCD">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595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1597">
            <w:pPr>
              <w:wordWrap/>
              <w:spacing w:line="200" w:lineRule="exact"/>
              <w:jc w:val="center"/>
              <w:textAlignment w:val="center"/>
              <w:rPr>
                <w:rFonts w:hint="default" w:ascii="Times New Roman" w:hAnsi="Times New Roman" w:cs="Times New Roman"/>
                <w:color w:val="000000"/>
                <w:sz w:val="20"/>
                <w:szCs w:val="20"/>
              </w:rPr>
            </w:pPr>
          </w:p>
        </w:tc>
      </w:tr>
      <w:tr w14:paraId="5F70F2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BB2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C440">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3961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449C">
            <w:pPr>
              <w:wordWrap/>
              <w:spacing w:line="200" w:lineRule="exact"/>
              <w:jc w:val="center"/>
              <w:textAlignment w:val="center"/>
              <w:rPr>
                <w:rFonts w:hint="default" w:ascii="Times New Roman" w:hAnsi="Times New Roman" w:cs="Times New Roman"/>
                <w:color w:val="000000"/>
                <w:sz w:val="20"/>
                <w:szCs w:val="20"/>
              </w:rPr>
            </w:pPr>
          </w:p>
        </w:tc>
      </w:tr>
      <w:tr w14:paraId="3551C9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C04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0D6F">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F72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EC111">
            <w:pPr>
              <w:wordWrap/>
              <w:spacing w:line="200" w:lineRule="exact"/>
              <w:jc w:val="center"/>
              <w:textAlignment w:val="center"/>
              <w:rPr>
                <w:rFonts w:hint="default" w:ascii="Times New Roman" w:hAnsi="Times New Roman" w:cs="Times New Roman"/>
                <w:color w:val="000000"/>
                <w:sz w:val="20"/>
                <w:szCs w:val="20"/>
              </w:rPr>
            </w:pPr>
          </w:p>
        </w:tc>
      </w:tr>
      <w:tr w14:paraId="5A5838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EEE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9627E">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9B4E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EA5A">
            <w:pPr>
              <w:wordWrap/>
              <w:spacing w:line="200" w:lineRule="exact"/>
              <w:jc w:val="center"/>
              <w:textAlignment w:val="center"/>
              <w:rPr>
                <w:rFonts w:hint="default" w:ascii="Times New Roman" w:hAnsi="Times New Roman" w:cs="Times New Roman"/>
                <w:color w:val="000000"/>
                <w:sz w:val="20"/>
                <w:szCs w:val="20"/>
              </w:rPr>
            </w:pPr>
          </w:p>
        </w:tc>
      </w:tr>
      <w:tr w14:paraId="2934D2F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4F4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2C91">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CDE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6134">
            <w:pPr>
              <w:wordWrap/>
              <w:spacing w:line="200" w:lineRule="exact"/>
              <w:jc w:val="center"/>
              <w:textAlignment w:val="center"/>
              <w:rPr>
                <w:rFonts w:hint="default" w:ascii="Times New Roman" w:hAnsi="Times New Roman" w:cs="Times New Roman"/>
                <w:color w:val="000000"/>
                <w:sz w:val="20"/>
                <w:szCs w:val="20"/>
              </w:rPr>
            </w:pPr>
          </w:p>
        </w:tc>
      </w:tr>
      <w:tr w14:paraId="076048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4A1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54A6">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6F1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24493">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w:t>
            </w:r>
          </w:p>
        </w:tc>
      </w:tr>
      <w:tr w14:paraId="0AC7E3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B06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93FC5">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3254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0EA3">
            <w:pPr>
              <w:wordWrap/>
              <w:spacing w:line="200" w:lineRule="exact"/>
              <w:jc w:val="center"/>
              <w:textAlignment w:val="center"/>
              <w:rPr>
                <w:rFonts w:hint="default" w:ascii="Times New Roman" w:hAnsi="Times New Roman" w:cs="Times New Roman"/>
                <w:color w:val="000000"/>
                <w:sz w:val="20"/>
                <w:szCs w:val="20"/>
              </w:rPr>
            </w:pPr>
          </w:p>
        </w:tc>
      </w:tr>
      <w:tr w14:paraId="302BAA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B3F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D53A4">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15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7A09">
            <w:pPr>
              <w:wordWrap/>
              <w:spacing w:line="200" w:lineRule="exact"/>
              <w:jc w:val="center"/>
              <w:textAlignment w:val="center"/>
              <w:rPr>
                <w:rFonts w:hint="default" w:ascii="Times New Roman" w:hAnsi="Times New Roman" w:cs="Times New Roman"/>
                <w:color w:val="000000"/>
                <w:sz w:val="20"/>
                <w:szCs w:val="20"/>
              </w:rPr>
            </w:pPr>
          </w:p>
        </w:tc>
      </w:tr>
      <w:tr w14:paraId="40C04B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88A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B8F7">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3F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80B9B">
            <w:pPr>
              <w:wordWrap/>
              <w:spacing w:line="200" w:lineRule="exact"/>
              <w:jc w:val="center"/>
              <w:textAlignment w:val="center"/>
              <w:rPr>
                <w:rFonts w:hint="default" w:ascii="Times New Roman" w:hAnsi="Times New Roman" w:cs="Times New Roman"/>
                <w:color w:val="000000"/>
                <w:sz w:val="20"/>
                <w:szCs w:val="20"/>
              </w:rPr>
            </w:pPr>
          </w:p>
        </w:tc>
      </w:tr>
      <w:tr w14:paraId="2954B9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974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C25C0">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C08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02FC">
            <w:pPr>
              <w:wordWrap/>
              <w:spacing w:line="200" w:lineRule="exact"/>
              <w:jc w:val="center"/>
              <w:textAlignment w:val="center"/>
              <w:rPr>
                <w:rFonts w:hint="default" w:ascii="Times New Roman" w:hAnsi="Times New Roman" w:cs="Times New Roman"/>
                <w:color w:val="000000"/>
                <w:sz w:val="20"/>
                <w:szCs w:val="20"/>
              </w:rPr>
            </w:pPr>
          </w:p>
        </w:tc>
      </w:tr>
      <w:tr w14:paraId="04C9D7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ABB1">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0034D">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72D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EF5ED">
            <w:pPr>
              <w:wordWrap/>
              <w:spacing w:line="200" w:lineRule="exact"/>
              <w:jc w:val="center"/>
              <w:textAlignment w:val="center"/>
              <w:rPr>
                <w:rFonts w:hint="default" w:ascii="Times New Roman" w:hAnsi="Times New Roman" w:cs="Times New Roman"/>
                <w:color w:val="000000"/>
                <w:sz w:val="20"/>
                <w:szCs w:val="20"/>
              </w:rPr>
            </w:pPr>
          </w:p>
        </w:tc>
      </w:tr>
      <w:tr w14:paraId="20A66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841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20324">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59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A5641">
            <w:pPr>
              <w:wordWrap/>
              <w:spacing w:line="200" w:lineRule="exact"/>
              <w:jc w:val="center"/>
              <w:textAlignment w:val="center"/>
              <w:rPr>
                <w:rFonts w:hint="default" w:ascii="Times New Roman" w:hAnsi="Times New Roman" w:cs="Times New Roman"/>
                <w:color w:val="000000"/>
                <w:sz w:val="20"/>
                <w:szCs w:val="20"/>
              </w:rPr>
            </w:pPr>
          </w:p>
        </w:tc>
      </w:tr>
      <w:tr w14:paraId="0D5470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CA6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0007">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230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0B54E">
            <w:pPr>
              <w:wordWrap/>
              <w:spacing w:line="200" w:lineRule="exact"/>
              <w:jc w:val="center"/>
              <w:textAlignment w:val="center"/>
              <w:rPr>
                <w:rFonts w:hint="default" w:ascii="Times New Roman" w:hAnsi="Times New Roman" w:cs="Times New Roman"/>
                <w:color w:val="000000"/>
                <w:sz w:val="20"/>
                <w:szCs w:val="20"/>
              </w:rPr>
            </w:pPr>
          </w:p>
        </w:tc>
      </w:tr>
      <w:tr w14:paraId="463E96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ABEB">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0621D">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59.61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2F23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CCBA6">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59.60</w:t>
            </w:r>
          </w:p>
        </w:tc>
      </w:tr>
      <w:tr w14:paraId="754ABD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00A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BCC11">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CE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86725">
            <w:pPr>
              <w:wordWrap/>
              <w:spacing w:line="200" w:lineRule="exact"/>
              <w:jc w:val="center"/>
              <w:textAlignment w:val="center"/>
              <w:rPr>
                <w:rFonts w:hint="default" w:ascii="Times New Roman" w:hAnsi="Times New Roman" w:cs="Times New Roman"/>
                <w:color w:val="000000"/>
                <w:sz w:val="20"/>
                <w:szCs w:val="20"/>
              </w:rPr>
            </w:pPr>
          </w:p>
        </w:tc>
      </w:tr>
      <w:tr w14:paraId="22A9C1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7DA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8B775">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1C92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6FFBF1">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p>
        </w:tc>
      </w:tr>
      <w:tr w14:paraId="07DA170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88E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9E82">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59.61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BB08E4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9026B">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59.61</w:t>
            </w:r>
          </w:p>
        </w:tc>
      </w:tr>
    </w:tbl>
    <w:p w14:paraId="744A87DB">
      <w:pPr>
        <w:rPr>
          <w:rFonts w:hint="default" w:ascii="Times New Roman" w:hAnsi="Times New Roman" w:cs="Times New Roman"/>
          <w:sz w:val="21"/>
          <w:szCs w:val="21"/>
        </w:rPr>
      </w:pPr>
    </w:p>
    <w:p w14:paraId="4AE42105">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B66B06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C8929D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C54135E">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6EA538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丰都县口岸和物流服务中心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4241D1A6">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B3DA9C8">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15CDC0F">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AA8A941">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2D9896B">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776B3CE">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56BCD0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DA36F72">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D5F6473">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38FF9438">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2C75292">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BC81ECE">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6C9ED3E">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79DBE8">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86A85C">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BD54C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799D85">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5A3690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3C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C1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C7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ADD6E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61C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50D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C0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8B8EE0B">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D80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D5996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C0979">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25CD">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DD33">
            <w:pP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45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74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BCD9">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904B">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C594">
            <w:pPr>
              <w:jc w:val="center"/>
              <w:rPr>
                <w:rFonts w:hint="default" w:ascii="Times New Roman" w:hAnsi="Times New Roman" w:cs="Times New Roman"/>
                <w:b/>
                <w:color w:val="000000"/>
                <w:sz w:val="20"/>
                <w:szCs w:val="20"/>
              </w:rPr>
            </w:pPr>
          </w:p>
        </w:tc>
      </w:tr>
      <w:tr w14:paraId="2605CEB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8E2B">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91DE7E">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95780">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1AA20">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1F86">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EC33">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C4F5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1A9F">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B1D1D">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9EECB">
            <w:pPr>
              <w:jc w:val="center"/>
              <w:rPr>
                <w:rFonts w:hint="default" w:ascii="Times New Roman" w:hAnsi="Times New Roman" w:cs="Times New Roman"/>
                <w:b/>
                <w:color w:val="000000"/>
                <w:sz w:val="20"/>
                <w:szCs w:val="20"/>
              </w:rPr>
            </w:pPr>
          </w:p>
        </w:tc>
      </w:tr>
      <w:tr w14:paraId="507D940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4A20">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B76611">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6B76F">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79C1">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86C1">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FA6BA">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241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8B88">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73FC">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4BB4">
            <w:pPr>
              <w:jc w:val="center"/>
              <w:rPr>
                <w:rFonts w:hint="default" w:ascii="Times New Roman" w:hAnsi="Times New Roman" w:cs="Times New Roman"/>
                <w:b/>
                <w:color w:val="000000"/>
                <w:sz w:val="20"/>
                <w:szCs w:val="20"/>
              </w:rPr>
            </w:pPr>
          </w:p>
        </w:tc>
      </w:tr>
      <w:tr w14:paraId="6B86F5B9">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6E9D">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3EFB59">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D13C">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77B4F">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1304">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6D86">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9F6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13A7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C7F17">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7D737">
            <w:pPr>
              <w:jc w:val="center"/>
              <w:rPr>
                <w:rFonts w:hint="default" w:ascii="Times New Roman" w:hAnsi="Times New Roman" w:cs="Times New Roman"/>
                <w:b/>
                <w:color w:val="000000"/>
                <w:sz w:val="20"/>
                <w:szCs w:val="20"/>
              </w:rPr>
            </w:pPr>
          </w:p>
        </w:tc>
      </w:tr>
      <w:tr w14:paraId="5D063FDC">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78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D3D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59.61</w:t>
            </w:r>
            <w:r>
              <w:rPr>
                <w:rFonts w:hint="default" w:ascii="Times New Roman" w:hAnsi="Times New Roman" w:cs="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DD3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59.61</w:t>
            </w:r>
            <w:r>
              <w:rPr>
                <w:rFonts w:hint="default" w:ascii="Times New Roman" w:hAnsi="Times New Roman" w:cs="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768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95F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2F4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D54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8A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0DD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51592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DF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E3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1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47.22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6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47.22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C7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36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2C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32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2C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F8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D04A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8F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3C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8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47.22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A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47.22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0C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3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F8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4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3C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E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B281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A9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056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D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F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5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E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C1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11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B9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3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0339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82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C30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F5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A4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67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CB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25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0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20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2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7BD3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44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F8F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4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4F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0C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9C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FF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8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98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29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554B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84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BED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5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B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09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BB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E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34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1F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42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B906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5B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BE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F7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C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87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2F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2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5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EA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3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8BF4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54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CC9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F7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A1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A6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22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47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B6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83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F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32CA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0E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59C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C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E9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F8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B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72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5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8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B5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A6A0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DA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E0E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0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09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5C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D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0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E1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C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4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2588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CD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60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0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2E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B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E4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F4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9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0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F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4E48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16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278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4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0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C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1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DC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8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FE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D8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09B1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9E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A5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CD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8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5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EC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8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5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DD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B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E25D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10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D05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4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F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5C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9D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9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00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4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9C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7E6C345">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42122AC">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2FA27B5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46F07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58C892E">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6FD86AC">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丰都县口岸和物流服务中心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3268686">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C44E255">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37E30E9">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2348E9D">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D9DC3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2C2DEB1">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71FD247D">
            <w:pP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AC93E32">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21EFB00">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63E2F2C">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A5DDBF3">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8B64B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65E41E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12ACB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C2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1ED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FA4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574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CC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B3B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B667D37">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21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E6005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3249">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B385">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40B3">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7A96">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AE0C">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B6BB">
            <w:pPr>
              <w:jc w:val="center"/>
              <w:rPr>
                <w:rFonts w:hint="default" w:ascii="Times New Roman" w:hAnsi="Times New Roman" w:cs="Times New Roman"/>
                <w:b/>
                <w:color w:val="000000"/>
                <w:sz w:val="20"/>
                <w:szCs w:val="20"/>
              </w:rPr>
            </w:pPr>
          </w:p>
        </w:tc>
      </w:tr>
      <w:tr w14:paraId="53B04A7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3925">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B6BE80">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49D3">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5499">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4F81">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60CC">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3EA22">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801EB">
            <w:pPr>
              <w:jc w:val="center"/>
              <w:rPr>
                <w:rFonts w:hint="default" w:ascii="Times New Roman" w:hAnsi="Times New Roman" w:cs="Times New Roman"/>
                <w:b/>
                <w:color w:val="000000"/>
                <w:sz w:val="20"/>
                <w:szCs w:val="20"/>
              </w:rPr>
            </w:pPr>
          </w:p>
        </w:tc>
      </w:tr>
      <w:tr w14:paraId="7F40517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7F00">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1854B4">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B131">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1E2E5">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6D92">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0D24">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4FDB">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761CC">
            <w:pPr>
              <w:jc w:val="center"/>
              <w:rPr>
                <w:rFonts w:hint="default" w:ascii="Times New Roman" w:hAnsi="Times New Roman" w:cs="Times New Roman"/>
                <w:b/>
                <w:color w:val="000000"/>
                <w:sz w:val="20"/>
                <w:szCs w:val="20"/>
              </w:rPr>
            </w:pPr>
          </w:p>
        </w:tc>
      </w:tr>
      <w:tr w14:paraId="1DF9D13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85C3">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9A7C4A">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31BC">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5742">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96C8B">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6C889">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CED4">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B8AB">
            <w:pPr>
              <w:jc w:val="center"/>
              <w:rPr>
                <w:rFonts w:hint="default" w:ascii="Times New Roman" w:hAnsi="Times New Roman" w:cs="Times New Roman"/>
                <w:b/>
                <w:color w:val="000000"/>
                <w:sz w:val="20"/>
                <w:szCs w:val="20"/>
              </w:rPr>
            </w:pPr>
          </w:p>
        </w:tc>
      </w:tr>
      <w:tr w14:paraId="10E137A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55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AA2D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59.60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5FDDA">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59.60</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7BD3">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FC705">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78D7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619F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3E8B2D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D6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7B2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AE6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47.21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985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47.21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7F2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D1B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71F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D4A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9C1D4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4A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BC5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A26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47.21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7D6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47.21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5AF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0C4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491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FFA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E1BD3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F7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C2E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24A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4E5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259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797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BF1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20A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90FBC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53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C5F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91E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326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B5A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301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AE5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A4C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A4417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B2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E24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2BC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82D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0EE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479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558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959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80411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DE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4BA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957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47D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3FD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31D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F5A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A2A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55616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53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7D7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0E6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508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7F0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B1A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8CA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90F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DE24E0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D2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47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A33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7F0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A1C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3FF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CB1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9A2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26047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56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BB5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B5F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C60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0A3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8BA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354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E33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3203D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A6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618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821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A28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49A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811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6A2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E93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03C2F6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EB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D9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5BC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6E1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AB7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09E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6C6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4BA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F9609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A9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26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354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257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1DC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793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8A6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522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C0B17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54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930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E3A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4A7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F1C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C48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212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EFE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A4690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46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1DC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58A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687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452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EF0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6EA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80A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1DFFCC9F">
      <w:pPr>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106A043">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00D29A0A">
      <w:pP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26F850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710DB3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CA4ADB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FBF3CA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丰都县口岸和物流服务中心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720327A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CB1A5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E49726">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7C465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063ADAE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96FD14B">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DBCD2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206C2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5EF741">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41AFF2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F1F75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7F0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87E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06AA09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E71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7E6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C344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A8E5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47B4A8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B9069">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211C">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802C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FC9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A3A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E92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5B3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8716E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9F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4E6B">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55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2DB8">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EA34">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4E5F">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2D8D">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E568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837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65CC">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CAB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C039">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B958">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EB5E">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05BB">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B452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0AC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4F0D">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FBE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E444">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EC49">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E059">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47A7">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BC1B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0A3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79110">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9C2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25A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0F7D">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29D3">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0ED0">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46FC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CDD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569B7">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61F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7D0B">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9A7E">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4A4A">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10DA">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CFB2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82F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36C38">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2F1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AE99">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42E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F945">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447F">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A8F5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0BA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38143">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BC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7CCD">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ECD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3E7F">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B3CA">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61CC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B6A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8A3B0">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6A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D2C4">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5F66">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06E1">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30F5">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7704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CCE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8A29C">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8F5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9270">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4F12">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DA85">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F649">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2FFB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C4E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453C">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7F7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38B0">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DB0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F7E7">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EBC0">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13A0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82F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BC68">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A4A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78FB">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7CA0">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1570">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9ACE">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A117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180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E455">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53E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FD8A">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993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2678">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327F">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0C1F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D40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71C5">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002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313E">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9933">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19BA">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4FA6">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6794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531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5EC9">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014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19A7">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8A4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D324">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12A4">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9734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61F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315C">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392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1037">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BACA">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9DCD">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15C4">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8EE2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CA9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E57E">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2D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486E">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073D">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884A">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BEA1">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2B4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D11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69FD">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455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E7E4">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ED87">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B3BC">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47B4">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0371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380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FB76">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FD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44E5">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1995">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55AE">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28B9">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C619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8A1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EA27">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64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1D37">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18B9">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9627">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860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32AE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5EB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15FD">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70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1A4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998C">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25EF">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1E4F">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83A8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7A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AD19">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B1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9CF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14D1">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78D0">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5AAD">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E23D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462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841A">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0DA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3F45">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A22E">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62AF">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3111">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4758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816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2A53">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5E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61A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FB90">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E01B">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38A0">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13E2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0D8A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3B6B">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51E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F046">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C684">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7DB7">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74C7">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8035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4639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4869">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BA3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44FC">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3721">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4887">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23A9">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A47C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D7931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6FB5">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F1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9F1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24C7">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232B">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A2D9">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362E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D16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05D6">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846B">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6AEB">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CE0E">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45DC">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F5AA">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560A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CA7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05BF">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AD5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3A65">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F6B8">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FAD0">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2317">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94BD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62A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6BCB">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180B10">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8C18D">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BD8F3F">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7FB40B">
            <w:pPr>
              <w:spacing w:line="200" w:lineRule="exact"/>
              <w:jc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715DB">
            <w:pPr>
              <w:spacing w:line="200" w:lineRule="exact"/>
              <w:rPr>
                <w:rFonts w:hint="default" w:ascii="Times New Roman" w:hAnsi="Times New Roman" w:cs="Times New Roman"/>
                <w:color w:val="000000"/>
                <w:sz w:val="18"/>
                <w:szCs w:val="18"/>
              </w:rPr>
            </w:pPr>
          </w:p>
        </w:tc>
      </w:tr>
      <w:tr w14:paraId="0E32D1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A02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D93B">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708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1D56">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E4BC">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589D">
            <w:pPr>
              <w:spacing w:line="200" w:lineRule="exact"/>
              <w:jc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3E45">
            <w:pPr>
              <w:spacing w:line="200" w:lineRule="exact"/>
              <w:jc w:val="right"/>
              <w:rPr>
                <w:rFonts w:hint="default" w:ascii="Times New Roman" w:hAnsi="Times New Roman" w:cs="Times New Roman"/>
                <w:color w:val="000000"/>
                <w:sz w:val="18"/>
                <w:szCs w:val="18"/>
              </w:rPr>
            </w:pPr>
          </w:p>
        </w:tc>
      </w:tr>
      <w:tr w14:paraId="1D5A18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0F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7D20">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464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A7D7">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08F7">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2322">
            <w:pPr>
              <w:spacing w:line="200" w:lineRule="exact"/>
              <w:jc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4B92">
            <w:pPr>
              <w:spacing w:line="200" w:lineRule="exact"/>
              <w:jc w:val="right"/>
              <w:rPr>
                <w:rFonts w:hint="default" w:ascii="Times New Roman" w:hAnsi="Times New Roman" w:cs="Times New Roman"/>
                <w:color w:val="000000"/>
                <w:sz w:val="18"/>
                <w:szCs w:val="18"/>
              </w:rPr>
            </w:pPr>
          </w:p>
        </w:tc>
      </w:tr>
      <w:tr w14:paraId="25436C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E43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C400">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29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7871">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F00A">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C9FB">
            <w:pPr>
              <w:wordWrap/>
              <w:spacing w:line="200" w:lineRule="exact"/>
              <w:jc w:val="center"/>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10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9C675A9">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05EB1C22">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02211D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1A7EB9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B79AE9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丰都县口岸和物流服务中心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35AEF0F">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8D672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1D9BAC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3AD6A0E">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E5A609E">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E7425C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DFBAD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13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0AE6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0E4461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5B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108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766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D61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33F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D46D92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21CA4">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BAF5E">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F4440">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87970">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CD36A">
            <w:pPr>
              <w:jc w:val="center"/>
              <w:rPr>
                <w:rFonts w:hint="default" w:ascii="Times New Roman" w:hAnsi="Times New Roman" w:cs="Times New Roman"/>
                <w:b/>
                <w:color w:val="000000"/>
                <w:sz w:val="20"/>
                <w:szCs w:val="20"/>
              </w:rPr>
            </w:pPr>
          </w:p>
        </w:tc>
      </w:tr>
      <w:tr w14:paraId="2ED4B42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14EF">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F646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0E819">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F8048">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34C35">
            <w:pPr>
              <w:jc w:val="center"/>
              <w:rPr>
                <w:rFonts w:hint="default" w:ascii="Times New Roman" w:hAnsi="Times New Roman" w:cs="Times New Roman"/>
                <w:b/>
                <w:color w:val="000000"/>
                <w:sz w:val="20"/>
                <w:szCs w:val="20"/>
              </w:rPr>
            </w:pPr>
          </w:p>
        </w:tc>
      </w:tr>
      <w:tr w14:paraId="284FF58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0D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228C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ABA2">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59.60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7E48F">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5768EB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5D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99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5872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4030F">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47.21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41B9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44ABE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67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C53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B4BA5">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4987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47.21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9453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2DE83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14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F37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BEA8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524E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47.21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D41EF">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572E8F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24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2D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A7682">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0B3A4">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2C73">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7D055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31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A7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F823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268A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932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37A81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65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377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3ED0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7C53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077D0">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B9E72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5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20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55D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7CD84">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CC82">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449D4A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FD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298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A2F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EA46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F564">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313D9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D3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F4E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2754">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AB12F">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7992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31304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00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B7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6747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E780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B88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470E88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8E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27D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FF3E1">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D54F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303A0">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509C7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34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F34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2D781">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73C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D40E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696359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47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602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8FD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75F4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24A4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0F6411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A8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143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37F83">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0BE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5B14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37B079A9">
      <w:pPr>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bookmarkStart w:id="0" w:name="_GoBack"/>
      <w:bookmarkEnd w:id="0"/>
    </w:p>
    <w:p w14:paraId="642CEA19">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572D51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224CCA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173D0C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9A69DC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丰都县口岸和物流服务中心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1201DCE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8A4EE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7848C0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5BD03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CC602E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33AEFD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3F0099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A5397D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10B6F7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462AD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3CBA31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93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E327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255501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9CB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F69A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263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0136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9DD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A220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2A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397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A50F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B0A5B1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ABC2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1B64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3C73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B8E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093B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E4DF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580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CDF5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1C4A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3FE127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A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59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75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E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A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434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DE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A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1C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37F5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A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E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45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5C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1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B1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5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B9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CC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719A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3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3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AB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0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8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4C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C6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8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6E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854C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B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95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09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A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3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7DE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A9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5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44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7973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6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3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83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8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5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200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65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A3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E8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15C1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0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55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DF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E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20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E0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A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9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C0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790C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1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60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95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A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2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E7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1F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1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2D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FB11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5B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0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97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2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9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71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0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3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07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F0CE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9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F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76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CE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3B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89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D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5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DB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D555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7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5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B3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C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6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8D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2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AA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60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2A64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F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A3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6B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D6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D4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6F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56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4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33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D039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0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A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11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64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F0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A7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4F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4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9A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51F6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2E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66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2A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B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0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A1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D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0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E0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01AB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D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6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94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3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A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4CE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A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5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F9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1724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C7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2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46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3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71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AE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9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3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37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1601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7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92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06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6F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15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9C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E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F0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34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B854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A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5E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DB2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25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8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C4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CA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6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5B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400A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14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C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21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1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F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A4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7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B6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4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721C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F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D3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78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C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EC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82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9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D7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2E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ADE8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A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F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BC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1E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D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1B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D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2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4C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0C96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1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53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BD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D9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B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9B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85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9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73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5C5A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4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74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6D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3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9C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A4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1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6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A2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1FB5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C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E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05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4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D5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E1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90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B47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B9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9BF1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D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B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26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C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51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06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F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7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25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6660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B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34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2CC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C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B1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244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4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6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D1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6C5B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34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7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71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4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6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7C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D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C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42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E56A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0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2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91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B0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5F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00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0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4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19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53DF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AB3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4A9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B69F8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A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B5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787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5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2B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A4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6C50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B7C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617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CB1B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ED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7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5C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0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02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5B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847F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B7D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21E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4271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2C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D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AA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5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1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25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58B2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774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2CF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09F5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3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2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D1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E2C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831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2BF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BFC32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2D3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A2E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04F7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FA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2A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24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9E6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D43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AEE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CE8810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459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C6C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9A91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1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8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EC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D8E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47C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6DA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1E2615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5A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6C31C">
            <w:pPr>
              <w:keepNext w:val="0"/>
              <w:keepLines w:val="0"/>
              <w:pageBreakBefore w:val="0"/>
              <w:widowControl/>
              <w:kinsoku/>
              <w:wordWrap/>
              <w:overflowPunct/>
              <w:topLinePunct w:val="0"/>
              <w:autoSpaceDE/>
              <w:autoSpaceDN/>
              <w:bidi w:val="0"/>
              <w:adjustRightInd/>
              <w:snapToGrid/>
              <w:spacing w:line="192" w:lineRule="exact"/>
              <w:jc w:val="center"/>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54.22</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8675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FB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w:t>
            </w:r>
            <w:r>
              <w:rPr>
                <w:rFonts w:hint="default" w:ascii="Times New Roman" w:hAnsi="Times New Roman" w:cs="Times New Roman"/>
                <w:color w:val="000000"/>
                <w:sz w:val="18"/>
                <w:u w:color="auto"/>
              </w:rPr>
              <w:t xml:space="preserve"> </w:t>
            </w:r>
          </w:p>
        </w:tc>
      </w:tr>
    </w:tbl>
    <w:p w14:paraId="1388CF6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2189003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46F928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C6353C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7F48A2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丰都县口岸和物流服务中心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5944EA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43CF7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CE776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72EFDEA">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06C12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E6DE89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2631A4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33E36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8B773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FE0952">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853C267">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4CC5D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FCD0EC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ECF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CC35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58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C662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904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5241DE5">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C0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72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382BE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0B46">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84D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688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25B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370A">
            <w:pPr>
              <w:jc w:val="center"/>
              <w:rPr>
                <w:rFonts w:hint="default" w:ascii="Times New Roman" w:hAnsi="Times New Roman" w:cs="Times New Roman"/>
                <w:b/>
                <w:color w:val="000000"/>
                <w:sz w:val="20"/>
                <w:szCs w:val="20"/>
              </w:rPr>
            </w:pPr>
          </w:p>
        </w:tc>
      </w:tr>
      <w:tr w14:paraId="26820986">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6408">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7C2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D926C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C06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BF06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69175">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A0D99">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F07DD">
            <w:pPr>
              <w:jc w:val="center"/>
              <w:rPr>
                <w:rFonts w:hint="default" w:ascii="Times New Roman" w:hAnsi="Times New Roman" w:cs="Times New Roman"/>
                <w:b/>
                <w:color w:val="000000"/>
                <w:sz w:val="20"/>
                <w:szCs w:val="20"/>
              </w:rPr>
            </w:pPr>
          </w:p>
        </w:tc>
      </w:tr>
      <w:tr w14:paraId="701A11F3">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856E">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1C0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B0772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9C4B">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2006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402AB">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3462A">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8651">
            <w:pPr>
              <w:jc w:val="center"/>
              <w:rPr>
                <w:rFonts w:hint="default" w:ascii="Times New Roman" w:hAnsi="Times New Roman" w:cs="Times New Roman"/>
                <w:b/>
                <w:color w:val="000000"/>
                <w:sz w:val="20"/>
                <w:szCs w:val="20"/>
              </w:rPr>
            </w:pPr>
          </w:p>
        </w:tc>
      </w:tr>
      <w:tr w14:paraId="25ED319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C7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B57AA">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8800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38763">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5357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41F0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7253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6AD7B62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D6FA">
            <w:pPr>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4242">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94C2">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0647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74D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ECF7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0DED">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2BE0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69A73B28">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本年度政府性基金预算财政拨款收入支出及结转和结余情况。本</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2D6F9B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55C467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E949E2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EB1851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1D752F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丰都县口岸和物流服务中心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16D6EF1">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A7764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D1445C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376A77F">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582BAB4">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02E9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D596AF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664F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70543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7F2A34B">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02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277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ECD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1F8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3F20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E1D864E">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B227">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811D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191C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8B7EA">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79C66">
            <w:pPr>
              <w:jc w:val="center"/>
              <w:rPr>
                <w:rFonts w:hint="default" w:ascii="Times New Roman" w:hAnsi="Times New Roman" w:cs="Times New Roman"/>
                <w:b/>
                <w:color w:val="000000"/>
                <w:sz w:val="20"/>
                <w:szCs w:val="20"/>
              </w:rPr>
            </w:pPr>
          </w:p>
        </w:tc>
      </w:tr>
      <w:tr w14:paraId="5128D63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2841">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35048">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55CC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9D88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531A6">
            <w:pPr>
              <w:jc w:val="center"/>
              <w:rPr>
                <w:rFonts w:hint="default" w:ascii="Times New Roman" w:hAnsi="Times New Roman" w:cs="Times New Roman"/>
                <w:b/>
                <w:color w:val="000000"/>
                <w:sz w:val="20"/>
                <w:szCs w:val="20"/>
              </w:rPr>
            </w:pPr>
          </w:p>
        </w:tc>
      </w:tr>
      <w:tr w14:paraId="02EB8D6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9ADD">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6B89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1A8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4F4B3">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975EF">
            <w:pPr>
              <w:jc w:val="center"/>
              <w:rPr>
                <w:rFonts w:hint="default" w:ascii="Times New Roman" w:hAnsi="Times New Roman" w:cs="Times New Roman"/>
                <w:b/>
                <w:color w:val="000000"/>
                <w:sz w:val="20"/>
                <w:szCs w:val="20"/>
              </w:rPr>
            </w:pPr>
          </w:p>
        </w:tc>
      </w:tr>
      <w:tr w14:paraId="6ED6109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F2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E7D4">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6EC26">
            <w:pPr>
              <w:jc w:val="center"/>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EB6FA">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3B85EA8">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CE46">
            <w:pP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B383">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2EB1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DD07">
            <w:pPr>
              <w:jc w:val="center"/>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A011">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23A27552">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1E18AF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20B328A9">
        <w:trPr>
          <w:trHeight w:val="343" w:hRule="atLeast"/>
        </w:trPr>
        <w:tc>
          <w:tcPr>
            <w:tcW w:w="5000" w:type="pct"/>
            <w:gridSpan w:val="5"/>
            <w:shd w:val="clear" w:color="auto" w:fill="auto"/>
            <w:noWrap/>
            <w:tcMar>
              <w:top w:w="15" w:type="dxa"/>
              <w:left w:w="15" w:type="dxa"/>
              <w:right w:w="15" w:type="dxa"/>
            </w:tcMar>
            <w:vAlign w:val="bottom"/>
          </w:tcPr>
          <w:p w14:paraId="1221B74C">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7A8006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DFAEF59">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3F6FE55B">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BE4B9AE">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B2F90A7">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819414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C5C67A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4ACB359">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丰都县口岸和物流服务中心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FE12598">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103188B">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A0F48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B65B57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256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ABC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AB9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3FE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01E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C19E17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03F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5EE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939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7E0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89C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4196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4B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F65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61C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5F2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B1A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03E6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5A9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22A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74D9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044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157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F2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228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ADB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676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E74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BF03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05FE3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2C4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179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9A4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ADC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069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6C1C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C7C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69E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340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AB0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AB3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C7DC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894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BFFB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977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B61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7A9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6CFE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C56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5A1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15B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A6C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417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1ABF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B74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4EC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FE9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51E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E10C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9AAC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2FE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B08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476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D29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2D8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B440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197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ABB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DB23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984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C9D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C793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AC6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22B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88B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A1D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BD6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915D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695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6E0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D26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345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CE1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C55D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FBA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247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CF8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B7F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50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CCF3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AFF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8D1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42A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418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DB95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0E94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D54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C28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A88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80B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672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9A93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0EA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5DF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5AE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00B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D76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BD9D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DFD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1BF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D0A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8A3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D16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FE72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452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57F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0C2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8BD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AA2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22A4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1BB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E70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5D9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990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85D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77FA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F9D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D49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7D5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B01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C63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E2B4E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077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4CD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4FA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4BC5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3C32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566A8CD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197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6F3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E928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0.85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F711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6A26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6E98987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4E7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0FE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EB1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0D18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394B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2A78FD59">
      <w:pPr>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default" w:ascii="Times New Roman" w:hAnsi="Times New Roman" w:cs="Times New Roman"/>
          <w:sz w:val="18"/>
          <w:szCs w:val="18"/>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D74F">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1D22B76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B9C2">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4118F46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E99365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79BC">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23979"/>
    <w:multiLevelType w:val="singleLevel"/>
    <w:tmpl w:val="D9C23979"/>
    <w:lvl w:ilvl="0" w:tentative="0">
      <w:start w:val="4"/>
      <w:numFmt w:val="decimal"/>
      <w:suff w:val="nothing"/>
      <w:lvlText w:val="（%1）"/>
      <w:lvlJc w:val="left"/>
      <w:pPr>
        <w:ind w:left="80"/>
      </w:pPr>
    </w:lvl>
  </w:abstractNum>
  <w:abstractNum w:abstractNumId="1">
    <w:nsid w:val="1F15FAD5"/>
    <w:multiLevelType w:val="singleLevel"/>
    <w:tmpl w:val="1F15FAD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A71FD9"/>
    <w:rsid w:val="01D31020"/>
    <w:rsid w:val="01F3521E"/>
    <w:rsid w:val="03077B2E"/>
    <w:rsid w:val="03B87EA0"/>
    <w:rsid w:val="03E3214F"/>
    <w:rsid w:val="044C50BA"/>
    <w:rsid w:val="04ED064B"/>
    <w:rsid w:val="050E236F"/>
    <w:rsid w:val="05BC6D49"/>
    <w:rsid w:val="06194FF1"/>
    <w:rsid w:val="06A2550B"/>
    <w:rsid w:val="06F80EE2"/>
    <w:rsid w:val="07001CCA"/>
    <w:rsid w:val="075678DB"/>
    <w:rsid w:val="079D7CC7"/>
    <w:rsid w:val="07CC279A"/>
    <w:rsid w:val="08051BCA"/>
    <w:rsid w:val="086C12F4"/>
    <w:rsid w:val="08BA052C"/>
    <w:rsid w:val="08DB07BA"/>
    <w:rsid w:val="0969353F"/>
    <w:rsid w:val="098305D0"/>
    <w:rsid w:val="098A0877"/>
    <w:rsid w:val="09A6701A"/>
    <w:rsid w:val="0A5C4B69"/>
    <w:rsid w:val="0A86124A"/>
    <w:rsid w:val="0A876E4C"/>
    <w:rsid w:val="0AB54CC0"/>
    <w:rsid w:val="0B9335CE"/>
    <w:rsid w:val="0C7927C4"/>
    <w:rsid w:val="0C9B098C"/>
    <w:rsid w:val="0D660F9A"/>
    <w:rsid w:val="0D673E11"/>
    <w:rsid w:val="0DDA54E4"/>
    <w:rsid w:val="0E084ABF"/>
    <w:rsid w:val="0E3A5F83"/>
    <w:rsid w:val="0E74421A"/>
    <w:rsid w:val="0EA46639"/>
    <w:rsid w:val="0EB4779A"/>
    <w:rsid w:val="0EC6180C"/>
    <w:rsid w:val="0F497FB6"/>
    <w:rsid w:val="0F836721"/>
    <w:rsid w:val="0FA25D96"/>
    <w:rsid w:val="10736478"/>
    <w:rsid w:val="107B59E5"/>
    <w:rsid w:val="10A65B52"/>
    <w:rsid w:val="10EC0126"/>
    <w:rsid w:val="10F70B9A"/>
    <w:rsid w:val="111445C7"/>
    <w:rsid w:val="114278C6"/>
    <w:rsid w:val="1158083A"/>
    <w:rsid w:val="11643A4B"/>
    <w:rsid w:val="11ED0F98"/>
    <w:rsid w:val="11F03528"/>
    <w:rsid w:val="12C921C4"/>
    <w:rsid w:val="12E666D9"/>
    <w:rsid w:val="12F52ECF"/>
    <w:rsid w:val="13871C70"/>
    <w:rsid w:val="13A71CB4"/>
    <w:rsid w:val="13AF1D43"/>
    <w:rsid w:val="13CE1647"/>
    <w:rsid w:val="13DA0C25"/>
    <w:rsid w:val="13FD55AB"/>
    <w:rsid w:val="14200702"/>
    <w:rsid w:val="14907817"/>
    <w:rsid w:val="163836F0"/>
    <w:rsid w:val="163A6CEE"/>
    <w:rsid w:val="16B703D3"/>
    <w:rsid w:val="173708E3"/>
    <w:rsid w:val="174C19C7"/>
    <w:rsid w:val="17C374FC"/>
    <w:rsid w:val="17C90AA4"/>
    <w:rsid w:val="184C3483"/>
    <w:rsid w:val="189079DC"/>
    <w:rsid w:val="189B0D0B"/>
    <w:rsid w:val="18AE1D93"/>
    <w:rsid w:val="18B43F7C"/>
    <w:rsid w:val="194A1770"/>
    <w:rsid w:val="19B906A4"/>
    <w:rsid w:val="19FB026E"/>
    <w:rsid w:val="1B6F15B6"/>
    <w:rsid w:val="1BAA2EDC"/>
    <w:rsid w:val="1C5C0973"/>
    <w:rsid w:val="1C760ACE"/>
    <w:rsid w:val="1CA55E64"/>
    <w:rsid w:val="1D014A01"/>
    <w:rsid w:val="1D022362"/>
    <w:rsid w:val="1D1B04B0"/>
    <w:rsid w:val="1D6534C4"/>
    <w:rsid w:val="1DBD6767"/>
    <w:rsid w:val="1DC52125"/>
    <w:rsid w:val="1DD26311"/>
    <w:rsid w:val="1DF06E2C"/>
    <w:rsid w:val="1E374ACB"/>
    <w:rsid w:val="1E5E27E3"/>
    <w:rsid w:val="1EA33588"/>
    <w:rsid w:val="1EB57761"/>
    <w:rsid w:val="1ECF0A66"/>
    <w:rsid w:val="1EF02DBA"/>
    <w:rsid w:val="1EF67CA4"/>
    <w:rsid w:val="1EFE272F"/>
    <w:rsid w:val="1F020D3A"/>
    <w:rsid w:val="1F2C5189"/>
    <w:rsid w:val="1F4B0B02"/>
    <w:rsid w:val="1FBB35CD"/>
    <w:rsid w:val="1FCD26AF"/>
    <w:rsid w:val="20642787"/>
    <w:rsid w:val="20F4064E"/>
    <w:rsid w:val="21556F04"/>
    <w:rsid w:val="22403BD3"/>
    <w:rsid w:val="22943A5C"/>
    <w:rsid w:val="22AA7723"/>
    <w:rsid w:val="22F4099F"/>
    <w:rsid w:val="23DA37D9"/>
    <w:rsid w:val="249266C1"/>
    <w:rsid w:val="24B92327"/>
    <w:rsid w:val="24C14514"/>
    <w:rsid w:val="2533755C"/>
    <w:rsid w:val="25791755"/>
    <w:rsid w:val="26396DF4"/>
    <w:rsid w:val="26C2328E"/>
    <w:rsid w:val="27167136"/>
    <w:rsid w:val="27B23302"/>
    <w:rsid w:val="28DC6771"/>
    <w:rsid w:val="29310A5F"/>
    <w:rsid w:val="29C37A35"/>
    <w:rsid w:val="2A076083"/>
    <w:rsid w:val="2A4D7312"/>
    <w:rsid w:val="2A73162E"/>
    <w:rsid w:val="2A751F0B"/>
    <w:rsid w:val="2B1020EE"/>
    <w:rsid w:val="2B167953"/>
    <w:rsid w:val="2B200583"/>
    <w:rsid w:val="2B220436"/>
    <w:rsid w:val="2B8209DE"/>
    <w:rsid w:val="2C6762A3"/>
    <w:rsid w:val="2CC25D73"/>
    <w:rsid w:val="2EA80FBB"/>
    <w:rsid w:val="2EBF7B3E"/>
    <w:rsid w:val="2EDE1934"/>
    <w:rsid w:val="2FCA4B37"/>
    <w:rsid w:val="2FE029D7"/>
    <w:rsid w:val="2FF06E00"/>
    <w:rsid w:val="30562E26"/>
    <w:rsid w:val="30586FEC"/>
    <w:rsid w:val="308161DA"/>
    <w:rsid w:val="30EC7046"/>
    <w:rsid w:val="315F0B22"/>
    <w:rsid w:val="319D022C"/>
    <w:rsid w:val="31C90022"/>
    <w:rsid w:val="31D84415"/>
    <w:rsid w:val="32285F6F"/>
    <w:rsid w:val="32770556"/>
    <w:rsid w:val="329C0913"/>
    <w:rsid w:val="32AA0460"/>
    <w:rsid w:val="3337290D"/>
    <w:rsid w:val="33E31118"/>
    <w:rsid w:val="33EF7674"/>
    <w:rsid w:val="340053F5"/>
    <w:rsid w:val="342D7BC6"/>
    <w:rsid w:val="34475F39"/>
    <w:rsid w:val="34CB7F77"/>
    <w:rsid w:val="34D87F48"/>
    <w:rsid w:val="352930DB"/>
    <w:rsid w:val="35447564"/>
    <w:rsid w:val="35573069"/>
    <w:rsid w:val="355F6038"/>
    <w:rsid w:val="358C217E"/>
    <w:rsid w:val="35937598"/>
    <w:rsid w:val="369C5882"/>
    <w:rsid w:val="36C9128A"/>
    <w:rsid w:val="372E3953"/>
    <w:rsid w:val="37841E99"/>
    <w:rsid w:val="37BF1123"/>
    <w:rsid w:val="383C3F15"/>
    <w:rsid w:val="38BE4696"/>
    <w:rsid w:val="3939115E"/>
    <w:rsid w:val="39AE7EC7"/>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4512C"/>
    <w:rsid w:val="3F885DCC"/>
    <w:rsid w:val="3FCD675E"/>
    <w:rsid w:val="3FD86860"/>
    <w:rsid w:val="4004000C"/>
    <w:rsid w:val="40D54604"/>
    <w:rsid w:val="411B6CE5"/>
    <w:rsid w:val="412070D7"/>
    <w:rsid w:val="41314E40"/>
    <w:rsid w:val="41E0734B"/>
    <w:rsid w:val="420936C7"/>
    <w:rsid w:val="426554D0"/>
    <w:rsid w:val="426C1EA8"/>
    <w:rsid w:val="42736402"/>
    <w:rsid w:val="42E86A87"/>
    <w:rsid w:val="43307B09"/>
    <w:rsid w:val="433B1FA6"/>
    <w:rsid w:val="43470647"/>
    <w:rsid w:val="43615785"/>
    <w:rsid w:val="438D0E97"/>
    <w:rsid w:val="43BB152F"/>
    <w:rsid w:val="440A7BCA"/>
    <w:rsid w:val="44494994"/>
    <w:rsid w:val="44C37687"/>
    <w:rsid w:val="45CB699A"/>
    <w:rsid w:val="465B470D"/>
    <w:rsid w:val="469D6AD4"/>
    <w:rsid w:val="471E6C84"/>
    <w:rsid w:val="4748792B"/>
    <w:rsid w:val="475D719D"/>
    <w:rsid w:val="47674801"/>
    <w:rsid w:val="478A34FC"/>
    <w:rsid w:val="47E47C6F"/>
    <w:rsid w:val="48225EF7"/>
    <w:rsid w:val="488F422B"/>
    <w:rsid w:val="48E36915"/>
    <w:rsid w:val="48E417B3"/>
    <w:rsid w:val="49125BB9"/>
    <w:rsid w:val="495C4A24"/>
    <w:rsid w:val="497135DF"/>
    <w:rsid w:val="4A1605D9"/>
    <w:rsid w:val="4A263DF2"/>
    <w:rsid w:val="4A463AC2"/>
    <w:rsid w:val="4A6F6675"/>
    <w:rsid w:val="4ABF0746"/>
    <w:rsid w:val="4B0502DF"/>
    <w:rsid w:val="4B135857"/>
    <w:rsid w:val="4B7951CB"/>
    <w:rsid w:val="4B7C315C"/>
    <w:rsid w:val="4C4874E2"/>
    <w:rsid w:val="4CCF773C"/>
    <w:rsid w:val="4D6D5452"/>
    <w:rsid w:val="4DAC4ACA"/>
    <w:rsid w:val="4DBE01D2"/>
    <w:rsid w:val="4E8D38D2"/>
    <w:rsid w:val="4EC92552"/>
    <w:rsid w:val="4ED14619"/>
    <w:rsid w:val="4EFC6D10"/>
    <w:rsid w:val="4F0C6BA3"/>
    <w:rsid w:val="4F10477D"/>
    <w:rsid w:val="4F186D58"/>
    <w:rsid w:val="4FEA65B7"/>
    <w:rsid w:val="5042146E"/>
    <w:rsid w:val="50F06B6E"/>
    <w:rsid w:val="52234D33"/>
    <w:rsid w:val="52261ABA"/>
    <w:rsid w:val="522F6E0C"/>
    <w:rsid w:val="523B529B"/>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5B0286"/>
    <w:rsid w:val="5582012B"/>
    <w:rsid w:val="558E4E05"/>
    <w:rsid w:val="55BE2E85"/>
    <w:rsid w:val="55D82B6C"/>
    <w:rsid w:val="55E47B03"/>
    <w:rsid w:val="561D52C4"/>
    <w:rsid w:val="5651697D"/>
    <w:rsid w:val="56530F5D"/>
    <w:rsid w:val="56692AE5"/>
    <w:rsid w:val="567700D3"/>
    <w:rsid w:val="568140A3"/>
    <w:rsid w:val="56FE35BF"/>
    <w:rsid w:val="56FF7E9E"/>
    <w:rsid w:val="578867FC"/>
    <w:rsid w:val="5842572D"/>
    <w:rsid w:val="5A3B59D6"/>
    <w:rsid w:val="5A52331A"/>
    <w:rsid w:val="5AD134D8"/>
    <w:rsid w:val="5AD3266C"/>
    <w:rsid w:val="5B6503B1"/>
    <w:rsid w:val="5C0F7EC4"/>
    <w:rsid w:val="5C263CE4"/>
    <w:rsid w:val="5C5D2777"/>
    <w:rsid w:val="5C8956D8"/>
    <w:rsid w:val="5CF66BF3"/>
    <w:rsid w:val="5D290C69"/>
    <w:rsid w:val="5EE412EC"/>
    <w:rsid w:val="5F2D4A41"/>
    <w:rsid w:val="60C74F6C"/>
    <w:rsid w:val="61025A59"/>
    <w:rsid w:val="613D5BBC"/>
    <w:rsid w:val="61536C39"/>
    <w:rsid w:val="61E64F4A"/>
    <w:rsid w:val="623E0993"/>
    <w:rsid w:val="62944DD7"/>
    <w:rsid w:val="6319381F"/>
    <w:rsid w:val="63236436"/>
    <w:rsid w:val="63C25DC5"/>
    <w:rsid w:val="63C62057"/>
    <w:rsid w:val="64571EF5"/>
    <w:rsid w:val="64CB0157"/>
    <w:rsid w:val="64D540D3"/>
    <w:rsid w:val="64FB113D"/>
    <w:rsid w:val="65036946"/>
    <w:rsid w:val="654A25FE"/>
    <w:rsid w:val="656152C6"/>
    <w:rsid w:val="6587477F"/>
    <w:rsid w:val="658C3A08"/>
    <w:rsid w:val="65C031CA"/>
    <w:rsid w:val="65CE6852"/>
    <w:rsid w:val="65E25E59"/>
    <w:rsid w:val="66267C04"/>
    <w:rsid w:val="663F505A"/>
    <w:rsid w:val="66967186"/>
    <w:rsid w:val="66BB0B84"/>
    <w:rsid w:val="66EE5541"/>
    <w:rsid w:val="67924660"/>
    <w:rsid w:val="68117C0A"/>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146DCC"/>
    <w:rsid w:val="6EFD1324"/>
    <w:rsid w:val="6F5A53AC"/>
    <w:rsid w:val="6FAC003D"/>
    <w:rsid w:val="6FE55E12"/>
    <w:rsid w:val="6FFB2E76"/>
    <w:rsid w:val="7002551B"/>
    <w:rsid w:val="708F6F7F"/>
    <w:rsid w:val="70D94BD3"/>
    <w:rsid w:val="712814FF"/>
    <w:rsid w:val="71C34D91"/>
    <w:rsid w:val="72DB435C"/>
    <w:rsid w:val="72E2613A"/>
    <w:rsid w:val="72F771F4"/>
    <w:rsid w:val="734150D5"/>
    <w:rsid w:val="736650B0"/>
    <w:rsid w:val="73934AD2"/>
    <w:rsid w:val="750837F0"/>
    <w:rsid w:val="754758CF"/>
    <w:rsid w:val="761275E6"/>
    <w:rsid w:val="764F62AB"/>
    <w:rsid w:val="765C45EC"/>
    <w:rsid w:val="76832D41"/>
    <w:rsid w:val="768A7619"/>
    <w:rsid w:val="76AA36E6"/>
    <w:rsid w:val="772E1EBA"/>
    <w:rsid w:val="77303AE2"/>
    <w:rsid w:val="77EB79F7"/>
    <w:rsid w:val="796D60A4"/>
    <w:rsid w:val="79A031D5"/>
    <w:rsid w:val="7A1525F7"/>
    <w:rsid w:val="7A63567B"/>
    <w:rsid w:val="7AC676A0"/>
    <w:rsid w:val="7B24540B"/>
    <w:rsid w:val="7B420052"/>
    <w:rsid w:val="7B861484"/>
    <w:rsid w:val="7BD06A28"/>
    <w:rsid w:val="7C3A7C0B"/>
    <w:rsid w:val="7C5248E4"/>
    <w:rsid w:val="7C566698"/>
    <w:rsid w:val="7C5866A3"/>
    <w:rsid w:val="7CBE2F89"/>
    <w:rsid w:val="7D7406BB"/>
    <w:rsid w:val="7D9C1900"/>
    <w:rsid w:val="7DE94331"/>
    <w:rsid w:val="7E412766"/>
    <w:rsid w:val="7F446A19"/>
    <w:rsid w:val="7F7452B9"/>
    <w:rsid w:val="7F8401D1"/>
    <w:rsid w:val="7FAC32D7"/>
    <w:rsid w:val="7FF3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5167</Words>
  <Characters>5684</Characters>
  <Lines>186</Lines>
  <Paragraphs>52</Paragraphs>
  <TotalTime>20</TotalTime>
  <ScaleCrop>false</ScaleCrop>
  <LinksUpToDate>false</LinksUpToDate>
  <CharactersWithSpaces>5694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victini</cp:lastModifiedBy>
  <dcterms:modified xsi:type="dcterms:W3CDTF">2025-09-11T07:19:40Z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eyJoZGlkIjoiOWY0N2FiMGFhNWZhZTNhM2NlMjg3ZmVhMzVlNWU3MDgiLCJ1c2VySWQiOiIzMTI1NTk3NDAifQ==</vt:lpwstr>
  </property>
</Properties>
</file>