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rPr>
      </w:pPr>
      <w:r>
        <w:rPr>
          <w:rFonts w:ascii="方正小标宋_GBK" w:hAnsi="方正小标宋_GBK" w:eastAsia="方正小标宋_GBK" w:cs="方正小标宋_GBK"/>
          <w:sz w:val="44"/>
          <w:szCs w:val="44"/>
        </w:rPr>
        <w:t>丰都县统计局（本级）</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ascii="方正小标宋_GBK" w:hAnsi="方正小标宋_GBK" w:eastAsia="方正小标宋_GBK" w:cs="方正小标宋_GBK"/>
          <w:sz w:val="44"/>
          <w:szCs w:val="44"/>
          <w:shd w:val="clear" w:color="auto" w:fill="FFFFFF"/>
        </w:rPr>
      </w:pPr>
      <w:bookmarkStart w:id="1" w:name="_GoBack"/>
      <w:bookmarkEnd w:id="1"/>
      <w:r>
        <w:rPr>
          <w:rFonts w:hint="default" w:ascii="Times New Roman" w:hAnsi="Times New Roman" w:eastAsia="方正小标宋_GBK" w:cs="Times New Roman"/>
          <w:sz w:val="44"/>
          <w:szCs w:val="44"/>
          <w:shd w:val="clear" w:color="auto" w:fill="FFFFFF"/>
        </w:rPr>
        <w:t>2024</w:t>
      </w:r>
      <w:r>
        <w:rPr>
          <w:rFonts w:ascii="方正小标宋_GBK" w:hAnsi="方正小标宋_GBK" w:eastAsia="方正小标宋_GBK" w:cs="方正小标宋_GBK"/>
          <w:sz w:val="44"/>
          <w:szCs w:val="44"/>
          <w:shd w:val="clear" w:color="auto" w:fill="FFFFFF"/>
        </w:rPr>
        <w:t>年度决算公开说明</w:t>
      </w:r>
    </w:p>
    <w:p>
      <w:pPr>
        <w:pStyle w:val="9"/>
        <w:keepNext w:val="0"/>
        <w:keepLines w:val="0"/>
        <w:pageBreakBefore w:val="0"/>
        <w:widowControl/>
        <w:kinsoku/>
        <w:wordWrap/>
        <w:overflowPunct/>
        <w:topLinePunct w:val="0"/>
        <w:autoSpaceDN/>
        <w:bidi w:val="0"/>
        <w:adjustRightInd/>
        <w:spacing w:before="0" w:beforeAutospacing="0" w:after="0" w:afterAutospacing="0" w:line="596" w:lineRule="exact"/>
        <w:jc w:val="center"/>
        <w:textAlignment w:val="auto"/>
        <w:rPr>
          <w:rFonts w:hint="default" w:ascii="方正小标宋_GBK" w:hAnsi="方正小标宋_GBK" w:eastAsia="方正小标宋_GBK" w:cs="方正小标宋_GBK"/>
          <w:sz w:val="44"/>
          <w:szCs w:val="44"/>
          <w:shd w:val="clear" w:color="auto" w:fill="FFFFFF"/>
        </w:rPr>
      </w:pP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一、</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基本情况</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b w:val="0"/>
          <w:bCs/>
          <w:sz w:val="32"/>
          <w:szCs w:val="32"/>
        </w:rPr>
      </w:pPr>
      <w:r>
        <w:rPr>
          <w:rStyle w:val="13"/>
          <w:rFonts w:hint="eastAsia" w:ascii="方正楷体_GBK" w:hAnsi="方正楷体_GBK" w:eastAsia="方正楷体_GBK" w:cs="方正楷体_GBK"/>
          <w:b w:val="0"/>
          <w:bCs/>
          <w:sz w:val="32"/>
          <w:szCs w:val="32"/>
          <w:shd w:val="clear" w:color="auto" w:fill="FFFFFF"/>
        </w:rPr>
        <w:t>（一）职能职责</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color w:val="000000"/>
          <w:sz w:val="32"/>
          <w:szCs w:val="32"/>
          <w:u w:val="none"/>
          <w:lang w:val="en-US" w:eastAsia="zh-CN" w:bidi="ar-SA"/>
        </w:rPr>
      </w:pPr>
      <w:r>
        <w:rPr>
          <w:rFonts w:hint="eastAsia" w:ascii="Times New Roman" w:hAnsi="Times New Roman" w:eastAsia="方正仿宋_GBK" w:cs="Times New Roman"/>
          <w:color w:val="000000"/>
          <w:sz w:val="32"/>
          <w:szCs w:val="32"/>
          <w:u w:val="none"/>
          <w:lang w:val="en-US" w:eastAsia="zh-CN" w:bidi="ar-SA"/>
        </w:rPr>
        <w:t>负责建立健全全县经济社会发展的统计监测和评价体系，组织实施全县经济社会发展统计监测和统计预警分析；研究全县经济社会重大问题，提供决策咨询服务；参与对乡镇（街道）和有关部门的考核评价工作。负责组织实施国民经济核算制度，搜集、整理和提供国民经济核算资料，并对数据质量进行审核评估；核算全县及乡镇（街道）生产总值；组织全县投入产出调查和相关领域核算工作；进行统计分析和提供咨询服务。负责对外提供全县基本统计资料，发布全县国民经济和社会发展情况的统计信息；负责对全县统计数据发布的规范管理和统计新闻宣传工作；编辑、出版全县经济社会发展统计资料；管理综合统计数据库。负责管理地方统计调查项目，认真贯彻实施国家统计制度、国家统计标准，负责城乡划分工作。负责组织实施妇女、儿童发展纲要（规划）执行情况统计监测工作。负责牵头组织实施重大国情国力普查（农业普查、经济普查、人口普查）及普查资料的开发应用和统计分析；各项普查数据质量的检查和评估；各项普查数据库的建立；普查人员的培训等。为政府决策提供国情、国力、县情、县力社会经济信息。负责指导和培训乡镇（街道）和有关单位的基层统计基础建设，承担全县统计人员的教育培训工作。</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Times New Roman" w:hAnsi="Times New Roman" w:eastAsia="方正仿宋_GBK" w:cs="Times New Roman"/>
          <w:color w:val="000000"/>
          <w:sz w:val="32"/>
          <w:szCs w:val="32"/>
          <w:u w:val="none"/>
          <w:lang w:val="en-US" w:eastAsia="zh-CN" w:bidi="ar-SA"/>
        </w:rPr>
      </w:pPr>
      <w:r>
        <w:rPr>
          <w:rFonts w:hint="eastAsia" w:ascii="Times New Roman" w:hAnsi="Times New Roman" w:eastAsia="方正仿宋_GBK" w:cs="Times New Roman"/>
          <w:color w:val="000000"/>
          <w:sz w:val="32"/>
          <w:szCs w:val="32"/>
          <w:u w:val="none"/>
          <w:lang w:val="en-US" w:eastAsia="zh-CN" w:bidi="ar-SA"/>
        </w:rPr>
        <w:t>负责国家统计法律法规的普法宣传和教育。负责规范性文件的合法性审核和对统计执法的法治审核。负责</w:t>
      </w:r>
      <w:r>
        <w:rPr>
          <w:rFonts w:hint="default" w:ascii="Times New Roman" w:hAnsi="Times New Roman" w:eastAsia="方正仿宋_GBK" w:cs="Times New Roman"/>
          <w:color w:val="000000"/>
          <w:sz w:val="32"/>
          <w:szCs w:val="32"/>
          <w:u w:val="none"/>
          <w:lang w:val="en-US" w:eastAsia="zh-CN" w:bidi="ar-SA"/>
        </w:rPr>
        <w:t>组织统计行政执法的</w:t>
      </w:r>
      <w:r>
        <w:rPr>
          <w:rFonts w:hint="eastAsia" w:ascii="Times New Roman" w:hAnsi="Times New Roman" w:eastAsia="方正仿宋_GBK" w:cs="Times New Roman"/>
          <w:color w:val="000000"/>
          <w:sz w:val="32"/>
          <w:szCs w:val="32"/>
          <w:u w:val="none"/>
          <w:lang w:val="en-US" w:eastAsia="zh-CN" w:bidi="ar-SA"/>
        </w:rPr>
        <w:t>开</w:t>
      </w:r>
      <w:r>
        <w:rPr>
          <w:rFonts w:hint="default" w:ascii="Times New Roman" w:hAnsi="Times New Roman" w:eastAsia="方正仿宋_GBK" w:cs="Times New Roman"/>
          <w:color w:val="000000"/>
          <w:sz w:val="32"/>
          <w:szCs w:val="32"/>
          <w:u w:val="none"/>
          <w:lang w:val="en-US" w:eastAsia="zh-CN" w:bidi="ar-SA"/>
        </w:rPr>
        <w:t>展。</w:t>
      </w:r>
      <w:r>
        <w:rPr>
          <w:rFonts w:hint="eastAsia" w:ascii="Times New Roman" w:hAnsi="Times New Roman" w:eastAsia="方正仿宋_GBK" w:cs="Times New Roman"/>
          <w:color w:val="000000"/>
          <w:sz w:val="32"/>
          <w:szCs w:val="32"/>
          <w:u w:val="none"/>
          <w:lang w:val="en-US" w:eastAsia="zh-CN" w:bidi="ar-SA"/>
        </w:rPr>
        <w:t>组织</w:t>
      </w:r>
      <w:r>
        <w:rPr>
          <w:rFonts w:hint="default" w:ascii="Times New Roman" w:hAnsi="Times New Roman" w:eastAsia="方正仿宋_GBK" w:cs="Times New Roman"/>
          <w:color w:val="000000"/>
          <w:sz w:val="32"/>
          <w:szCs w:val="32"/>
          <w:u w:val="none"/>
          <w:lang w:val="en-US" w:eastAsia="zh-CN" w:bidi="ar-SA"/>
        </w:rPr>
        <w:t>开展双随机执法检查、专项执法检查等，配合落实联合双随机、交叉执法、异地执法。参与拟订统计行政执法管理制度。</w:t>
      </w:r>
      <w:r>
        <w:rPr>
          <w:rFonts w:hint="eastAsia" w:ascii="Times New Roman" w:hAnsi="Times New Roman" w:eastAsia="方正仿宋_GBK" w:cs="Times New Roman"/>
          <w:color w:val="000000"/>
          <w:sz w:val="32"/>
          <w:szCs w:val="32"/>
          <w:u w:val="none"/>
          <w:lang w:val="en-US" w:eastAsia="zh-CN" w:bidi="ar-SA"/>
        </w:rPr>
        <w:t>负责依法严肃查处统计违法行为。查处日常</w:t>
      </w:r>
      <w:r>
        <w:rPr>
          <w:rFonts w:hint="default" w:ascii="Times New Roman" w:hAnsi="Times New Roman" w:eastAsia="方正仿宋_GBK" w:cs="Times New Roman"/>
          <w:color w:val="000000"/>
          <w:sz w:val="32"/>
          <w:szCs w:val="32"/>
          <w:u w:val="none"/>
          <w:lang w:val="en-US" w:eastAsia="zh-CN" w:bidi="ar-SA"/>
        </w:rPr>
        <w:t>统计工作和重大国情国力调查中发现的统计造假、弄虚作假等违反统计法律法规的行为，受理统计违法举报核查。</w:t>
      </w:r>
      <w:r>
        <w:rPr>
          <w:rFonts w:hint="eastAsia" w:ascii="Times New Roman" w:hAnsi="Times New Roman" w:eastAsia="方正仿宋_GBK" w:cs="Times New Roman"/>
          <w:color w:val="000000"/>
          <w:sz w:val="32"/>
          <w:szCs w:val="32"/>
          <w:u w:val="none"/>
          <w:lang w:val="en-US" w:eastAsia="zh-CN" w:bidi="ar-SA"/>
        </w:rPr>
        <w:t>负责统计行政许可、行政审批、行政复议、行政诉讼事务。</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楷体_GBK" w:hAnsi="方正楷体_GBK" w:eastAsia="方正楷体_GBK" w:cs="方正楷体_GBK"/>
          <w:b w:val="0"/>
          <w:bCs/>
          <w:sz w:val="32"/>
          <w:szCs w:val="32"/>
        </w:rPr>
      </w:pPr>
      <w:r>
        <w:rPr>
          <w:rStyle w:val="13"/>
          <w:rFonts w:hint="eastAsia" w:ascii="方正楷体_GBK" w:hAnsi="方正楷体_GBK" w:eastAsia="方正楷体_GBK" w:cs="方正楷体_GBK"/>
          <w:b w:val="0"/>
          <w:bCs/>
          <w:sz w:val="32"/>
          <w:szCs w:val="32"/>
          <w:shd w:val="clear" w:color="auto" w:fill="FFFFFF"/>
        </w:rPr>
        <w:t>（二）机构设置</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i w:val="0"/>
          <w:caps w:val="0"/>
          <w:color w:val="000000"/>
          <w:spacing w:val="0"/>
          <w:sz w:val="32"/>
          <w:szCs w:val="32"/>
          <w:lang w:val="en-US" w:eastAsia="zh-CN"/>
        </w:rPr>
      </w:pPr>
      <w:r>
        <w:rPr>
          <w:rFonts w:hint="default" w:ascii="Times New Roman" w:hAnsi="Times New Roman" w:eastAsia="方正仿宋_GBK" w:cs="Times New Roman"/>
          <w:i w:val="0"/>
          <w:caps w:val="0"/>
          <w:color w:val="000000"/>
          <w:spacing w:val="0"/>
          <w:sz w:val="32"/>
          <w:szCs w:val="32"/>
        </w:rPr>
        <w:t>丰都县统计局</w:t>
      </w:r>
      <w:r>
        <w:rPr>
          <w:rFonts w:hint="eastAsia" w:ascii="Times New Roman" w:hAnsi="Times New Roman" w:eastAsia="方正仿宋_GBK" w:cs="Times New Roman"/>
          <w:i w:val="0"/>
          <w:caps w:val="0"/>
          <w:color w:val="000000"/>
          <w:spacing w:val="0"/>
          <w:sz w:val="32"/>
          <w:szCs w:val="32"/>
          <w:lang w:eastAsia="zh-CN"/>
        </w:rPr>
        <w:t>（本级）</w:t>
      </w:r>
      <w:r>
        <w:rPr>
          <w:rFonts w:hint="default" w:ascii="Times New Roman" w:hAnsi="Times New Roman" w:eastAsia="方正仿宋_GBK" w:cs="Times New Roman"/>
          <w:i w:val="0"/>
          <w:caps w:val="0"/>
          <w:color w:val="000000"/>
          <w:spacing w:val="0"/>
          <w:sz w:val="32"/>
          <w:szCs w:val="32"/>
        </w:rPr>
        <w:t>内设办公室、综合业务科、法规监察科（行政许可服务科）三个职能科室。</w:t>
      </w:r>
      <w:r>
        <w:rPr>
          <w:rFonts w:hint="eastAsia" w:ascii="Times New Roman" w:hAnsi="Times New Roman" w:eastAsia="方正仿宋_GBK" w:cs="Times New Roman"/>
          <w:i w:val="0"/>
          <w:caps w:val="0"/>
          <w:color w:val="000000"/>
          <w:spacing w:val="0"/>
          <w:sz w:val="32"/>
          <w:szCs w:val="32"/>
          <w:lang w:eastAsia="zh-CN"/>
        </w:rPr>
        <w:t>编制人数</w:t>
      </w:r>
      <w:r>
        <w:rPr>
          <w:rFonts w:hint="eastAsia" w:ascii="Times New Roman" w:hAnsi="Times New Roman" w:eastAsia="方正仿宋_GBK" w:cs="Times New Roman"/>
          <w:i w:val="0"/>
          <w:caps w:val="0"/>
          <w:color w:val="000000"/>
          <w:spacing w:val="0"/>
          <w:sz w:val="32"/>
          <w:szCs w:val="32"/>
          <w:lang w:val="en-US" w:eastAsia="zh-CN"/>
        </w:rPr>
        <w:t>8人，实有人数8人。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二、</w:t>
      </w:r>
      <w:r>
        <w:rPr>
          <w:rStyle w:val="13"/>
          <w:rFonts w:hint="eastAsia" w:ascii="方正黑体_GBK" w:hAnsi="方正黑体_GBK" w:eastAsia="方正黑体_GBK" w:cs="方正黑体_GBK"/>
          <w:b w:val="0"/>
          <w:bCs/>
          <w:sz w:val="32"/>
          <w:szCs w:val="32"/>
          <w:shd w:val="clear" w:color="auto" w:fill="FFFFFF"/>
          <w:lang w:eastAsia="zh-CN"/>
        </w:rPr>
        <w:t>单位</w:t>
      </w:r>
      <w:r>
        <w:rPr>
          <w:rStyle w:val="13"/>
          <w:rFonts w:hint="eastAsia" w:ascii="方正黑体_GBK" w:hAnsi="方正黑体_GBK" w:eastAsia="方正黑体_GBK" w:cs="方正黑体_GBK"/>
          <w:b w:val="0"/>
          <w:bCs/>
          <w:sz w:val="32"/>
          <w:szCs w:val="32"/>
          <w:shd w:val="clear" w:color="auto" w:fill="FFFFFF"/>
        </w:rPr>
        <w:t>决算</w:t>
      </w:r>
      <w:r>
        <w:rPr>
          <w:rStyle w:val="13"/>
          <w:rFonts w:hint="eastAsia" w:ascii="方正黑体_GBK" w:hAnsi="方正黑体_GBK" w:eastAsia="方正黑体_GBK" w:cs="方正黑体_GBK"/>
          <w:b w:val="0"/>
          <w:bCs/>
          <w:sz w:val="32"/>
          <w:szCs w:val="32"/>
          <w:shd w:val="clear" w:color="auto" w:fill="FFFFFF"/>
          <w:lang w:eastAsia="zh-CN"/>
        </w:rPr>
        <w:t>收支</w:t>
      </w:r>
      <w:r>
        <w:rPr>
          <w:rStyle w:val="13"/>
          <w:rFonts w:hint="eastAsia" w:ascii="方正黑体_GBK" w:hAnsi="方正黑体_GBK" w:eastAsia="方正黑体_GBK" w:cs="方正黑体_GBK"/>
          <w:b w:val="0"/>
          <w:bCs/>
          <w:sz w:val="32"/>
          <w:szCs w:val="32"/>
          <w:shd w:val="clear" w:color="auto" w:fill="FFFFFF"/>
        </w:rPr>
        <w:t>情况说明</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（一）收入支出决算总体情况说明</w:t>
      </w:r>
    </w:p>
    <w:p>
      <w:pPr>
        <w:pStyle w:val="9"/>
        <w:shd w:val="clear" w:color="auto" w:fill="FFFFFF"/>
        <w:spacing w:before="0" w:beforeAutospacing="0" w:after="0" w:afterAutospacing="0"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w:t>
      </w:r>
      <w:r>
        <w:rPr>
          <w:rFonts w:hint="eastAsia" w:ascii="方正仿宋_GBK" w:hAnsi="方正仿宋_GBK" w:eastAsia="方正仿宋_GBK" w:cs="方正仿宋_GBK"/>
          <w:sz w:val="32"/>
          <w:szCs w:val="32"/>
          <w:shd w:val="clear" w:color="auto" w:fill="FFFFFF"/>
          <w:lang w:eastAsia="zh-CN"/>
        </w:rPr>
        <w:t>、支</w:t>
      </w:r>
      <w:r>
        <w:rPr>
          <w:rFonts w:ascii="方正仿宋_GBK" w:hAnsi="方正仿宋_GBK" w:eastAsia="方正仿宋_GBK" w:cs="方正仿宋_GBK"/>
          <w:sz w:val="32"/>
          <w:szCs w:val="32"/>
          <w:shd w:val="clear" w:color="auto" w:fill="FFFFFF"/>
        </w:rPr>
        <w:t>总计</w:t>
      </w:r>
      <w:r>
        <w:rPr>
          <w:rFonts w:hint="eastAsia" w:ascii="方正仿宋_GBK" w:hAnsi="方正仿宋_GBK" w:eastAsia="方正仿宋_GBK" w:cs="方正仿宋_GBK"/>
          <w:sz w:val="32"/>
          <w:szCs w:val="32"/>
          <w:shd w:val="clear" w:color="auto" w:fill="FFFFFF"/>
          <w:lang w:eastAsia="zh-CN"/>
        </w:rPr>
        <w:t>均为</w:t>
      </w:r>
      <w:r>
        <w:rPr>
          <w:rFonts w:hint="default" w:ascii="Times New Roman" w:hAnsi="Times New Roman" w:eastAsia="方正仿宋_GBK"/>
          <w:sz w:val="32"/>
          <w:szCs w:val="32"/>
          <w:shd w:val="clear" w:color="auto" w:fill="FFFFFF"/>
        </w:rPr>
        <w:t>710.28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收、支与2023年度相比，增加26.49万元，增长3.9%</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：一是五经普入户登记阶段工作的开展，二是民调室更换设备，三是购置公车等。</w:t>
      </w:r>
    </w:p>
    <w:p>
      <w:pPr>
        <w:pStyle w:val="9"/>
        <w:shd w:val="clear" w:color="auto" w:fill="FFFFFF"/>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年度收入合计</w:t>
      </w:r>
      <w:r>
        <w:rPr>
          <w:rFonts w:hint="default" w:ascii="Times New Roman" w:hAnsi="Times New Roman" w:eastAsia="方正仿宋_GBK"/>
          <w:sz w:val="32"/>
          <w:szCs w:val="32"/>
          <w:shd w:val="clear" w:color="auto" w:fill="FFFFFF"/>
        </w:rPr>
        <w:t>709.86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与2023年度相比，增加46.38万元，增长7.0%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：一是五经普入户登记阶段工作的开展，二是民调室更换设备，三是购置公车等。</w:t>
      </w:r>
      <w:r>
        <w:rPr>
          <w:rFonts w:ascii="方正仿宋_GBK" w:hAnsi="方正仿宋_GBK" w:eastAsia="方正仿宋_GBK" w:cs="方正仿宋_GBK"/>
          <w:sz w:val="32"/>
          <w:szCs w:val="32"/>
          <w:shd w:val="clear" w:color="auto" w:fill="FFFFFF"/>
        </w:rPr>
        <w:t>其中：财政拨款收入</w:t>
      </w:r>
      <w:r>
        <w:rPr>
          <w:rFonts w:hint="default" w:ascii="Times New Roman" w:hAnsi="Times New Roman" w:eastAsia="方正仿宋_GBK"/>
          <w:sz w:val="32"/>
          <w:szCs w:val="32"/>
          <w:shd w:val="clear" w:color="auto" w:fill="FFFFFF"/>
        </w:rPr>
        <w:t>709.86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；事业收入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；经营收入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；其他收入</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w:t>
      </w:r>
      <w:r>
        <w:rPr>
          <w:rFonts w:hint="eastAsia" w:ascii="方正仿宋_GBK" w:hAnsi="方正仿宋_GBK" w:eastAsia="方正仿宋_GBK" w:cs="方正仿宋_GBK"/>
          <w:sz w:val="32"/>
          <w:szCs w:val="32"/>
          <w:shd w:val="clear" w:color="auto" w:fill="FFFFFF"/>
        </w:rPr>
        <w:t>使用非财政拨款结余（含专用结余）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万元，年初结转和结余</w:t>
      </w:r>
      <w:r>
        <w:rPr>
          <w:rFonts w:hint="default" w:ascii="Times New Roman" w:hAnsi="Times New Roman" w:eastAsia="方正仿宋_GBK"/>
          <w:sz w:val="32"/>
          <w:szCs w:val="32"/>
          <w:shd w:val="clear" w:color="auto" w:fill="FFFFFF"/>
        </w:rPr>
        <w:t>0.42</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shd w:val="clear" w:color="auto" w:fill="FFFFFF"/>
        </w:rPr>
      </w:pPr>
      <w:r>
        <w:rPr>
          <w:rStyle w:val="13"/>
          <w:rFonts w:hint="eastAsia" w:ascii="Times New Roman" w:hAnsi="Times New Roman" w:eastAsia="方正仿宋_GBK"/>
          <w:sz w:val="32"/>
          <w:szCs w:val="32"/>
          <w:shd w:val="clear" w:color="auto" w:fill="FFFFFF"/>
          <w:lang w:val="en-US" w:eastAsia="zh-CN"/>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年度支出合计</w:t>
      </w:r>
      <w:r>
        <w:rPr>
          <w:rFonts w:hint="default" w:ascii="Times New Roman" w:hAnsi="Times New Roman" w:eastAsia="方正仿宋_GBK"/>
          <w:sz w:val="32"/>
          <w:szCs w:val="32"/>
          <w:shd w:val="clear" w:color="auto" w:fill="FFFFFF"/>
        </w:rPr>
        <w:t>710.28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与2023年度相比，增加26.49万元，增长3.9%</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：一是五经普入户登记阶段工作的开展，二是民调室更换设备，三是购置公车等。</w:t>
      </w:r>
      <w:r>
        <w:rPr>
          <w:rFonts w:ascii="方正仿宋_GBK" w:hAnsi="方正仿宋_GBK" w:eastAsia="方正仿宋_GBK" w:cs="方正仿宋_GBK"/>
          <w:sz w:val="32"/>
          <w:szCs w:val="32"/>
          <w:shd w:val="clear" w:color="auto" w:fill="FFFFFF"/>
        </w:rPr>
        <w:t>其中：基本支出</w:t>
      </w:r>
      <w:r>
        <w:rPr>
          <w:rFonts w:hint="default" w:ascii="Times New Roman" w:hAnsi="Times New Roman" w:eastAsia="方正仿宋_GBK"/>
          <w:sz w:val="32"/>
          <w:szCs w:val="32"/>
          <w:shd w:val="clear" w:color="auto" w:fill="FFFFFF"/>
        </w:rPr>
        <w:t>445.86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62.8%</w:t>
      </w:r>
      <w:r>
        <w:rPr>
          <w:rFonts w:ascii="方正仿宋_GBK" w:hAnsi="方正仿宋_GBK" w:eastAsia="方正仿宋_GBK" w:cs="方正仿宋_GBK"/>
          <w:sz w:val="32"/>
          <w:szCs w:val="32"/>
          <w:shd w:val="clear" w:color="auto" w:fill="FFFFFF"/>
        </w:rPr>
        <w:t>；项目支出</w:t>
      </w:r>
      <w:r>
        <w:rPr>
          <w:rFonts w:hint="default" w:ascii="Times New Roman" w:hAnsi="Times New Roman" w:eastAsia="方正仿宋_GBK"/>
          <w:sz w:val="32"/>
          <w:szCs w:val="32"/>
          <w:shd w:val="clear" w:color="auto" w:fill="FFFFFF"/>
        </w:rPr>
        <w:t>264.41</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37.2%</w:t>
      </w:r>
      <w:r>
        <w:rPr>
          <w:rFonts w:ascii="方正仿宋_GBK" w:hAnsi="方正仿宋_GBK" w:eastAsia="方正仿宋_GBK" w:cs="方正仿宋_GBK"/>
          <w:sz w:val="32"/>
          <w:szCs w:val="32"/>
          <w:shd w:val="clear" w:color="auto" w:fill="FFFFFF"/>
        </w:rPr>
        <w:t>；经营支出</w:t>
      </w:r>
      <w:r>
        <w:rPr>
          <w:rFonts w:hint="default" w:ascii="Times New Roman" w:hAnsi="Times New Roman" w:eastAsia="方正仿宋_GBK"/>
          <w:sz w:val="32"/>
          <w:szCs w:val="32"/>
        </w:rPr>
        <w:t>0.00</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0.0%</w:t>
      </w:r>
      <w:r>
        <w:rPr>
          <w:rFonts w:ascii="方正仿宋_GBK" w:hAnsi="方正仿宋_GBK" w:eastAsia="方正仿宋_GBK" w:cs="方正仿宋_GBK"/>
          <w:sz w:val="32"/>
          <w:szCs w:val="32"/>
          <w:shd w:val="clear" w:color="auto" w:fill="FFFFFF"/>
        </w:rPr>
        <w:t>。此外，结余分配</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eastAsia" w:ascii="Times New Roman" w:hAnsi="Times New Roman" w:eastAsia="方正仿宋_GBK"/>
          <w:sz w:val="32"/>
          <w:szCs w:val="32"/>
          <w:shd w:val="clear" w:color="auto" w:fill="FFFFFF"/>
          <w:lang w:val="en-US" w:eastAsia="zh-CN"/>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w:t>
      </w:r>
      <w:bookmarkStart w:id="0" w:name="OLE_LINK2"/>
      <w:r>
        <w:rPr>
          <w:rFonts w:hint="eastAsia" w:ascii="Times New Roman" w:hAnsi="Times New Roman" w:eastAsia="方正仿宋_GBK"/>
          <w:sz w:val="32"/>
          <w:szCs w:val="32"/>
          <w:shd w:val="clear" w:color="auto" w:fill="FFFFFF"/>
          <w:lang w:eastAsia="zh-CN"/>
        </w:rPr>
        <w:t>上年决算数持平</w:t>
      </w:r>
      <w:r>
        <w:rPr>
          <w:rFonts w:hint="eastAsia" w:ascii="方正仿宋_GBK" w:hAnsi="方正仿宋_GBK" w:eastAsia="方正仿宋_GBK" w:cs="方正仿宋_GBK"/>
          <w:sz w:val="32"/>
          <w:szCs w:val="32"/>
          <w:shd w:val="clear" w:color="auto" w:fill="FFFFFF"/>
          <w:lang w:eastAsia="zh-CN"/>
        </w:rPr>
        <w:t>。</w:t>
      </w:r>
      <w:bookmarkEnd w:id="0"/>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（二）财政拨款收入支出决算总体情况说明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年度财政拨款收、支总计均为</w:t>
      </w:r>
      <w:r>
        <w:rPr>
          <w:rFonts w:hint="default" w:ascii="Times New Roman" w:hAnsi="Times New Roman" w:eastAsia="方正仿宋_GBK"/>
          <w:sz w:val="32"/>
          <w:szCs w:val="32"/>
          <w:shd w:val="clear" w:color="auto" w:fill="FFFFFF"/>
        </w:rPr>
        <w:t>710.28</w:t>
      </w:r>
      <w:r>
        <w:rPr>
          <w:rFonts w:ascii="方正仿宋_GBK" w:hAnsi="方正仿宋_GBK" w:eastAsia="方正仿宋_GBK" w:cs="方正仿宋_GBK"/>
          <w:sz w:val="32"/>
          <w:szCs w:val="32"/>
          <w:shd w:val="clear" w:color="auto" w:fill="FFFFFF"/>
        </w:rPr>
        <w:t>万元。与</w:t>
      </w:r>
      <w:r>
        <w:rPr>
          <w:rFonts w:hint="default" w:ascii="Times New Roman" w:hAnsi="Times New Roman" w:eastAsia="方正仿宋_GBK"/>
          <w:sz w:val="32"/>
          <w:szCs w:val="32"/>
          <w:shd w:val="clear" w:color="auto" w:fill="FFFFFF"/>
        </w:rPr>
        <w:t>2023</w:t>
      </w:r>
      <w:r>
        <w:rPr>
          <w:rFonts w:ascii="方正仿宋_GBK" w:hAnsi="方正仿宋_GBK" w:eastAsia="方正仿宋_GBK" w:cs="方正仿宋_GBK"/>
          <w:sz w:val="32"/>
          <w:szCs w:val="32"/>
          <w:shd w:val="clear" w:color="auto" w:fill="FFFFFF"/>
        </w:rPr>
        <w:t>年</w:t>
      </w:r>
      <w:r>
        <w:rPr>
          <w:rFonts w:hint="eastAsia" w:ascii="方正仿宋_GBK" w:hAnsi="方正仿宋_GBK" w:eastAsia="方正仿宋_GBK" w:cs="方正仿宋_GBK"/>
          <w:sz w:val="32"/>
          <w:szCs w:val="32"/>
          <w:shd w:val="clear" w:color="auto" w:fill="FFFFFF"/>
          <w:lang w:eastAsia="zh-CN"/>
        </w:rPr>
        <w:t>度</w:t>
      </w:r>
      <w:r>
        <w:rPr>
          <w:rFonts w:ascii="方正仿宋_GBK" w:hAnsi="方正仿宋_GBK" w:eastAsia="方正仿宋_GBK" w:cs="方正仿宋_GBK"/>
          <w:sz w:val="32"/>
          <w:szCs w:val="32"/>
          <w:shd w:val="clear" w:color="auto" w:fill="FFFFFF"/>
        </w:rPr>
        <w:t>相比，</w:t>
      </w:r>
      <w:r>
        <w:rPr>
          <w:rFonts w:hint="default" w:ascii="Times New Roman" w:hAnsi="Times New Roman" w:eastAsia="方正仿宋_GBK"/>
          <w:sz w:val="32"/>
          <w:szCs w:val="32"/>
          <w:shd w:val="clear" w:color="auto" w:fill="FFFFFF"/>
        </w:rPr>
        <w:t>财政拨款收、支总计各增加26.49万元，增长3.9%</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：一是五经普入户登记阶段工作的开展，二是民调室更换设备，三是购置公车等。</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（三）一般公共预算财政拨款收入支出决算情况说明</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sz w:val="32"/>
          <w:szCs w:val="32"/>
        </w:rPr>
      </w:pPr>
      <w:r>
        <w:rPr>
          <w:rStyle w:val="13"/>
          <w:rFonts w:hint="default" w:ascii="Times New Roman" w:hAnsi="Times New Roman" w:eastAsia="方正仿宋_GBK"/>
          <w:sz w:val="32"/>
          <w:szCs w:val="32"/>
          <w:shd w:val="clear" w:color="auto" w:fill="FFFFFF"/>
        </w:rPr>
        <w:t>1</w:t>
      </w:r>
      <w:r>
        <w:rPr>
          <w:rStyle w:val="13"/>
          <w:rFonts w:ascii="方正仿宋_GBK" w:hAnsi="方正仿宋_GBK" w:eastAsia="方正仿宋_GBK" w:cs="方正仿宋_GBK"/>
          <w:sz w:val="32"/>
          <w:szCs w:val="32"/>
          <w:shd w:val="clear" w:color="auto" w:fill="FFFFFF"/>
        </w:rPr>
        <w:t>.收入情况。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年度一般公共预算财政拨款收入</w:t>
      </w:r>
      <w:r>
        <w:rPr>
          <w:rFonts w:hint="default" w:ascii="Times New Roman" w:hAnsi="Times New Roman" w:eastAsia="方正仿宋_GBK"/>
          <w:sz w:val="32"/>
          <w:szCs w:val="32"/>
          <w:shd w:val="clear" w:color="auto" w:fill="FFFFFF"/>
        </w:rPr>
        <w:t>709.86</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与2023年度相比，增加46.38万元，增长7.0%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：一是五经普入户登记阶段工作的开展，二是民调室更换设备，三是购置公车等。</w:t>
      </w:r>
      <w:r>
        <w:rPr>
          <w:rFonts w:hint="default" w:ascii="Times New Roman" w:hAnsi="Times New Roman" w:eastAsia="方正仿宋_GBK"/>
          <w:sz w:val="32"/>
          <w:szCs w:val="32"/>
          <w:shd w:val="clear" w:color="auto" w:fill="FFFFFF"/>
        </w:rPr>
        <w:t>较年初预算数减少233.08万元，下降24.7%</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：一是“</w:t>
      </w:r>
      <w:r>
        <w:rPr>
          <w:rFonts w:ascii="方正仿宋_GBK" w:hAnsi="方正仿宋_GBK" w:eastAsia="方正仿宋_GBK" w:cs="方正仿宋_GBK"/>
          <w:sz w:val="32"/>
          <w:szCs w:val="32"/>
          <w:shd w:val="clear" w:color="auto" w:fill="FFFFFF"/>
        </w:rPr>
        <w:t>第五次全国经济普查经费</w:t>
      </w:r>
      <w:r>
        <w:rPr>
          <w:rFonts w:hint="eastAsia" w:ascii="方正仿宋_GBK" w:hAnsi="方正仿宋_GBK" w:eastAsia="方正仿宋_GBK" w:cs="方正仿宋_GBK"/>
          <w:sz w:val="32"/>
          <w:szCs w:val="32"/>
          <w:shd w:val="clear" w:color="auto" w:fill="FFFFFF"/>
          <w:lang w:eastAsia="zh-CN"/>
        </w:rPr>
        <w:t>”项目调剂</w:t>
      </w:r>
      <w:r>
        <w:rPr>
          <w:rFonts w:hint="eastAsia" w:ascii="Times New Roman" w:hAnsi="Times New Roman" w:eastAsia="方正仿宋_GBK" w:cs="Times New Roman"/>
          <w:sz w:val="32"/>
          <w:szCs w:val="32"/>
          <w:shd w:val="clear" w:color="auto" w:fill="FFFFFF"/>
          <w:lang w:val="en-US" w:eastAsia="zh-CN"/>
        </w:rPr>
        <w:t>200万“两员”经费至</w:t>
      </w:r>
      <w:r>
        <w:rPr>
          <w:rFonts w:hint="eastAsia" w:ascii="方正仿宋_GBK" w:hAnsi="方正仿宋_GBK" w:eastAsia="方正仿宋_GBK" w:cs="方正仿宋_GBK"/>
          <w:sz w:val="32"/>
          <w:szCs w:val="32"/>
          <w:shd w:val="clear" w:color="auto" w:fill="FFFFFF"/>
          <w:lang w:val="en-US" w:eastAsia="zh-CN"/>
        </w:rPr>
        <w:t>各乡镇，二是我局厉行节约精神节省开支。</w:t>
      </w:r>
      <w:r>
        <w:rPr>
          <w:rFonts w:ascii="方正仿宋_GBK" w:hAnsi="方正仿宋_GBK" w:eastAsia="方正仿宋_GBK" w:cs="方正仿宋_GBK"/>
          <w:sz w:val="32"/>
          <w:szCs w:val="32"/>
          <w:shd w:val="clear" w:color="auto" w:fill="FFFFFF"/>
        </w:rPr>
        <w:t>此外，年初财政拨款结转和结余</w:t>
      </w:r>
      <w:r>
        <w:rPr>
          <w:rFonts w:hint="default" w:ascii="Times New Roman" w:hAnsi="Times New Roman" w:eastAsia="方正仿宋_GBK"/>
          <w:sz w:val="32"/>
          <w:szCs w:val="32"/>
          <w:shd w:val="clear" w:color="auto" w:fill="FFFFFF"/>
        </w:rPr>
        <w:t>0.42</w:t>
      </w:r>
      <w:r>
        <w:rPr>
          <w:rFonts w:ascii="方正仿宋_GBK" w:hAnsi="方正仿宋_GBK" w:eastAsia="方正仿宋_GBK" w:cs="方正仿宋_GBK"/>
          <w:sz w:val="32"/>
          <w:szCs w:val="32"/>
          <w:shd w:val="clear" w:color="auto" w:fill="FFFFFF"/>
        </w:rPr>
        <w:t>万元。</w:t>
      </w:r>
    </w:p>
    <w:p>
      <w:pPr>
        <w:pStyle w:val="9"/>
        <w:snapToGrid w:val="0"/>
        <w:spacing w:before="0" w:beforeAutospacing="0" w:after="0" w:afterAutospacing="0" w:line="596" w:lineRule="exact"/>
        <w:ind w:firstLine="643" w:firstLineChars="200"/>
        <w:jc w:val="both"/>
        <w:rPr>
          <w:rFonts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2</w:t>
      </w:r>
      <w:r>
        <w:rPr>
          <w:rStyle w:val="13"/>
          <w:rFonts w:ascii="方正仿宋_GBK" w:hAnsi="方正仿宋_GBK" w:eastAsia="方正仿宋_GBK" w:cs="方正仿宋_GBK"/>
          <w:sz w:val="32"/>
          <w:szCs w:val="32"/>
          <w:shd w:val="clear" w:color="auto" w:fill="FFFFFF"/>
        </w:rPr>
        <w:t>.支出情况。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年度一般公共预算财政拨款支出</w:t>
      </w:r>
      <w:r>
        <w:rPr>
          <w:rFonts w:hint="default" w:ascii="Times New Roman" w:hAnsi="Times New Roman" w:eastAsia="方正仿宋_GBK"/>
          <w:sz w:val="32"/>
          <w:szCs w:val="32"/>
          <w:shd w:val="clear" w:color="auto" w:fill="FFFFFF"/>
        </w:rPr>
        <w:t>710.28</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与2023年度相比，增加26.49万元，增长3.9%</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：一是五经普入户登记阶段工作的开展，二是民调室更换设备，三是购置公车等。</w:t>
      </w:r>
      <w:r>
        <w:rPr>
          <w:rFonts w:hint="default" w:ascii="Times New Roman" w:hAnsi="Times New Roman" w:eastAsia="方正仿宋_GBK"/>
          <w:sz w:val="32"/>
          <w:szCs w:val="32"/>
          <w:shd w:val="clear" w:color="auto" w:fill="FFFFFF"/>
        </w:rPr>
        <w:t>较年初预算数减少232.66万元，下降24.7%</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：一是“</w:t>
      </w:r>
      <w:r>
        <w:rPr>
          <w:rFonts w:ascii="方正仿宋_GBK" w:hAnsi="方正仿宋_GBK" w:eastAsia="方正仿宋_GBK" w:cs="方正仿宋_GBK"/>
          <w:sz w:val="32"/>
          <w:szCs w:val="32"/>
          <w:shd w:val="clear" w:color="auto" w:fill="FFFFFF"/>
        </w:rPr>
        <w:t>第五次全国经济普查经费</w:t>
      </w:r>
      <w:r>
        <w:rPr>
          <w:rFonts w:hint="eastAsia" w:ascii="方正仿宋_GBK" w:hAnsi="方正仿宋_GBK" w:eastAsia="方正仿宋_GBK" w:cs="方正仿宋_GBK"/>
          <w:sz w:val="32"/>
          <w:szCs w:val="32"/>
          <w:shd w:val="clear" w:color="auto" w:fill="FFFFFF"/>
          <w:lang w:eastAsia="zh-CN"/>
        </w:rPr>
        <w:t>”项目调剂</w:t>
      </w:r>
      <w:r>
        <w:rPr>
          <w:rFonts w:hint="eastAsia" w:ascii="Times New Roman" w:hAnsi="Times New Roman" w:eastAsia="方正仿宋_GBK" w:cs="Times New Roman"/>
          <w:sz w:val="32"/>
          <w:szCs w:val="32"/>
          <w:shd w:val="clear" w:color="auto" w:fill="FFFFFF"/>
          <w:lang w:val="en-US" w:eastAsia="zh-CN"/>
        </w:rPr>
        <w:t>200万“两员”经费至</w:t>
      </w:r>
      <w:r>
        <w:rPr>
          <w:rFonts w:hint="eastAsia" w:ascii="方正仿宋_GBK" w:hAnsi="方正仿宋_GBK" w:eastAsia="方正仿宋_GBK" w:cs="方正仿宋_GBK"/>
          <w:sz w:val="32"/>
          <w:szCs w:val="32"/>
          <w:shd w:val="clear" w:color="auto" w:fill="FFFFFF"/>
          <w:lang w:val="en-US" w:eastAsia="zh-CN"/>
        </w:rPr>
        <w:t>各乡镇，二是我局厉行节约精神节省不必要开支。</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640" w:firstLineChars="200"/>
        <w:jc w:val="both"/>
        <w:textAlignment w:val="auto"/>
        <w:rPr>
          <w:rFonts w:ascii="方正仿宋_GBK" w:hAnsi="方正仿宋_GBK" w:eastAsia="方正仿宋_GBK" w:cs="方正仿宋_GBK"/>
          <w:sz w:val="32"/>
          <w:szCs w:val="32"/>
          <w:highlight w:val="none"/>
          <w:shd w:val="clear" w:color="auto" w:fill="FFFFFF"/>
        </w:rPr>
      </w:pPr>
      <w:r>
        <w:rPr>
          <w:rFonts w:ascii="方正仿宋_GBK" w:hAnsi="方正仿宋_GBK" w:eastAsia="方正仿宋_GBK" w:cs="方正仿宋_GBK"/>
          <w:sz w:val="32"/>
          <w:szCs w:val="32"/>
          <w:highlight w:val="none"/>
          <w:shd w:val="clear" w:color="auto" w:fill="FFFFFF"/>
        </w:rPr>
        <w:t>一般公共预算财政拨款支出主要</w:t>
      </w:r>
      <w:r>
        <w:rPr>
          <w:rFonts w:hint="eastAsia" w:ascii="方正仿宋_GBK" w:hAnsi="方正仿宋_GBK" w:eastAsia="方正仿宋_GBK" w:cs="方正仿宋_GBK"/>
          <w:sz w:val="32"/>
          <w:szCs w:val="32"/>
          <w:highlight w:val="none"/>
          <w:shd w:val="clear" w:color="auto" w:fill="FFFFFF"/>
          <w:lang w:eastAsia="zh-CN"/>
        </w:rPr>
        <w:t>用途如下</w:t>
      </w:r>
      <w:r>
        <w:rPr>
          <w:rFonts w:ascii="方正仿宋_GBK" w:hAnsi="方正仿宋_GBK" w:eastAsia="方正仿宋_GBK" w:cs="方正仿宋_GBK"/>
          <w:sz w:val="32"/>
          <w:szCs w:val="32"/>
          <w:highlight w:val="none"/>
          <w:shd w:val="clear" w:color="auto" w:fill="FFFFFF"/>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）一般公共服务支出</w:t>
      </w:r>
      <w:r>
        <w:rPr>
          <w:rFonts w:hint="default" w:ascii="Times New Roman" w:hAnsi="Times New Roman" w:eastAsia="方正仿宋_GBK"/>
          <w:sz w:val="32"/>
          <w:szCs w:val="32"/>
          <w:shd w:val="clear" w:color="auto" w:fill="FFFFFF"/>
        </w:rPr>
        <w:t>586.02</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82.5%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较年初预算数减少229.86万元，下降28.2%</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：一是“</w:t>
      </w:r>
      <w:r>
        <w:rPr>
          <w:rFonts w:ascii="方正仿宋_GBK" w:hAnsi="方正仿宋_GBK" w:eastAsia="方正仿宋_GBK" w:cs="方正仿宋_GBK"/>
          <w:sz w:val="32"/>
          <w:szCs w:val="32"/>
          <w:shd w:val="clear" w:color="auto" w:fill="FFFFFF"/>
        </w:rPr>
        <w:t>第五次全国经济普查经费</w:t>
      </w:r>
      <w:r>
        <w:rPr>
          <w:rFonts w:hint="eastAsia" w:ascii="方正仿宋_GBK" w:hAnsi="方正仿宋_GBK" w:eastAsia="方正仿宋_GBK" w:cs="方正仿宋_GBK"/>
          <w:sz w:val="32"/>
          <w:szCs w:val="32"/>
          <w:shd w:val="clear" w:color="auto" w:fill="FFFFFF"/>
          <w:lang w:eastAsia="zh-CN"/>
        </w:rPr>
        <w:t>”项目调剂</w:t>
      </w:r>
      <w:r>
        <w:rPr>
          <w:rFonts w:hint="eastAsia" w:ascii="Times New Roman" w:hAnsi="Times New Roman" w:eastAsia="方正仿宋_GBK" w:cs="Times New Roman"/>
          <w:sz w:val="32"/>
          <w:szCs w:val="32"/>
          <w:shd w:val="clear" w:color="auto" w:fill="FFFFFF"/>
          <w:lang w:val="en-US" w:eastAsia="zh-CN"/>
        </w:rPr>
        <w:t>200万“两员”经费至</w:t>
      </w:r>
      <w:r>
        <w:rPr>
          <w:rFonts w:hint="eastAsia" w:ascii="方正仿宋_GBK" w:hAnsi="方正仿宋_GBK" w:eastAsia="方正仿宋_GBK" w:cs="方正仿宋_GBK"/>
          <w:sz w:val="32"/>
          <w:szCs w:val="32"/>
          <w:shd w:val="clear" w:color="auto" w:fill="FFFFFF"/>
          <w:lang w:val="en-US" w:eastAsia="zh-CN"/>
        </w:rPr>
        <w:t>各乡镇，二是我局厉行节约精神节省不必要开支。</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2</w:t>
      </w:r>
      <w:r>
        <w:rPr>
          <w:rFonts w:ascii="方正仿宋_GBK" w:hAnsi="方正仿宋_GBK" w:eastAsia="方正仿宋_GBK" w:cs="方正仿宋_GBK"/>
          <w:sz w:val="32"/>
          <w:szCs w:val="32"/>
          <w:shd w:val="clear" w:color="auto" w:fill="FFFFFF"/>
        </w:rPr>
        <w:t>）社会保障</w:t>
      </w:r>
      <w:r>
        <w:rPr>
          <w:rFonts w:hint="eastAsia" w:ascii="方正仿宋_GBK" w:hAnsi="方正仿宋_GBK" w:eastAsia="方正仿宋_GBK" w:cs="方正仿宋_GBK"/>
          <w:sz w:val="32"/>
          <w:szCs w:val="32"/>
          <w:shd w:val="clear" w:color="auto" w:fill="FFFFFF"/>
          <w:lang w:eastAsia="zh-CN"/>
        </w:rPr>
        <w:t>和</w:t>
      </w:r>
      <w:r>
        <w:rPr>
          <w:rFonts w:ascii="方正仿宋_GBK" w:hAnsi="方正仿宋_GBK" w:eastAsia="方正仿宋_GBK" w:cs="方正仿宋_GBK"/>
          <w:sz w:val="32"/>
          <w:szCs w:val="32"/>
          <w:shd w:val="clear" w:color="auto" w:fill="FFFFFF"/>
        </w:rPr>
        <w:t>就业支出</w:t>
      </w:r>
      <w:r>
        <w:rPr>
          <w:rFonts w:hint="default" w:ascii="Times New Roman" w:hAnsi="Times New Roman" w:eastAsia="方正仿宋_GBK"/>
          <w:sz w:val="32"/>
          <w:szCs w:val="32"/>
          <w:shd w:val="clear" w:color="auto" w:fill="FFFFFF"/>
        </w:rPr>
        <w:t>71.26</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较年初预算数减少0.55万元，下降0.8%</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人员调进调出，工资水平存在差异。</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3</w:t>
      </w:r>
      <w:r>
        <w:rPr>
          <w:rFonts w:ascii="方正仿宋_GBK" w:hAnsi="方正仿宋_GBK" w:eastAsia="方正仿宋_GBK" w:cs="方正仿宋_GBK"/>
          <w:sz w:val="32"/>
          <w:szCs w:val="32"/>
          <w:shd w:val="clear" w:color="auto" w:fill="FFFFFF"/>
        </w:rPr>
        <w:t>）卫生健康支出</w:t>
      </w:r>
      <w:r>
        <w:rPr>
          <w:rFonts w:hint="default" w:ascii="Times New Roman" w:hAnsi="Times New Roman" w:eastAsia="方正仿宋_GBK"/>
          <w:sz w:val="32"/>
          <w:szCs w:val="32"/>
          <w:shd w:val="clear" w:color="auto" w:fill="FFFFFF"/>
        </w:rPr>
        <w:t>24.63</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3.5%</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较年初预算数减少2.14万元，下降8.0%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人员调进调出，工资水平存在差异。</w:t>
      </w:r>
    </w:p>
    <w:p>
      <w:pPr>
        <w:spacing w:line="596" w:lineRule="exact"/>
        <w:ind w:firstLine="640" w:firstLineChars="200"/>
        <w:jc w:val="both"/>
        <w:rPr>
          <w:rFonts w:hint="default" w:ascii="方正仿宋_GBK" w:hAnsi="方正仿宋_GBK" w:eastAsia="方正仿宋_GBK" w:cs="方正仿宋_GBK"/>
          <w:color w:val="FF0000"/>
          <w:sz w:val="32"/>
          <w:szCs w:val="32"/>
          <w:shd w:val="clear" w:color="auto" w:fill="FFFFFF"/>
        </w:rPr>
      </w:pPr>
      <w:r>
        <w:rPr>
          <w:rFonts w:ascii="方正仿宋_GBK" w:hAnsi="方正仿宋_GBK" w:eastAsia="方正仿宋_GBK" w:cs="方正仿宋_GBK"/>
          <w:sz w:val="32"/>
          <w:szCs w:val="32"/>
          <w:shd w:val="clear" w:color="auto" w:fill="FFFFFF"/>
        </w:rPr>
        <w:t>（</w:t>
      </w:r>
      <w:r>
        <w:rPr>
          <w:rFonts w:hint="eastAsia" w:ascii="Times New Roman" w:hAnsi="Times New Roman" w:eastAsia="方正仿宋_GBK"/>
          <w:sz w:val="32"/>
          <w:szCs w:val="32"/>
          <w:shd w:val="clear" w:color="auto" w:fill="FFFFFF"/>
          <w:lang w:val="en-US" w:eastAsia="zh-CN"/>
        </w:rPr>
        <w:t>4</w:t>
      </w:r>
      <w:r>
        <w:rPr>
          <w:rFonts w:ascii="方正仿宋_GBK" w:hAnsi="方正仿宋_GBK" w:eastAsia="方正仿宋_GBK" w:cs="方正仿宋_GBK"/>
          <w:sz w:val="32"/>
          <w:szCs w:val="32"/>
          <w:shd w:val="clear" w:color="auto" w:fill="FFFFFF"/>
        </w:rPr>
        <w:t>）</w:t>
      </w:r>
      <w:r>
        <w:rPr>
          <w:rFonts w:ascii="方正仿宋_GBK" w:hAnsi="方正仿宋_GBK" w:eastAsia="方正仿宋_GBK" w:cs="方正仿宋_GBK"/>
          <w:sz w:val="32"/>
          <w:szCs w:val="32"/>
        </w:rPr>
        <w:t>住房保障支出</w:t>
      </w:r>
      <w:r>
        <w:rPr>
          <w:rFonts w:hint="default" w:ascii="Times New Roman" w:hAnsi="Times New Roman" w:eastAsia="方正仿宋_GBK"/>
          <w:sz w:val="32"/>
          <w:szCs w:val="32"/>
          <w:shd w:val="clear" w:color="auto" w:fill="FFFFFF"/>
        </w:rPr>
        <w:t>28.37</w:t>
      </w:r>
      <w:r>
        <w:rPr>
          <w:rFonts w:ascii="方正仿宋_GBK" w:hAnsi="方正仿宋_GBK" w:eastAsia="方正仿宋_GBK" w:cs="方正仿宋_GBK"/>
          <w:sz w:val="32"/>
          <w:szCs w:val="32"/>
          <w:shd w:val="clear" w:color="auto" w:fill="FFFFFF"/>
        </w:rPr>
        <w:t>万元，占</w:t>
      </w:r>
      <w:r>
        <w:rPr>
          <w:rFonts w:hint="default" w:ascii="Times New Roman" w:hAnsi="Times New Roman" w:eastAsia="方正仿宋_GBK"/>
          <w:sz w:val="32"/>
          <w:szCs w:val="32"/>
          <w:shd w:val="clear" w:color="auto" w:fill="FFFFFF"/>
        </w:rPr>
        <w:t>4.0%</w:t>
      </w:r>
      <w:r>
        <w:rPr>
          <w:rFonts w:ascii="方正仿宋_GBK" w:hAnsi="方正仿宋_GBK" w:eastAsia="方正仿宋_GBK" w:cs="方正仿宋_GBK"/>
          <w:sz w:val="32"/>
          <w:szCs w:val="32"/>
          <w:shd w:val="clear" w:color="auto" w:fill="FFFFFF"/>
        </w:rPr>
        <w:t>，</w:t>
      </w:r>
      <w:r>
        <w:rPr>
          <w:rFonts w:hint="default" w:ascii="Times New Roman" w:hAnsi="Times New Roman" w:eastAsia="方正仿宋_GBK"/>
          <w:sz w:val="32"/>
          <w:szCs w:val="32"/>
          <w:shd w:val="clear" w:color="auto" w:fill="FFFFFF"/>
        </w:rPr>
        <w:t>较年初预算数减少0.11万元，下降0.4%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val="en-US" w:eastAsia="zh-CN"/>
        </w:rPr>
        <w:t>人员调进调出，工资水平存在差异。</w:t>
      </w:r>
    </w:p>
    <w:p>
      <w:pPr>
        <w:pStyle w:val="9"/>
        <w:snapToGrid w:val="0"/>
        <w:spacing w:before="0" w:beforeAutospacing="0" w:after="0" w:afterAutospacing="0" w:line="596" w:lineRule="exact"/>
        <w:ind w:firstLine="643" w:firstLineChars="200"/>
        <w:jc w:val="both"/>
        <w:rPr>
          <w:rFonts w:hint="default" w:ascii="方正仿宋_GBK" w:hAnsi="方正仿宋_GBK" w:eastAsia="方正仿宋_GBK" w:cs="方正仿宋_GBK"/>
          <w:color w:val="FF0000"/>
          <w:sz w:val="32"/>
          <w:szCs w:val="32"/>
          <w:shd w:val="clear" w:color="auto" w:fill="FFFFFF"/>
        </w:rPr>
      </w:pPr>
      <w:r>
        <w:rPr>
          <w:rStyle w:val="13"/>
          <w:rFonts w:hint="default" w:ascii="Times New Roman" w:hAnsi="Times New Roman" w:eastAsia="方正仿宋_GBK"/>
          <w:sz w:val="32"/>
          <w:szCs w:val="32"/>
          <w:shd w:val="clear" w:color="auto" w:fill="FFFFFF"/>
        </w:rPr>
        <w:t>3</w:t>
      </w:r>
      <w:r>
        <w:rPr>
          <w:rStyle w:val="13"/>
          <w:rFonts w:ascii="方正仿宋_GBK" w:hAnsi="方正仿宋_GBK" w:eastAsia="方正仿宋_GBK" w:cs="方正仿宋_GBK"/>
          <w:sz w:val="32"/>
          <w:szCs w:val="32"/>
          <w:shd w:val="clear" w:color="auto" w:fill="FFFFFF"/>
        </w:rPr>
        <w:t>.结转结余情况。</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年度年末一般公共预算财政拨款结转和结余</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w:t>
      </w:r>
      <w:r>
        <w:rPr>
          <w:rFonts w:hint="eastAsia" w:ascii="Times New Roman" w:hAnsi="Times New Roman" w:eastAsia="方正仿宋_GBK"/>
          <w:sz w:val="32"/>
          <w:szCs w:val="32"/>
          <w:shd w:val="clear" w:color="auto" w:fill="FFFFFF"/>
          <w:lang w:eastAsia="zh-CN"/>
        </w:rPr>
        <w:t>上年决算数持平</w:t>
      </w:r>
      <w:r>
        <w:rPr>
          <w:rFonts w:hint="eastAsia" w:ascii="方正仿宋_GBK" w:hAnsi="方正仿宋_GBK" w:eastAsia="方正仿宋_GBK" w:cs="方正仿宋_GBK"/>
          <w:sz w:val="32"/>
          <w:szCs w:val="32"/>
          <w:shd w:val="clear" w:color="auto" w:fill="FFFFFF"/>
          <w:lang w:eastAsia="zh-CN"/>
        </w:rPr>
        <w:t>。</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（四）一般公共预算财政拨款基本支出决算情况说明</w:t>
      </w:r>
    </w:p>
    <w:p>
      <w:pPr>
        <w:pStyle w:val="9"/>
        <w:snapToGrid w:val="0"/>
        <w:spacing w:before="0" w:beforeAutospacing="0" w:after="0" w:afterAutospacing="0" w:line="596" w:lineRule="exact"/>
        <w:ind w:firstLine="640" w:firstLineChars="200"/>
        <w:jc w:val="both"/>
        <w:rPr>
          <w:rFonts w:ascii="方正仿宋_GBK" w:hAnsi="方正仿宋_GBK" w:eastAsia="方正仿宋_GBK" w:cs="方正仿宋_GBK"/>
          <w:sz w:val="32"/>
          <w:szCs w:val="32"/>
          <w:shd w:val="clear" w:color="auto" w:fill="FFFFFF"/>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年度一般公共财政拨款基本支出</w:t>
      </w:r>
      <w:r>
        <w:rPr>
          <w:rFonts w:hint="default" w:ascii="Times New Roman" w:hAnsi="Times New Roman" w:eastAsia="方正仿宋_GBK"/>
          <w:sz w:val="32"/>
          <w:szCs w:val="32"/>
          <w:shd w:val="clear" w:color="auto" w:fill="FFFFFF"/>
        </w:rPr>
        <w:t>445.86</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kinsoku/>
        <w:wordWrap/>
        <w:overflowPunct/>
        <w:topLinePunct w:val="0"/>
        <w:autoSpaceDE/>
        <w:autoSpaceDN/>
        <w:bidi w:val="0"/>
        <w:adjustRightInd/>
        <w:snapToGrid w:val="0"/>
        <w:spacing w:before="0" w:beforeAutospacing="0" w:after="0" w:afterAutospacing="0" w:line="596" w:lineRule="exact"/>
        <w:ind w:firstLine="0" w:firstLineChars="0"/>
        <w:jc w:val="both"/>
        <w:textAlignment w:val="auto"/>
        <w:rPr>
          <w:rFonts w:ascii="方正仿宋_GBK" w:hAnsi="方正仿宋_GBK" w:eastAsia="方正仿宋_GBK" w:cs="方正仿宋_GBK"/>
          <w:sz w:val="32"/>
          <w:szCs w:val="32"/>
          <w:shd w:val="clear" w:color="auto" w:fill="FFFFFF"/>
        </w:rPr>
      </w:pPr>
      <w:r>
        <w:rPr>
          <w:rFonts w:ascii="方正仿宋_GBK" w:hAnsi="方正仿宋_GBK" w:eastAsia="方正仿宋_GBK" w:cs="方正仿宋_GBK"/>
          <w:sz w:val="32"/>
          <w:szCs w:val="32"/>
          <w:shd w:val="clear" w:color="auto" w:fill="FFFFFF"/>
        </w:rPr>
        <w:t>其中：</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rPr>
      </w:pPr>
      <w:r>
        <w:rPr>
          <w:rFonts w:ascii="方正仿宋_GBK" w:hAnsi="方正仿宋_GBK" w:eastAsia="方正仿宋_GBK" w:cs="方正仿宋_GBK"/>
          <w:sz w:val="32"/>
          <w:szCs w:val="32"/>
          <w:shd w:val="clear" w:color="auto" w:fill="FFFFFF"/>
        </w:rPr>
        <w:t>人员经费</w:t>
      </w:r>
      <w:r>
        <w:rPr>
          <w:rFonts w:hint="default" w:ascii="Times New Roman" w:hAnsi="Times New Roman" w:eastAsia="方正仿宋_GBK"/>
          <w:sz w:val="32"/>
          <w:szCs w:val="32"/>
          <w:shd w:val="clear" w:color="auto" w:fill="FFFFFF"/>
        </w:rPr>
        <w:t>385.33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与2023年度相比，增加21.90万元，增长6.0%</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：一是职工涉及调资晋级，二是新增临聘人员、志愿者等。</w:t>
      </w:r>
      <w:r>
        <w:rPr>
          <w:rFonts w:ascii="方正仿宋_GBK" w:hAnsi="方正仿宋_GBK" w:eastAsia="方正仿宋_GBK" w:cs="方正仿宋_GBK"/>
          <w:sz w:val="32"/>
          <w:szCs w:val="32"/>
          <w:shd w:val="clear" w:color="auto" w:fill="FFFFFF"/>
        </w:rPr>
        <w:t>人员经费用途主要包括</w:t>
      </w:r>
      <w:r>
        <w:rPr>
          <w:rFonts w:hint="default" w:ascii="Times New Roman" w:hAnsi="Times New Roman" w:eastAsia="方正仿宋_GBK" w:cs="Times New Roman"/>
          <w:sz w:val="32"/>
          <w:szCs w:val="32"/>
        </w:rPr>
        <w:t>基本工资、津贴补贴、社会保障费、公积金、奖金、绩效等支出。</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公用经费</w:t>
      </w:r>
      <w:r>
        <w:rPr>
          <w:rFonts w:hint="default" w:ascii="Times New Roman" w:hAnsi="Times New Roman" w:eastAsia="方正仿宋_GBK"/>
          <w:sz w:val="32"/>
          <w:szCs w:val="32"/>
          <w:shd w:val="clear" w:color="auto" w:fill="FFFFFF"/>
        </w:rPr>
        <w:t>60.54</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与2023年度相比，减少15.87万元，下降20.8%</w:t>
      </w:r>
      <w:r>
        <w:rPr>
          <w:rFonts w:ascii="方正仿宋_GBK" w:hAnsi="方正仿宋_GBK" w:eastAsia="方正仿宋_GBK" w:cs="方正仿宋_GBK"/>
          <w:sz w:val="32"/>
          <w:szCs w:val="32"/>
          <w:shd w:val="clear" w:color="auto" w:fill="FFFFFF"/>
        </w:rPr>
        <w:t>，主要原因是</w:t>
      </w:r>
      <w:r>
        <w:rPr>
          <w:rFonts w:hint="eastAsia" w:ascii="Times New Roman" w:hAnsi="Times New Roman" w:eastAsia="方正仿宋_GBK" w:cs="Times New Roman"/>
          <w:sz w:val="32"/>
          <w:szCs w:val="32"/>
          <w:shd w:val="clear" w:color="auto" w:fill="FFFFFF"/>
          <w:lang w:val="en-US" w:eastAsia="zh-CN"/>
        </w:rPr>
        <w:t>2024年五经普登记阶段培训、宣传、办公等费用较上年清查阶段减少。</w:t>
      </w:r>
      <w:r>
        <w:rPr>
          <w:rFonts w:ascii="方正仿宋_GBK" w:hAnsi="方正仿宋_GBK" w:eastAsia="方正仿宋_GBK" w:cs="方正仿宋_GBK"/>
          <w:sz w:val="32"/>
          <w:szCs w:val="32"/>
          <w:shd w:val="clear" w:color="auto" w:fill="FFFFFF"/>
        </w:rPr>
        <w:t>公用经费用途主要包括</w:t>
      </w:r>
      <w:r>
        <w:rPr>
          <w:rFonts w:hint="default" w:ascii="Times New Roman" w:hAnsi="Times New Roman" w:eastAsia="方正仿宋_GBK" w:cs="Times New Roman"/>
          <w:sz w:val="32"/>
          <w:szCs w:val="32"/>
          <w:shd w:val="clear" w:color="auto" w:fill="FFFFFF"/>
        </w:rPr>
        <w:t>办公费、工会经费、福利费、培训费等支出。</w:t>
      </w:r>
    </w:p>
    <w:p>
      <w:pPr>
        <w:pStyle w:val="14"/>
        <w:keepNext w:val="0"/>
        <w:keepLines w:val="0"/>
        <w:pageBreakBefore w:val="0"/>
        <w:widowControl/>
        <w:numPr>
          <w:ilvl w:val="0"/>
          <w:numId w:val="0"/>
        </w:numPr>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fill="FFFFFF"/>
          <w:lang w:val="en-US" w:eastAsia="zh-CN" w:bidi="ar-SA"/>
        </w:rPr>
        <w:t>（五）</w:t>
      </w:r>
      <w:r>
        <w:rPr>
          <w:rFonts w:hint="eastAsia" w:ascii="方正楷体_GBK" w:hAnsi="方正楷体_GBK" w:eastAsia="方正楷体_GBK" w:cs="方正楷体_GBK"/>
          <w:b w:val="0"/>
          <w:bCs w:val="0"/>
          <w:sz w:val="32"/>
          <w:szCs w:val="32"/>
          <w:shd w:val="clear" w:color="auto" w:fill="FFFFFF"/>
        </w:rPr>
        <w:t>政府性基金预算收支决算情况说明</w:t>
      </w:r>
    </w:p>
    <w:p>
      <w:pPr>
        <w:pStyle w:val="9"/>
        <w:snapToGrid w:val="0"/>
        <w:spacing w:before="0" w:beforeAutospacing="0" w:after="0" w:afterAutospacing="0" w:line="596" w:lineRule="exact"/>
        <w:ind w:firstLine="640" w:firstLineChars="200"/>
        <w:jc w:val="both"/>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2024年度无政府性基金预算财政拨款收支。</w:t>
      </w:r>
    </w:p>
    <w:p>
      <w:pPr>
        <w:pStyle w:val="14"/>
        <w:keepNext w:val="0"/>
        <w:keepLines w:val="0"/>
        <w:pageBreakBefore w:val="0"/>
        <w:widowControl/>
        <w:numPr>
          <w:ilvl w:val="0"/>
          <w:numId w:val="0"/>
        </w:numPr>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lang w:val="en-US" w:eastAsia="zh-CN"/>
        </w:rPr>
      </w:pPr>
      <w:r>
        <w:rPr>
          <w:rFonts w:hint="eastAsia" w:ascii="方正楷体_GBK" w:hAnsi="方正楷体_GBK" w:eastAsia="方正楷体_GBK" w:cs="方正楷体_GBK"/>
          <w:b w:val="0"/>
          <w:bCs w:val="0"/>
          <w:sz w:val="32"/>
          <w:szCs w:val="32"/>
          <w:shd w:val="clear" w:fill="FFFFFF"/>
          <w:lang w:val="en-US" w:eastAsia="zh-CN" w:bidi="ar-SA"/>
        </w:rPr>
        <w:t>（六）</w:t>
      </w:r>
      <w:r>
        <w:rPr>
          <w:rFonts w:hint="eastAsia" w:ascii="方正楷体_GBK" w:hAnsi="方正楷体_GBK" w:eastAsia="方正楷体_GBK" w:cs="方正楷体_GBK"/>
          <w:b w:val="0"/>
          <w:bCs w:val="0"/>
          <w:sz w:val="32"/>
          <w:szCs w:val="32"/>
          <w:shd w:val="clear" w:color="auto" w:fill="FFFFFF"/>
          <w:lang w:val="en-US" w:eastAsia="zh-CN"/>
        </w:rPr>
        <w:t>国有资本经营预算财政拨款支出决算情况说明</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sz w:val="32"/>
          <w:szCs w:val="32"/>
          <w:shd w:val="clear" w:color="auto" w:fill="FFFFFF"/>
        </w:rPr>
      </w:pPr>
      <w:r>
        <w:rPr>
          <w:rFonts w:hint="default" w:ascii="Times New Roman" w:hAnsi="Times New Roman" w:eastAsia="方正仿宋_GBK" w:cs="Times New Roman"/>
          <w:sz w:val="32"/>
          <w:szCs w:val="32"/>
          <w:shd w:val="clear" w:color="auto" w:fill="FFFFFF"/>
        </w:rPr>
        <w:t>本</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2024年度无国有资本经营预算财政拨款支出。</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黑体" w:hAnsi="黑体" w:eastAsia="黑体" w:cs="黑体"/>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三、</w:t>
      </w:r>
      <w:r>
        <w:rPr>
          <w:rStyle w:val="13"/>
          <w:rFonts w:hint="eastAsia" w:ascii="方正黑体_GBK" w:hAnsi="方正黑体_GBK" w:eastAsia="方正黑体_GBK" w:cs="方正黑体_GBK"/>
          <w:b w:val="0"/>
          <w:bCs/>
          <w:sz w:val="32"/>
          <w:szCs w:val="32"/>
          <w:shd w:val="clear" w:color="auto" w:fill="FFFFFF"/>
          <w:lang w:eastAsia="zh-CN"/>
        </w:rPr>
        <w:t>财政拨款</w:t>
      </w:r>
      <w:r>
        <w:rPr>
          <w:rStyle w:val="13"/>
          <w:rFonts w:hint="eastAsia" w:ascii="方正黑体_GBK" w:hAnsi="方正黑体_GBK" w:eastAsia="方正黑体_GBK" w:cs="方正黑体_GBK"/>
          <w:b w:val="0"/>
          <w:bCs/>
          <w:sz w:val="32"/>
          <w:szCs w:val="32"/>
          <w:shd w:val="clear" w:color="auto" w:fill="FFFFFF"/>
        </w:rPr>
        <w:t>“三公”经费情况说明</w:t>
      </w:r>
    </w:p>
    <w:p>
      <w:pPr>
        <w:pStyle w:val="14"/>
        <w:keepNext w:val="0"/>
        <w:keepLines w:val="0"/>
        <w:pageBreakBefore w:val="0"/>
        <w:widowControl/>
        <w:numPr>
          <w:ilvl w:val="0"/>
          <w:numId w:val="0"/>
        </w:numPr>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（一）“三公”经费支出总体情况说明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年度“三公”经费支出共计</w:t>
      </w:r>
      <w:r>
        <w:rPr>
          <w:rFonts w:hint="default" w:ascii="Times New Roman" w:hAnsi="Times New Roman" w:eastAsia="方正仿宋_GBK"/>
          <w:sz w:val="32"/>
          <w:szCs w:val="32"/>
          <w:shd w:val="clear" w:color="auto" w:fill="FFFFFF"/>
        </w:rPr>
        <w:t>28.03</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较年初预算数增加24.33万元，增长657.6%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旧公车年久报废处置，购置新公车一台。</w:t>
      </w:r>
      <w:r>
        <w:rPr>
          <w:rFonts w:hint="default" w:ascii="Times New Roman" w:hAnsi="Times New Roman" w:eastAsia="方正仿宋_GBK"/>
          <w:sz w:val="32"/>
          <w:szCs w:val="32"/>
          <w:shd w:val="clear" w:color="auto" w:fill="FFFFFF"/>
        </w:rPr>
        <w:t>较上年支出数增加23.40万元，增长505.4%</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旧公车年久报废处置，购置新公车一台。</w:t>
      </w:r>
    </w:p>
    <w:p>
      <w:pPr>
        <w:pStyle w:val="14"/>
        <w:keepNext w:val="0"/>
        <w:keepLines w:val="0"/>
        <w:pageBreakBefore w:val="0"/>
        <w:widowControl/>
        <w:numPr>
          <w:ilvl w:val="0"/>
          <w:numId w:val="0"/>
        </w:numPr>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（二）“三公”经费分项支出情况</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color w:val="FF0000"/>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因公出国（境）费用</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万元，费用支出</w:t>
      </w:r>
      <w:r>
        <w:rPr>
          <w:rFonts w:hint="default" w:ascii="Times New Roman" w:hAnsi="Times New Roman" w:eastAsia="方正仿宋_GBK"/>
          <w:sz w:val="32"/>
          <w:szCs w:val="32"/>
          <w:shd w:val="clear" w:color="auto" w:fill="FFFFFF"/>
        </w:rPr>
        <w:t>较年初预算数无增减</w:t>
      </w:r>
      <w:r>
        <w:rPr>
          <w:rFonts w:ascii="方正仿宋_GBK" w:hAnsi="方正仿宋_GBK" w:eastAsia="方正仿宋_GBK" w:cs="方正仿宋_GBK"/>
          <w:sz w:val="32"/>
          <w:szCs w:val="32"/>
          <w:shd w:val="clear" w:color="auto" w:fill="FFFFFF"/>
        </w:rPr>
        <w:t>，</w:t>
      </w:r>
      <w:r>
        <w:rPr>
          <w:rFonts w:hint="eastAsia" w:ascii="方正仿宋_GBK" w:hAnsi="方正仿宋_GBK" w:eastAsia="方正仿宋_GBK" w:cs="方正仿宋_GBK"/>
          <w:sz w:val="32"/>
          <w:szCs w:val="32"/>
          <w:shd w:val="clear" w:color="auto" w:fill="FFFFFF"/>
          <w:lang w:eastAsia="zh-CN"/>
        </w:rPr>
        <w:t>与上年决算数持平</w:t>
      </w:r>
      <w:r>
        <w:rPr>
          <w:rFonts w:hint="default" w:ascii="Times New Roman" w:hAnsi="Times New Roman" w:eastAsia="方正仿宋_GBK" w:cs="Times New Roman"/>
          <w:color w:val="auto"/>
          <w:sz w:val="32"/>
          <w:szCs w:val="32"/>
          <w:shd w:val="clear" w:color="auto" w:fill="FFFFFF"/>
          <w:lang w:val="en-US" w:eastAsia="zh-CN"/>
        </w:rPr>
        <w:t>。</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车购置费</w:t>
      </w:r>
      <w:r>
        <w:rPr>
          <w:rFonts w:hint="default" w:ascii="Times New Roman" w:hAnsi="Times New Roman" w:eastAsia="方正仿宋_GBK"/>
          <w:sz w:val="32"/>
          <w:szCs w:val="32"/>
          <w:shd w:val="clear" w:color="auto" w:fill="FFFFFF"/>
        </w:rPr>
        <w:t>23.48</w:t>
      </w:r>
      <w:r>
        <w:rPr>
          <w:rFonts w:ascii="方正仿宋_GBK" w:hAnsi="方正仿宋_GBK" w:eastAsia="方正仿宋_GBK" w:cs="方正仿宋_GBK"/>
          <w:sz w:val="32"/>
          <w:szCs w:val="32"/>
          <w:shd w:val="clear" w:color="auto" w:fill="FFFFFF"/>
        </w:rPr>
        <w:t>万元，主要用于</w:t>
      </w:r>
      <w:r>
        <w:rPr>
          <w:rFonts w:hint="eastAsia" w:ascii="方正仿宋_GBK" w:hAnsi="方正仿宋_GBK" w:eastAsia="方正仿宋_GBK" w:cs="方正仿宋_GBK"/>
          <w:sz w:val="32"/>
          <w:szCs w:val="32"/>
          <w:shd w:val="clear" w:color="auto" w:fill="FFFFFF"/>
          <w:lang w:eastAsia="zh-CN"/>
        </w:rPr>
        <w:t>出差下乡、行政执法等工作，</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较年初预算数增加23.48万元，增长100.0%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年初未预算公车购置费。</w:t>
      </w:r>
      <w:r>
        <w:rPr>
          <w:rFonts w:hint="default" w:ascii="Times New Roman" w:hAnsi="Times New Roman" w:eastAsia="方正仿宋_GBK"/>
          <w:sz w:val="32"/>
          <w:szCs w:val="32"/>
          <w:shd w:val="clear" w:color="auto" w:fill="FFFFFF"/>
        </w:rPr>
        <w:t>较上年支出数增加23.48万元，增长100.0%</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上年未购置新公车。</w:t>
      </w:r>
    </w:p>
    <w:p>
      <w:pPr>
        <w:pStyle w:val="9"/>
        <w:snapToGrid w:val="0"/>
        <w:spacing w:before="0" w:beforeAutospacing="0" w:after="0" w:afterAutospacing="0" w:line="596" w:lineRule="exact"/>
        <w:ind w:firstLine="640" w:firstLineChars="200"/>
        <w:jc w:val="both"/>
        <w:rPr>
          <w:rFonts w:hint="eastAsia" w:ascii="方正仿宋_GBK" w:hAnsi="方正仿宋_GBK" w:eastAsia="方正仿宋_GBK" w:cs="方正仿宋_GBK"/>
          <w:sz w:val="32"/>
          <w:szCs w:val="32"/>
          <w:lang w:eastAsia="zh-CN"/>
        </w:rPr>
      </w:pPr>
      <w:r>
        <w:rPr>
          <w:rFonts w:ascii="方正仿宋_GBK" w:hAnsi="方正仿宋_GBK" w:eastAsia="方正仿宋_GBK" w:cs="方正仿宋_GBK"/>
          <w:sz w:val="32"/>
          <w:szCs w:val="32"/>
          <w:shd w:val="clear" w:color="auto" w:fill="FFFFFF"/>
        </w:rPr>
        <w:t>公务</w:t>
      </w:r>
      <w:r>
        <w:rPr>
          <w:rFonts w:hint="eastAsia" w:ascii="方正仿宋_GBK" w:hAnsi="方正仿宋_GBK" w:eastAsia="方正仿宋_GBK" w:cs="方正仿宋_GBK"/>
          <w:sz w:val="32"/>
          <w:szCs w:val="32"/>
          <w:shd w:val="clear" w:color="auto" w:fill="FFFFFF"/>
          <w:lang w:eastAsia="zh-CN"/>
        </w:rPr>
        <w:t>用</w:t>
      </w:r>
      <w:r>
        <w:rPr>
          <w:rFonts w:ascii="方正仿宋_GBK" w:hAnsi="方正仿宋_GBK" w:eastAsia="方正仿宋_GBK" w:cs="方正仿宋_GBK"/>
          <w:sz w:val="32"/>
          <w:szCs w:val="32"/>
          <w:shd w:val="clear" w:color="auto" w:fill="FFFFFF"/>
        </w:rPr>
        <w:t>车运行维护费</w:t>
      </w:r>
      <w:r>
        <w:rPr>
          <w:rFonts w:hint="default" w:ascii="Times New Roman" w:hAnsi="Times New Roman" w:eastAsia="方正仿宋_GBK"/>
          <w:sz w:val="32"/>
          <w:szCs w:val="32"/>
          <w:shd w:val="clear" w:color="auto" w:fill="FFFFFF"/>
        </w:rPr>
        <w:t>3.77</w:t>
      </w:r>
      <w:r>
        <w:rPr>
          <w:rFonts w:ascii="方正仿宋_GBK" w:hAnsi="方正仿宋_GBK" w:eastAsia="方正仿宋_GBK" w:cs="方正仿宋_GBK"/>
          <w:sz w:val="32"/>
          <w:szCs w:val="32"/>
          <w:shd w:val="clear" w:color="auto" w:fill="FFFFFF"/>
        </w:rPr>
        <w:t>万元，主要用于</w:t>
      </w:r>
      <w:r>
        <w:rPr>
          <w:rFonts w:hint="default" w:ascii="方正仿宋_GBK" w:hAnsi="方正仿宋_GBK" w:eastAsia="方正仿宋_GBK" w:cs="方正仿宋_GBK"/>
          <w:sz w:val="32"/>
          <w:szCs w:val="32"/>
          <w:shd w:val="clear" w:color="auto" w:fill="FFFFFF"/>
        </w:rPr>
        <w:t>下乡开展执法检查、数据检查等的燃料费和车辆维修费等</w:t>
      </w:r>
      <w:r>
        <w:rPr>
          <w:rFonts w:hint="eastAsia" w:ascii="方正仿宋_GBK" w:hAnsi="方正仿宋_GBK" w:eastAsia="方正仿宋_GBK" w:cs="方正仿宋_GBK"/>
          <w:sz w:val="32"/>
          <w:szCs w:val="32"/>
          <w:shd w:val="clear" w:color="auto" w:fill="FFFFFF"/>
          <w:lang w:eastAsia="zh-CN"/>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较年初预算数增加1.07万元，增长39.6%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新公车保险费、维修费等增加，</w:t>
      </w:r>
      <w:r>
        <w:rPr>
          <w:rFonts w:hint="default" w:ascii="Times New Roman" w:hAnsi="Times New Roman" w:eastAsia="方正仿宋_GBK"/>
          <w:sz w:val="32"/>
          <w:szCs w:val="32"/>
          <w:shd w:val="clear" w:color="auto" w:fill="FFFFFF"/>
        </w:rPr>
        <w:t>较上年支出数减少0.06万元，下降1.6%</w:t>
      </w:r>
      <w:r>
        <w:rPr>
          <w:rFonts w:ascii="方正仿宋_GBK" w:hAnsi="方正仿宋_GBK" w:eastAsia="方正仿宋_GBK" w:cs="方正仿宋_GBK"/>
          <w:sz w:val="32"/>
          <w:szCs w:val="32"/>
          <w:shd w:val="clear" w:color="auto" w:fill="FFFFFF"/>
        </w:rPr>
        <w:t>，主要原因</w:t>
      </w:r>
      <w:r>
        <w:rPr>
          <w:rFonts w:hint="eastAsia" w:ascii="方正仿宋_GBK" w:hAnsi="方正仿宋_GBK" w:eastAsia="方正仿宋_GBK" w:cs="方正仿宋_GBK"/>
          <w:sz w:val="32"/>
          <w:szCs w:val="32"/>
          <w:shd w:val="clear" w:color="auto" w:fill="FFFFFF"/>
          <w:lang w:eastAsia="zh-CN"/>
        </w:rPr>
        <w:t>：一是今年经普工</w:t>
      </w:r>
      <w:r>
        <w:rPr>
          <w:rFonts w:hint="eastAsia" w:ascii="方正仿宋_GBK" w:hAnsi="方正仿宋_GBK" w:eastAsia="方正仿宋_GBK" w:cs="方正仿宋_GBK"/>
          <w:color w:val="auto"/>
          <w:sz w:val="32"/>
          <w:szCs w:val="32"/>
          <w:shd w:val="clear" w:color="auto" w:fill="FFFFFF"/>
          <w:lang w:eastAsia="zh-CN"/>
        </w:rPr>
        <w:t>作收尾阶段下乡次数减少，二是新公车是新能源汽车，燃料费减少。</w:t>
      </w:r>
    </w:p>
    <w:p>
      <w:pPr>
        <w:pStyle w:val="15"/>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left="0" w:firstLine="640" w:firstLineChars="200"/>
        <w:jc w:val="both"/>
        <w:textAlignment w:val="auto"/>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公务接待费</w:t>
      </w:r>
      <w:r>
        <w:rPr>
          <w:rFonts w:hint="default" w:ascii="Times New Roman" w:hAnsi="Times New Roman" w:eastAsia="方正仿宋_GBK"/>
          <w:sz w:val="32"/>
          <w:szCs w:val="32"/>
          <w:shd w:val="clear" w:color="auto" w:fill="FFFFFF"/>
        </w:rPr>
        <w:t>0.77</w:t>
      </w:r>
      <w:r>
        <w:rPr>
          <w:rFonts w:ascii="方正仿宋_GBK" w:hAnsi="方正仿宋_GBK" w:eastAsia="方正仿宋_GBK" w:cs="方正仿宋_GBK"/>
          <w:sz w:val="32"/>
          <w:szCs w:val="32"/>
          <w:shd w:val="clear" w:color="auto" w:fill="FFFFFF"/>
        </w:rPr>
        <w:t>万元，主要用于</w:t>
      </w:r>
      <w:r>
        <w:rPr>
          <w:rFonts w:hint="default" w:ascii="Times New Roman" w:hAnsi="Times New Roman" w:eastAsia="方正仿宋_GBK" w:cs="Times New Roman"/>
          <w:sz w:val="32"/>
          <w:szCs w:val="32"/>
          <w:shd w:val="clear" w:color="auto" w:fill="FFFFFF"/>
        </w:rPr>
        <w:t>接待市局到丰都调研</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数据质量抽查</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督导检查</w:t>
      </w:r>
      <w:r>
        <w:rPr>
          <w:rFonts w:hint="eastAsia" w:ascii="Times New Roman" w:hAnsi="Times New Roman" w:eastAsia="方正仿宋_GBK" w:cs="Times New Roman"/>
          <w:sz w:val="32"/>
          <w:szCs w:val="32"/>
          <w:shd w:val="clear" w:color="auto" w:fill="FFFFFF"/>
          <w:lang w:eastAsia="zh-CN"/>
        </w:rPr>
        <w:t>以及市局来丰数字重庆建设调研</w:t>
      </w:r>
      <w:r>
        <w:rPr>
          <w:rFonts w:hint="eastAsia" w:ascii="Times New Roman" w:hAnsi="Times New Roman" w:eastAsia="方正仿宋_GBK" w:cs="Times New Roman"/>
          <w:color w:val="auto"/>
          <w:sz w:val="32"/>
          <w:szCs w:val="32"/>
          <w:shd w:val="clear" w:color="auto" w:fill="FFFFFF"/>
          <w:lang w:eastAsia="zh-CN"/>
        </w:rPr>
        <w:t>等</w:t>
      </w:r>
      <w:r>
        <w:rPr>
          <w:rFonts w:ascii="方正仿宋_GBK" w:hAnsi="方正仿宋_GBK" w:eastAsia="方正仿宋_GBK" w:cs="方正仿宋_GBK"/>
          <w:color w:val="auto"/>
          <w:sz w:val="32"/>
          <w:szCs w:val="32"/>
          <w:shd w:val="clear" w:color="auto" w:fill="FFFFFF"/>
        </w:rPr>
        <w:t>。</w:t>
      </w:r>
      <w:r>
        <w:rPr>
          <w:rFonts w:ascii="方正仿宋_GBK" w:hAnsi="方正仿宋_GBK" w:eastAsia="方正仿宋_GBK" w:cs="方正仿宋_GBK"/>
          <w:sz w:val="32"/>
          <w:szCs w:val="32"/>
          <w:shd w:val="clear" w:color="auto" w:fill="FFFFFF"/>
        </w:rPr>
        <w:t>费用支出</w:t>
      </w:r>
      <w:r>
        <w:rPr>
          <w:rFonts w:hint="default" w:ascii="Times New Roman" w:hAnsi="Times New Roman" w:eastAsia="方正仿宋_GBK"/>
          <w:sz w:val="32"/>
          <w:szCs w:val="32"/>
          <w:shd w:val="clear" w:color="auto" w:fill="FFFFFF"/>
        </w:rPr>
        <w:t>较年初预算数减少0.23万元，下降23.0%</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rPr>
        <w:t>落实过紧日子要求，减少开支</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sz w:val="32"/>
          <w:szCs w:val="32"/>
          <w:shd w:val="clear" w:color="auto" w:fill="FFFFFF"/>
        </w:rPr>
        <w:t>较上年支出数减少0.03万元，下降3.8%</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rPr>
        <w:t>落实过紧日子要求，减少开支。</w:t>
      </w:r>
    </w:p>
    <w:p>
      <w:pPr>
        <w:pStyle w:val="14"/>
        <w:keepNext w:val="0"/>
        <w:keepLines w:val="0"/>
        <w:pageBreakBefore w:val="0"/>
        <w:widowControl/>
        <w:kinsoku/>
        <w:wordWrap/>
        <w:overflowPunct/>
        <w:topLinePunct w:val="0"/>
        <w:autoSpaceDE w:val="0"/>
        <w:autoSpaceDN/>
        <w:bidi w:val="0"/>
        <w:adjustRightInd/>
        <w:snapToGrid/>
        <w:spacing w:line="596" w:lineRule="exact"/>
        <w:ind w:firstLine="640" w:firstLineChars="200"/>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（三）“三公”经费实物量情况</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因公出国（境）共计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个团组，</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人；公务用车购置</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辆，公务车保有量为</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辆；国内公务接待</w:t>
      </w:r>
      <w:r>
        <w:rPr>
          <w:rFonts w:hint="default" w:ascii="Times New Roman" w:hAnsi="Times New Roman" w:eastAsia="方正仿宋_GBK"/>
          <w:sz w:val="32"/>
          <w:szCs w:val="32"/>
          <w:shd w:val="clear" w:color="auto" w:fill="FFFFFF"/>
        </w:rPr>
        <w:t>8</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92</w:t>
      </w:r>
      <w:r>
        <w:rPr>
          <w:rFonts w:ascii="方正仿宋_GBK" w:hAnsi="方正仿宋_GBK" w:eastAsia="方正仿宋_GBK" w:cs="方正仿宋_GBK"/>
          <w:sz w:val="32"/>
          <w:szCs w:val="32"/>
          <w:shd w:val="clear" w:color="auto" w:fill="FFFFFF"/>
        </w:rPr>
        <w:t>人，其中：国内外事接待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人；国（境）外公务接待</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批次，</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人。</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人均接待费</w:t>
      </w:r>
      <w:r>
        <w:rPr>
          <w:rFonts w:hint="default" w:ascii="Times New Roman" w:hAnsi="Times New Roman" w:eastAsia="方正仿宋_GBK"/>
          <w:sz w:val="32"/>
          <w:szCs w:val="32"/>
          <w:shd w:val="clear" w:color="auto" w:fill="FFFFFF"/>
        </w:rPr>
        <w:t>84.14</w:t>
      </w:r>
      <w:r>
        <w:rPr>
          <w:rFonts w:ascii="方正仿宋_GBK" w:hAnsi="方正仿宋_GBK" w:eastAsia="方正仿宋_GBK" w:cs="方正仿宋_GBK"/>
          <w:sz w:val="32"/>
          <w:szCs w:val="32"/>
          <w:shd w:val="clear" w:color="auto" w:fill="FFFFFF"/>
        </w:rPr>
        <w:t>元，车均购置费</w:t>
      </w:r>
      <w:r>
        <w:rPr>
          <w:rFonts w:hint="default" w:ascii="Times New Roman" w:hAnsi="Times New Roman" w:eastAsia="方正仿宋_GBK"/>
          <w:sz w:val="32"/>
          <w:szCs w:val="32"/>
          <w:shd w:val="clear" w:color="auto" w:fill="FFFFFF"/>
        </w:rPr>
        <w:t>23.48</w:t>
      </w:r>
      <w:r>
        <w:rPr>
          <w:rFonts w:ascii="方正仿宋_GBK" w:hAnsi="方正仿宋_GBK" w:eastAsia="方正仿宋_GBK" w:cs="方正仿宋_GBK"/>
          <w:sz w:val="32"/>
          <w:szCs w:val="32"/>
          <w:shd w:val="clear" w:color="auto" w:fill="FFFFFF"/>
        </w:rPr>
        <w:t>万元，车均维护费</w:t>
      </w:r>
      <w:r>
        <w:rPr>
          <w:rFonts w:hint="default" w:ascii="Times New Roman" w:hAnsi="Times New Roman" w:eastAsia="方正仿宋_GBK"/>
          <w:sz w:val="32"/>
          <w:szCs w:val="32"/>
          <w:shd w:val="clear" w:color="auto" w:fill="FFFFFF"/>
        </w:rPr>
        <w:t>3.77</w:t>
      </w:r>
      <w:r>
        <w:rPr>
          <w:rFonts w:ascii="方正仿宋_GBK" w:hAnsi="方正仿宋_GBK" w:eastAsia="方正仿宋_GBK" w:cs="方正仿宋_GBK"/>
          <w:sz w:val="32"/>
          <w:szCs w:val="32"/>
          <w:shd w:val="clear" w:color="auto" w:fill="FFFFFF"/>
        </w:rPr>
        <w:t>万元。</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default" w:ascii="方正黑体_GBK" w:hAnsi="方正黑体_GBK" w:eastAsia="方正黑体_GBK" w:cs="方正黑体_GBK"/>
          <w:b w:val="0"/>
          <w:bCs/>
          <w:sz w:val="32"/>
          <w:szCs w:val="32"/>
          <w:shd w:val="clear" w:color="auto" w:fill="FFFFFF"/>
        </w:rPr>
      </w:pPr>
      <w:r>
        <w:rPr>
          <w:rStyle w:val="13"/>
          <w:rFonts w:hint="eastAsia" w:ascii="方正黑体_GBK" w:hAnsi="方正黑体_GBK" w:eastAsia="方正黑体_GBK" w:cs="方正黑体_GBK"/>
          <w:b w:val="0"/>
          <w:bCs/>
          <w:sz w:val="32"/>
          <w:szCs w:val="32"/>
          <w:shd w:val="clear" w:color="auto" w:fill="FFFFFF"/>
        </w:rPr>
        <w:t>四、其他需要说明的事项</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（一）财政拨款会议费、培训费和差旅费情况说明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color w:val="auto"/>
          <w:sz w:val="32"/>
          <w:szCs w:val="32"/>
          <w:highlight w:val="yellow"/>
        </w:rPr>
      </w:pPr>
      <w:r>
        <w:rPr>
          <w:rFonts w:ascii="方正仿宋_GBK" w:hAnsi="方正仿宋_GBK" w:eastAsia="方正仿宋_GBK" w:cs="方正仿宋_GBK"/>
          <w:sz w:val="32"/>
          <w:szCs w:val="32"/>
          <w:shd w:val="clear" w:color="auto" w:fill="FFFFFF"/>
        </w:rPr>
        <w:t>本年度会议费支出</w:t>
      </w:r>
      <w:r>
        <w:rPr>
          <w:rFonts w:hint="default" w:ascii="Times New Roman" w:hAnsi="Times New Roman" w:eastAsia="方正仿宋_GBK"/>
          <w:sz w:val="32"/>
          <w:szCs w:val="32"/>
          <w:shd w:val="clear" w:color="auto" w:fill="FFFFFF"/>
        </w:rPr>
        <w:t>0.17</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与2023年度相比，减少0.01万元，下降5.6%</w:t>
      </w:r>
      <w:r>
        <w:rPr>
          <w:rFonts w:ascii="方正仿宋_GBK" w:hAnsi="方正仿宋_GBK" w:eastAsia="方正仿宋_GBK" w:cs="方正仿宋_GBK"/>
          <w:sz w:val="32"/>
          <w:szCs w:val="32"/>
          <w:shd w:val="clear" w:color="auto" w:fill="FFFFFF"/>
        </w:rPr>
        <w:t>，主要原因是</w:t>
      </w:r>
      <w:r>
        <w:rPr>
          <w:rFonts w:hint="eastAsia" w:ascii="方正仿宋_GBK" w:hAnsi="方正仿宋_GBK" w:eastAsia="方正仿宋_GBK" w:cs="方正仿宋_GBK"/>
          <w:sz w:val="32"/>
          <w:szCs w:val="32"/>
          <w:shd w:val="clear" w:color="auto" w:fill="FFFFFF"/>
          <w:lang w:eastAsia="zh-CN"/>
        </w:rPr>
        <w:t>厉行节约精神，减少不必要开支。</w:t>
      </w:r>
      <w:r>
        <w:rPr>
          <w:rFonts w:ascii="方正仿宋_GBK" w:hAnsi="方正仿宋_GBK" w:eastAsia="方正仿宋_GBK" w:cs="方正仿宋_GBK"/>
          <w:sz w:val="32"/>
          <w:szCs w:val="32"/>
          <w:shd w:val="clear" w:color="auto" w:fill="FFFFFF"/>
        </w:rPr>
        <w:t>本年度培训费支出</w:t>
      </w:r>
      <w:r>
        <w:rPr>
          <w:rFonts w:hint="default" w:ascii="Times New Roman" w:hAnsi="Times New Roman" w:eastAsia="方正仿宋_GBK"/>
          <w:sz w:val="32"/>
          <w:szCs w:val="32"/>
          <w:shd w:val="clear" w:color="auto" w:fill="FFFFFF"/>
        </w:rPr>
        <w:t>15.55</w:t>
      </w:r>
      <w:r>
        <w:rPr>
          <w:rFonts w:ascii="方正仿宋_GBK" w:hAnsi="方正仿宋_GBK" w:eastAsia="方正仿宋_GBK" w:cs="方正仿宋_GBK"/>
          <w:sz w:val="32"/>
          <w:szCs w:val="32"/>
          <w:shd w:val="clear" w:color="auto" w:fill="FFFFFF"/>
        </w:rPr>
        <w:t>万元，</w:t>
      </w:r>
      <w:r>
        <w:rPr>
          <w:rFonts w:hint="default" w:ascii="Times New Roman" w:hAnsi="Times New Roman" w:eastAsia="方正仿宋_GBK"/>
          <w:sz w:val="32"/>
          <w:szCs w:val="32"/>
          <w:shd w:val="clear" w:color="auto" w:fill="FFFFFF"/>
        </w:rPr>
        <w:t>与2023年度相比，减少4.85万元，下降23.8%</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lang w:eastAsia="zh-CN"/>
        </w:rPr>
        <w:t>“五经普</w:t>
      </w:r>
      <w:r>
        <w:rPr>
          <w:rFonts w:hint="default" w:ascii="Times New Roman" w:hAnsi="Times New Roman" w:eastAsia="方正仿宋_GBK" w:cs="Times New Roman"/>
          <w:sz w:val="32"/>
          <w:szCs w:val="32"/>
          <w:shd w:val="clear" w:color="auto" w:fill="FFFFFF"/>
          <w:lang w:val="en-US" w:eastAsia="zh-CN"/>
        </w:rPr>
        <w:t>”进入入户登记阶段，培训会议较2023年度</w:t>
      </w:r>
      <w:r>
        <w:rPr>
          <w:rFonts w:hint="eastAsia" w:ascii="方正仿宋_GBK" w:hAnsi="方正仿宋_GBK" w:eastAsia="方正仿宋_GBK" w:cs="方正仿宋_GBK"/>
          <w:sz w:val="32"/>
          <w:szCs w:val="32"/>
          <w:shd w:val="clear" w:color="auto" w:fill="FFFFFF"/>
          <w:lang w:val="en-US" w:eastAsia="zh-CN"/>
        </w:rPr>
        <w:t>“五经普”清查阶段减少。</w:t>
      </w:r>
      <w:r>
        <w:rPr>
          <w:rFonts w:ascii="方正仿宋_GBK" w:hAnsi="方正仿宋_GBK" w:eastAsia="方正仿宋_GBK" w:cs="方正仿宋_GBK"/>
          <w:sz w:val="32"/>
          <w:szCs w:val="32"/>
          <w:shd w:val="clear" w:color="auto" w:fill="FFFFFF"/>
        </w:rPr>
        <w:t>本年度差旅费支出</w:t>
      </w:r>
      <w:r>
        <w:rPr>
          <w:rFonts w:hint="default" w:ascii="Times New Roman" w:hAnsi="Times New Roman" w:eastAsia="方正仿宋_GBK"/>
          <w:sz w:val="32"/>
          <w:szCs w:val="32"/>
          <w:shd w:val="clear" w:color="auto" w:fill="FFFFFF"/>
        </w:rPr>
        <w:t>18.96</w:t>
      </w:r>
      <w:r>
        <w:rPr>
          <w:rFonts w:ascii="方正仿宋_GBK" w:hAnsi="方正仿宋_GBK" w:eastAsia="方正仿宋_GBK" w:cs="方正仿宋_GBK"/>
          <w:sz w:val="32"/>
          <w:szCs w:val="32"/>
        </w:rPr>
        <w:t>万元，</w:t>
      </w:r>
      <w:r>
        <w:rPr>
          <w:rFonts w:hint="default" w:ascii="Times New Roman" w:hAnsi="Times New Roman" w:eastAsia="方正仿宋_GBK"/>
          <w:sz w:val="32"/>
          <w:szCs w:val="32"/>
          <w:shd w:val="clear" w:color="auto" w:fill="FFFFFF"/>
        </w:rPr>
        <w:t>与2023年度相比，减少6.34万元，下降25.1%</w:t>
      </w:r>
      <w:r>
        <w:rPr>
          <w:rFonts w:ascii="方正仿宋_GBK" w:hAnsi="方正仿宋_GBK" w:eastAsia="方正仿宋_GBK" w:cs="方正仿宋_GBK"/>
          <w:sz w:val="32"/>
          <w:szCs w:val="32"/>
          <w:shd w:val="clear" w:color="auto" w:fill="FFFFFF"/>
        </w:rPr>
        <w:t>，主要原因是</w:t>
      </w:r>
      <w:r>
        <w:rPr>
          <w:rFonts w:hint="default" w:ascii="Times New Roman" w:hAnsi="Times New Roman" w:eastAsia="方正仿宋_GBK" w:cs="Times New Roman"/>
          <w:sz w:val="32"/>
          <w:szCs w:val="32"/>
          <w:shd w:val="clear" w:color="auto" w:fill="FFFFFF"/>
          <w:lang w:eastAsia="zh-CN"/>
        </w:rPr>
        <w:t>“五经普</w:t>
      </w:r>
      <w:r>
        <w:rPr>
          <w:rFonts w:hint="default" w:ascii="Times New Roman" w:hAnsi="Times New Roman" w:eastAsia="方正仿宋_GBK" w:cs="Times New Roman"/>
          <w:sz w:val="32"/>
          <w:szCs w:val="32"/>
          <w:shd w:val="clear" w:color="auto" w:fill="FFFFFF"/>
          <w:lang w:val="en-US" w:eastAsia="zh-CN"/>
        </w:rPr>
        <w:t>”进入入户登记阶段，</w:t>
      </w:r>
      <w:r>
        <w:rPr>
          <w:rFonts w:hint="eastAsia" w:ascii="Times New Roman" w:hAnsi="Times New Roman" w:eastAsia="方正仿宋_GBK" w:cs="Times New Roman"/>
          <w:sz w:val="32"/>
          <w:szCs w:val="32"/>
          <w:shd w:val="clear" w:color="auto" w:fill="FFFFFF"/>
          <w:lang w:val="en-US" w:eastAsia="zh-CN"/>
        </w:rPr>
        <w:t>较上年度减少下乡指导、数据质量核查等工作。</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（二）机关运行经费情况说明</w:t>
      </w:r>
    </w:p>
    <w:p>
      <w:pPr>
        <w:pStyle w:val="15"/>
        <w:keepNext w:val="0"/>
        <w:keepLines w:val="0"/>
        <w:pageBreakBefore w:val="0"/>
        <w:widowControl/>
        <w:kinsoku/>
        <w:wordWrap/>
        <w:overflowPunct/>
        <w:topLinePunct w:val="0"/>
        <w:autoSpaceDE w:val="0"/>
        <w:autoSpaceDN/>
        <w:bidi w:val="0"/>
        <w:adjustRightInd/>
        <w:spacing w:before="0" w:beforeAutospacing="0" w:after="0" w:afterAutospacing="0" w:line="600" w:lineRule="exact"/>
        <w:ind w:left="0" w:firstLine="640" w:firstLineChars="200"/>
        <w:jc w:val="both"/>
        <w:textAlignment w:val="auto"/>
        <w:rPr>
          <w:rFonts w:hint="default" w:ascii="Times New Roman" w:hAnsi="Times New Roman" w:eastAsia="方正仿宋_GBK" w:cs="Times New Roman"/>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机关运行经费支出</w:t>
      </w:r>
      <w:r>
        <w:rPr>
          <w:rFonts w:hint="default" w:ascii="Times New Roman" w:hAnsi="Times New Roman" w:eastAsia="方正仿宋_GBK"/>
          <w:sz w:val="32"/>
          <w:szCs w:val="32"/>
          <w:shd w:val="clear" w:color="auto" w:fill="FFFFFF"/>
        </w:rPr>
        <w:t>60.54</w:t>
      </w:r>
      <w:r>
        <w:rPr>
          <w:rFonts w:ascii="方正仿宋_GBK" w:hAnsi="方正仿宋_GBK" w:eastAsia="方正仿宋_GBK" w:cs="方正仿宋_GBK"/>
          <w:sz w:val="32"/>
          <w:szCs w:val="32"/>
          <w:shd w:val="clear" w:color="auto" w:fill="FFFFFF"/>
        </w:rPr>
        <w:t>万元，机关运行经费主要用于开支</w:t>
      </w:r>
      <w:r>
        <w:rPr>
          <w:rFonts w:hint="default" w:ascii="Times New Roman" w:hAnsi="Times New Roman" w:eastAsia="方正仿宋_GBK" w:cs="Times New Roman"/>
          <w:sz w:val="32"/>
          <w:szCs w:val="32"/>
          <w:shd w:val="clear" w:color="auto" w:fill="FFFFFF"/>
        </w:rPr>
        <w:t>人员经费、办公经费</w:t>
      </w:r>
      <w:r>
        <w:rPr>
          <w:rFonts w:hint="eastAsia" w:ascii="Times New Roman" w:hAnsi="Times New Roman" w:eastAsia="方正仿宋_GBK" w:cs="Times New Roman"/>
          <w:sz w:val="32"/>
          <w:szCs w:val="32"/>
          <w:shd w:val="clear" w:color="auto" w:fill="FFFFFF"/>
          <w:lang w:eastAsia="zh-CN"/>
        </w:rPr>
        <w:t>、</w:t>
      </w:r>
      <w:r>
        <w:rPr>
          <w:rFonts w:hint="default" w:ascii="Times New Roman" w:hAnsi="Times New Roman" w:eastAsia="方正仿宋_GBK" w:cs="Times New Roman"/>
          <w:sz w:val="32"/>
          <w:szCs w:val="32"/>
          <w:shd w:val="clear" w:color="auto" w:fill="FFFFFF"/>
        </w:rPr>
        <w:t>维持</w:t>
      </w:r>
      <w:r>
        <w:rPr>
          <w:rFonts w:hint="eastAsia" w:ascii="Times New Roman" w:hAnsi="Times New Roman" w:eastAsia="方正仿宋_GBK" w:cs="Times New Roman"/>
          <w:sz w:val="32"/>
          <w:szCs w:val="32"/>
          <w:shd w:val="clear" w:color="auto" w:fill="FFFFFF"/>
          <w:lang w:eastAsia="zh-CN"/>
        </w:rPr>
        <w:t>单位</w:t>
      </w:r>
      <w:r>
        <w:rPr>
          <w:rFonts w:hint="default" w:ascii="Times New Roman" w:hAnsi="Times New Roman" w:eastAsia="方正仿宋_GBK" w:cs="Times New Roman"/>
          <w:sz w:val="32"/>
          <w:szCs w:val="32"/>
          <w:shd w:val="clear" w:color="auto" w:fill="FFFFFF"/>
        </w:rPr>
        <w:t>组成运转经费开支等</w:t>
      </w:r>
      <w:r>
        <w:rPr>
          <w:rFonts w:hint="eastAsia" w:ascii="Times New Roman" w:hAnsi="Times New Roman" w:eastAsia="方正仿宋_GBK" w:cs="Times New Roman"/>
          <w:sz w:val="32"/>
          <w:szCs w:val="32"/>
          <w:shd w:val="clear" w:color="auto" w:fill="FFFFFF"/>
          <w:lang w:eastAsia="zh-CN"/>
        </w:rPr>
        <w:t>，</w:t>
      </w:r>
      <w:r>
        <w:rPr>
          <w:rFonts w:ascii="方正仿宋_GBK" w:hAnsi="方正仿宋_GBK" w:eastAsia="方正仿宋_GBK" w:cs="方正仿宋_GBK"/>
          <w:sz w:val="32"/>
          <w:szCs w:val="32"/>
          <w:shd w:val="clear" w:color="auto" w:fill="FFFFFF"/>
        </w:rPr>
        <w:t>机关运行经费</w:t>
      </w:r>
      <w:r>
        <w:rPr>
          <w:rFonts w:hint="default" w:ascii="Times New Roman" w:hAnsi="Times New Roman" w:eastAsia="方正仿宋_GBK"/>
          <w:sz w:val="32"/>
          <w:szCs w:val="32"/>
          <w:shd w:val="clear" w:color="auto" w:fill="FFFFFF"/>
        </w:rPr>
        <w:t>较上年支出数减少15.87万元，下降20.8%</w:t>
      </w:r>
      <w:r>
        <w:rPr>
          <w:rFonts w:ascii="方正仿宋_GBK" w:hAnsi="方正仿宋_GBK" w:eastAsia="方正仿宋_GBK" w:cs="方正仿宋_GBK"/>
          <w:sz w:val="32"/>
          <w:szCs w:val="32"/>
          <w:shd w:val="clear" w:color="auto" w:fill="FFFFFF"/>
        </w:rPr>
        <w:t>，主要原</w:t>
      </w:r>
      <w:r>
        <w:rPr>
          <w:rFonts w:hint="default" w:ascii="Times New Roman" w:hAnsi="Times New Roman" w:eastAsia="方正仿宋_GBK" w:cs="Times New Roman"/>
          <w:sz w:val="32"/>
          <w:szCs w:val="32"/>
          <w:shd w:val="clear" w:color="auto" w:fill="FFFFFF"/>
        </w:rPr>
        <w:t>因</w:t>
      </w:r>
      <w:r>
        <w:rPr>
          <w:rFonts w:hint="eastAsia" w:ascii="Times New Roman" w:hAnsi="Times New Roman" w:eastAsia="方正仿宋_GBK" w:cs="Times New Roman"/>
          <w:sz w:val="32"/>
          <w:szCs w:val="32"/>
          <w:shd w:val="clear" w:color="auto" w:fill="FFFFFF"/>
          <w:lang w:eastAsia="zh-CN"/>
        </w:rPr>
        <w:t>：一</w:t>
      </w:r>
      <w:r>
        <w:rPr>
          <w:rFonts w:hint="default" w:ascii="Times New Roman" w:hAnsi="Times New Roman" w:eastAsia="方正仿宋_GBK" w:cs="Times New Roman"/>
          <w:sz w:val="32"/>
          <w:szCs w:val="32"/>
          <w:shd w:val="clear" w:color="auto" w:fill="FFFFFF"/>
        </w:rPr>
        <w:t>是</w:t>
      </w:r>
      <w:r>
        <w:rPr>
          <w:rFonts w:hint="default" w:ascii="Times New Roman" w:hAnsi="Times New Roman" w:eastAsia="方正仿宋_GBK" w:cs="Times New Roman"/>
          <w:sz w:val="32"/>
          <w:szCs w:val="32"/>
          <w:shd w:val="clear" w:color="auto" w:fill="FFFFFF"/>
          <w:lang w:val="en-US" w:eastAsia="zh-CN"/>
        </w:rPr>
        <w:t>2024年</w:t>
      </w:r>
      <w:r>
        <w:rPr>
          <w:rFonts w:hint="default" w:ascii="Times New Roman" w:hAnsi="Times New Roman" w:eastAsia="方正仿宋_GBK" w:cs="Times New Roman"/>
          <w:sz w:val="32"/>
          <w:szCs w:val="32"/>
          <w:shd w:val="clear" w:color="auto" w:fill="FFFFFF"/>
        </w:rPr>
        <w:t>落实过紧日子要求，减少</w:t>
      </w:r>
      <w:r>
        <w:rPr>
          <w:rFonts w:hint="eastAsia" w:ascii="Times New Roman" w:hAnsi="Times New Roman" w:eastAsia="方正仿宋_GBK" w:cs="Times New Roman"/>
          <w:sz w:val="32"/>
          <w:szCs w:val="32"/>
          <w:shd w:val="clear" w:color="auto" w:fill="FFFFFF"/>
          <w:lang w:eastAsia="zh-CN"/>
        </w:rPr>
        <w:t>办公用</w:t>
      </w:r>
      <w:r>
        <w:rPr>
          <w:rFonts w:hint="default" w:ascii="Times New Roman" w:hAnsi="Times New Roman" w:eastAsia="方正仿宋_GBK" w:cs="Times New Roman"/>
          <w:sz w:val="32"/>
          <w:szCs w:val="32"/>
          <w:shd w:val="clear" w:color="auto" w:fill="FFFFFF"/>
        </w:rPr>
        <w:t>开支</w:t>
      </w:r>
      <w:r>
        <w:rPr>
          <w:rFonts w:hint="eastAsia" w:ascii="Times New Roman" w:hAnsi="Times New Roman" w:eastAsia="方正仿宋_GBK" w:cs="Times New Roman"/>
          <w:sz w:val="32"/>
          <w:szCs w:val="32"/>
          <w:shd w:val="clear" w:color="auto" w:fill="FFFFFF"/>
          <w:lang w:eastAsia="zh-CN"/>
        </w:rPr>
        <w:t>，二是新能源公务用车燃料费减少等</w:t>
      </w:r>
      <w:r>
        <w:rPr>
          <w:rFonts w:hint="default" w:ascii="Times New Roman" w:hAnsi="Times New Roman" w:eastAsia="方正仿宋_GBK" w:cs="Times New Roman"/>
          <w:sz w:val="32"/>
          <w:szCs w:val="32"/>
          <w:shd w:val="clear" w:color="auto" w:fill="FFFFFF"/>
        </w:rPr>
        <w:t>。</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（三）国有资产占用情况说明</w:t>
      </w:r>
    </w:p>
    <w:p>
      <w:pPr>
        <w:pStyle w:val="9"/>
        <w:snapToGrid w:val="0"/>
        <w:spacing w:before="0" w:beforeAutospacing="0" w:after="0" w:afterAutospacing="0" w:line="596" w:lineRule="exact"/>
        <w:ind w:firstLine="640" w:firstLineChars="200"/>
        <w:jc w:val="both"/>
        <w:rPr>
          <w:rFonts w:hint="default" w:ascii="方正仿宋_GBK" w:hAnsi="方正仿宋_GBK" w:eastAsia="方正仿宋_GBK" w:cs="方正仿宋_GBK"/>
          <w:sz w:val="32"/>
          <w:szCs w:val="32"/>
        </w:rPr>
      </w:pPr>
      <w:r>
        <w:rPr>
          <w:rFonts w:ascii="方正仿宋_GBK" w:hAnsi="方正仿宋_GBK" w:eastAsia="方正仿宋_GBK" w:cs="方正仿宋_GBK"/>
          <w:sz w:val="32"/>
          <w:szCs w:val="32"/>
          <w:shd w:val="clear" w:color="auto" w:fill="FFFFFF"/>
        </w:rPr>
        <w:t>截至</w:t>
      </w: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w:t>
      </w:r>
      <w:r>
        <w:rPr>
          <w:rFonts w:hint="default" w:ascii="Times New Roman" w:hAnsi="Times New Roman" w:eastAsia="方正仿宋_GBK"/>
          <w:sz w:val="32"/>
          <w:szCs w:val="32"/>
          <w:shd w:val="clear" w:color="auto" w:fill="FFFFFF"/>
        </w:rPr>
        <w:t>12</w:t>
      </w:r>
      <w:r>
        <w:rPr>
          <w:rFonts w:ascii="方正仿宋_GBK" w:hAnsi="方正仿宋_GBK" w:eastAsia="方正仿宋_GBK" w:cs="方正仿宋_GBK"/>
          <w:sz w:val="32"/>
          <w:szCs w:val="32"/>
          <w:shd w:val="clear" w:color="auto" w:fill="FFFFFF"/>
        </w:rPr>
        <w:t>月</w:t>
      </w:r>
      <w:r>
        <w:rPr>
          <w:rFonts w:hint="default" w:ascii="Times New Roman" w:hAnsi="Times New Roman" w:eastAsia="方正仿宋_GBK"/>
          <w:sz w:val="32"/>
          <w:szCs w:val="32"/>
          <w:shd w:val="clear" w:color="auto" w:fill="FFFFFF"/>
        </w:rPr>
        <w:t>31</w:t>
      </w:r>
      <w:r>
        <w:rPr>
          <w:rFonts w:ascii="方正仿宋_GBK" w:hAnsi="方正仿宋_GBK" w:eastAsia="方正仿宋_GBK" w:cs="方正仿宋_GBK"/>
          <w:sz w:val="32"/>
          <w:szCs w:val="32"/>
          <w:shd w:val="clear" w:color="auto" w:fill="FFFFFF"/>
        </w:rPr>
        <w:t>日，本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共有车辆</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辆，其中，副部（省）级及以上领导用车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辆、主要负责人用车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辆、机要通信用车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辆、应急保障用车</w:t>
      </w:r>
      <w:r>
        <w:rPr>
          <w:rFonts w:hint="default" w:ascii="Times New Roman" w:hAnsi="Times New Roman" w:eastAsia="方正仿宋_GBK"/>
          <w:sz w:val="32"/>
          <w:szCs w:val="32"/>
          <w:shd w:val="clear" w:color="auto" w:fill="FFFFFF"/>
        </w:rPr>
        <w:t>1</w:t>
      </w:r>
      <w:r>
        <w:rPr>
          <w:rFonts w:ascii="方正仿宋_GBK" w:hAnsi="方正仿宋_GBK" w:eastAsia="方正仿宋_GBK" w:cs="方正仿宋_GBK"/>
          <w:sz w:val="32"/>
          <w:szCs w:val="32"/>
          <w:shd w:val="clear" w:color="auto" w:fill="FFFFFF"/>
        </w:rPr>
        <w:t>辆、执法执勤用车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辆，特种专业技术用车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辆，离退休干部用车</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辆。单价</w:t>
      </w:r>
      <w:r>
        <w:rPr>
          <w:rFonts w:hint="default" w:ascii="Times New Roman" w:hAnsi="Times New Roman" w:eastAsia="方正仿宋_GBK"/>
          <w:sz w:val="32"/>
          <w:szCs w:val="32"/>
          <w:shd w:val="clear" w:color="auto" w:fill="FFFFFF"/>
        </w:rPr>
        <w:t>100</w:t>
      </w:r>
      <w:r>
        <w:rPr>
          <w:rFonts w:ascii="方正仿宋_GBK" w:hAnsi="方正仿宋_GBK" w:eastAsia="方正仿宋_GBK" w:cs="方正仿宋_GBK"/>
          <w:sz w:val="32"/>
          <w:szCs w:val="32"/>
          <w:shd w:val="clear" w:color="auto" w:fill="FFFFFF"/>
        </w:rPr>
        <w:t>万元（含）以上专用设备</w:t>
      </w:r>
      <w:r>
        <w:rPr>
          <w:rFonts w:hint="default" w:ascii="Times New Roman" w:hAnsi="Times New Roman" w:eastAsia="方正仿宋_GBK"/>
          <w:sz w:val="32"/>
          <w:szCs w:val="32"/>
          <w:shd w:val="clear" w:color="auto" w:fill="FFFFFF"/>
        </w:rPr>
        <w:t>0</w:t>
      </w:r>
      <w:r>
        <w:rPr>
          <w:rFonts w:ascii="方正仿宋_GBK" w:hAnsi="方正仿宋_GBK" w:eastAsia="方正仿宋_GBK" w:cs="方正仿宋_GBK"/>
          <w:sz w:val="32"/>
          <w:szCs w:val="32"/>
          <w:shd w:val="clear" w:color="auto" w:fill="FFFFFF"/>
        </w:rPr>
        <w:t>台（套）。</w:t>
      </w:r>
    </w:p>
    <w:p>
      <w:pPr>
        <w:pStyle w:val="9"/>
        <w:keepNext w:val="0"/>
        <w:keepLines w:val="0"/>
        <w:pageBreakBefore w:val="0"/>
        <w:widowControl/>
        <w:shd w:val="clear" w:color="auto" w:fill="FFFFFF"/>
        <w:kinsoku/>
        <w:wordWrap/>
        <w:overflowPunct/>
        <w:topLinePunct w:val="0"/>
        <w:autoSpaceDE/>
        <w:autoSpaceDN/>
        <w:bidi w:val="0"/>
        <w:adjustRightInd/>
        <w:snapToGrid/>
        <w:spacing w:before="0" w:beforeAutospacing="0" w:after="0" w:afterAutospacing="0" w:line="596" w:lineRule="exact"/>
        <w:ind w:firstLine="640" w:firstLineChars="200"/>
        <w:jc w:val="both"/>
        <w:textAlignment w:val="auto"/>
        <w:rPr>
          <w:rFonts w:hint="eastAsia" w:ascii="方正楷体_GBK" w:hAnsi="方正楷体_GBK" w:eastAsia="方正楷体_GBK" w:cs="方正楷体_GBK"/>
          <w:b w:val="0"/>
          <w:bCs w:val="0"/>
          <w:sz w:val="32"/>
          <w:szCs w:val="32"/>
          <w:shd w:val="clear" w:color="auto" w:fill="FFFFFF"/>
        </w:rPr>
      </w:pPr>
      <w:r>
        <w:rPr>
          <w:rFonts w:hint="eastAsia" w:ascii="方正楷体_GBK" w:hAnsi="方正楷体_GBK" w:eastAsia="方正楷体_GBK" w:cs="方正楷体_GBK"/>
          <w:b w:val="0"/>
          <w:bCs w:val="0"/>
          <w:sz w:val="32"/>
          <w:szCs w:val="32"/>
          <w:shd w:val="clear" w:color="auto" w:fill="FFFFFF"/>
        </w:rPr>
        <w:t>（四）政府采购支出情况说明</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sz w:val="32"/>
          <w:szCs w:val="32"/>
          <w:shd w:val="clear" w:color="auto" w:fill="FFFFFF"/>
          <w:lang w:val="en-US" w:eastAsia="zh-CN"/>
        </w:rPr>
      </w:pPr>
      <w:r>
        <w:rPr>
          <w:rFonts w:hint="default" w:ascii="Times New Roman" w:hAnsi="Times New Roman" w:eastAsia="方正仿宋_GBK"/>
          <w:sz w:val="32"/>
          <w:szCs w:val="32"/>
          <w:shd w:val="clear" w:color="auto" w:fill="FFFFFF"/>
        </w:rPr>
        <w:t>2024</w:t>
      </w:r>
      <w:r>
        <w:rPr>
          <w:rFonts w:ascii="方正仿宋_GBK" w:hAnsi="方正仿宋_GBK" w:eastAsia="方正仿宋_GBK" w:cs="方正仿宋_GBK"/>
          <w:sz w:val="32"/>
          <w:szCs w:val="32"/>
          <w:shd w:val="clear" w:color="auto" w:fill="FFFFFF"/>
        </w:rPr>
        <w:t>年度本</w:t>
      </w:r>
      <w:r>
        <w:rPr>
          <w:rFonts w:hint="eastAsia" w:ascii="方正仿宋_GBK" w:hAnsi="方正仿宋_GBK" w:eastAsia="方正仿宋_GBK" w:cs="方正仿宋_GBK"/>
          <w:sz w:val="32"/>
          <w:szCs w:val="32"/>
          <w:shd w:val="clear" w:color="auto" w:fill="FFFFFF"/>
          <w:lang w:eastAsia="zh-CN"/>
        </w:rPr>
        <w:t>单位</w:t>
      </w:r>
      <w:r>
        <w:rPr>
          <w:rFonts w:ascii="方正仿宋_GBK" w:hAnsi="方正仿宋_GBK" w:eastAsia="方正仿宋_GBK" w:cs="方正仿宋_GBK"/>
          <w:sz w:val="32"/>
          <w:szCs w:val="32"/>
          <w:shd w:val="clear" w:color="auto" w:fill="FFFFFF"/>
        </w:rPr>
        <w:t>政府采购支出总额</w:t>
      </w:r>
      <w:r>
        <w:rPr>
          <w:rFonts w:hint="default" w:ascii="Times New Roman" w:hAnsi="Times New Roman" w:eastAsia="方正仿宋_GBK"/>
          <w:sz w:val="32"/>
          <w:szCs w:val="32"/>
          <w:shd w:val="clear" w:color="auto" w:fill="FFFFFF"/>
        </w:rPr>
        <w:t>15.50</w:t>
      </w:r>
      <w:r>
        <w:rPr>
          <w:rFonts w:ascii="方正仿宋_GBK" w:hAnsi="方正仿宋_GBK" w:eastAsia="方正仿宋_GBK" w:cs="方正仿宋_GBK"/>
          <w:sz w:val="32"/>
          <w:szCs w:val="32"/>
          <w:shd w:val="clear" w:color="auto" w:fill="FFFFFF"/>
        </w:rPr>
        <w:t>万元，其中：政府采购货物支出</w:t>
      </w:r>
      <w:r>
        <w:rPr>
          <w:rFonts w:hint="default" w:ascii="Times New Roman" w:hAnsi="Times New Roman" w:eastAsia="方正仿宋_GBK"/>
          <w:sz w:val="32"/>
          <w:szCs w:val="32"/>
          <w:shd w:val="clear" w:color="auto" w:fill="FFFFFF"/>
        </w:rPr>
        <w:t>15.50</w:t>
      </w:r>
      <w:r>
        <w:rPr>
          <w:rFonts w:ascii="方正仿宋_GBK" w:hAnsi="方正仿宋_GBK" w:eastAsia="方正仿宋_GBK" w:cs="方正仿宋_GBK"/>
          <w:sz w:val="32"/>
          <w:szCs w:val="32"/>
          <w:shd w:val="clear" w:color="auto" w:fill="FFFFFF"/>
        </w:rPr>
        <w:t>万元、政府采购工程支出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万元、政府采购服务支出</w:t>
      </w:r>
      <w:r>
        <w:rPr>
          <w:rFonts w:hint="default" w:ascii="Times New Roman" w:hAnsi="Times New Roman" w:eastAsia="方正仿宋_GBK"/>
          <w:sz w:val="32"/>
          <w:szCs w:val="32"/>
          <w:shd w:val="clear" w:color="auto" w:fill="FFFFFF"/>
        </w:rPr>
        <w:t>0.00</w:t>
      </w:r>
      <w:r>
        <w:rPr>
          <w:rFonts w:ascii="方正仿宋_GBK" w:hAnsi="方正仿宋_GBK" w:eastAsia="方正仿宋_GBK" w:cs="方正仿宋_GBK"/>
          <w:sz w:val="32"/>
          <w:szCs w:val="32"/>
          <w:shd w:val="clear" w:color="auto" w:fill="FFFFFF"/>
        </w:rPr>
        <w:t>万元。授予中小企业合同金额</w:t>
      </w:r>
      <w:r>
        <w:rPr>
          <w:rFonts w:hint="default" w:ascii="Times New Roman" w:hAnsi="Times New Roman" w:eastAsia="方正仿宋_GBK"/>
          <w:sz w:val="32"/>
          <w:szCs w:val="32"/>
          <w:shd w:val="clear" w:color="auto" w:fill="FFFFFF"/>
        </w:rPr>
        <w:t>15.50</w:t>
      </w:r>
      <w:r>
        <w:rPr>
          <w:rFonts w:ascii="方正仿宋_GBK" w:hAnsi="方正仿宋_GBK" w:eastAsia="方正仿宋_GBK" w:cs="方正仿宋_GBK"/>
          <w:sz w:val="32"/>
          <w:szCs w:val="32"/>
        </w:rPr>
        <w:t>万</w:t>
      </w:r>
      <w:r>
        <w:rPr>
          <w:rFonts w:ascii="方正仿宋_GBK" w:hAnsi="方正仿宋_GBK" w:eastAsia="方正仿宋_GBK" w:cs="方正仿宋_GBK"/>
          <w:sz w:val="32"/>
          <w:szCs w:val="32"/>
          <w:shd w:val="clear" w:color="auto" w:fill="FFFFFF"/>
        </w:rPr>
        <w:t>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，其中：授予小微企业合同金额</w:t>
      </w:r>
      <w:r>
        <w:rPr>
          <w:rFonts w:hint="default" w:ascii="Times New Roman" w:hAnsi="Times New Roman" w:eastAsia="方正仿宋_GBK"/>
          <w:sz w:val="32"/>
          <w:szCs w:val="32"/>
          <w:shd w:val="clear" w:color="auto" w:fill="FFFFFF"/>
        </w:rPr>
        <w:t>15.50</w:t>
      </w:r>
      <w:r>
        <w:rPr>
          <w:rFonts w:ascii="方正仿宋_GBK" w:hAnsi="方正仿宋_GBK" w:eastAsia="方正仿宋_GBK" w:cs="方正仿宋_GBK"/>
          <w:sz w:val="32"/>
          <w:szCs w:val="32"/>
          <w:shd w:val="clear" w:color="auto" w:fill="FFFFFF"/>
        </w:rPr>
        <w:t>万元，占政府采购支出总额的</w:t>
      </w:r>
      <w:r>
        <w:rPr>
          <w:rFonts w:hint="default" w:ascii="Times New Roman" w:hAnsi="Times New Roman" w:eastAsia="方正仿宋_GBK"/>
          <w:sz w:val="32"/>
          <w:szCs w:val="32"/>
          <w:shd w:val="clear" w:color="auto" w:fill="FFFFFF"/>
        </w:rPr>
        <w:t>100.0%</w:t>
      </w:r>
      <w:r>
        <w:rPr>
          <w:rFonts w:ascii="方正仿宋_GBK" w:hAnsi="方正仿宋_GBK" w:eastAsia="方正仿宋_GBK" w:cs="方正仿宋_GBK"/>
          <w:sz w:val="32"/>
          <w:szCs w:val="32"/>
          <w:shd w:val="clear" w:color="auto" w:fill="FFFFFF"/>
        </w:rPr>
        <w:t>。主要用于采购</w:t>
      </w:r>
      <w:r>
        <w:rPr>
          <w:rFonts w:hint="eastAsia" w:ascii="方正仿宋_GBK" w:hAnsi="方正仿宋_GBK" w:eastAsia="方正仿宋_GBK" w:cs="方正仿宋_GBK"/>
          <w:sz w:val="32"/>
          <w:szCs w:val="32"/>
          <w:shd w:val="clear" w:color="auto" w:fill="FFFFFF"/>
          <w:lang w:val="en-US" w:eastAsia="zh-CN"/>
        </w:rPr>
        <w:t>民调室计算机设备等。</w:t>
      </w:r>
    </w:p>
    <w:p>
      <w:pPr>
        <w:pStyle w:val="15"/>
        <w:keepNext w:val="0"/>
        <w:keepLines w:val="0"/>
        <w:pageBreakBefore w:val="0"/>
        <w:widowControl/>
        <w:kinsoku/>
        <w:wordWrap/>
        <w:overflowPunct/>
        <w:topLinePunct w:val="0"/>
        <w:autoSpaceDE/>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3"/>
          <w:rFonts w:hint="eastAsia" w:ascii="方正黑体_GBK" w:hAnsi="方正黑体_GBK" w:eastAsia="方正黑体_GBK" w:cs="方正黑体_GBK"/>
          <w:b w:val="0"/>
          <w:bCs/>
          <w:sz w:val="32"/>
          <w:szCs w:val="32"/>
          <w:shd w:val="clear" w:color="auto" w:fill="FFFFFF"/>
          <w:lang w:val="en-US" w:eastAsia="zh-CN" w:bidi="ar-SA"/>
        </w:rPr>
        <w:t>五、2024年度预算绩效管理情况说明</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（一）单位自评情况</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default" w:ascii="Times New Roman" w:hAnsi="Times New Roman" w:eastAsia="方正仿宋_GBK" w:cs="Times New Roman"/>
          <w:kern w:val="0"/>
          <w:sz w:val="32"/>
          <w:szCs w:val="32"/>
          <w:shd w:val="clear" w:fill="FFFFFF"/>
          <w:lang w:val="en-US" w:eastAsia="zh-CN"/>
        </w:rPr>
      </w:pPr>
      <w:r>
        <w:rPr>
          <w:rFonts w:hint="default" w:ascii="Times New Roman" w:hAnsi="Times New Roman" w:eastAsia="方正仿宋_GBK" w:cs="Times New Roman"/>
          <w:kern w:val="0"/>
          <w:sz w:val="32"/>
          <w:szCs w:val="32"/>
          <w:shd w:val="clear" w:fill="FFFFFF"/>
        </w:rPr>
        <w:t>根据预算绩效管理要求，我单位对</w:t>
      </w:r>
      <w:r>
        <w:rPr>
          <w:rFonts w:hint="default" w:ascii="Times New Roman" w:hAnsi="Times New Roman" w:eastAsia="方正仿宋_GBK" w:cs="Times New Roman"/>
          <w:kern w:val="0"/>
          <w:sz w:val="32"/>
          <w:szCs w:val="32"/>
          <w:shd w:val="clear" w:fill="FFFFFF"/>
          <w:lang w:val="en-US" w:eastAsia="zh-CN"/>
        </w:rPr>
        <w:t>8</w:t>
      </w:r>
      <w:r>
        <w:rPr>
          <w:rFonts w:hint="default" w:ascii="Times New Roman" w:hAnsi="Times New Roman" w:eastAsia="方正仿宋_GBK" w:cs="Times New Roman"/>
          <w:kern w:val="0"/>
          <w:sz w:val="32"/>
          <w:szCs w:val="32"/>
          <w:shd w:val="clear" w:fill="FFFFFF"/>
        </w:rPr>
        <w:t>项目开展了绩效自评，涉及财政拨款项目支出资金264.41万元</w:t>
      </w:r>
      <w:r>
        <w:rPr>
          <w:rFonts w:hint="default" w:ascii="Times New Roman" w:hAnsi="Times New Roman" w:eastAsia="方正仿宋_GBK" w:cs="Times New Roman"/>
          <w:kern w:val="0"/>
          <w:sz w:val="32"/>
          <w:szCs w:val="32"/>
          <w:shd w:val="clear" w:fill="FFFFFF"/>
          <w:lang w:eastAsia="zh-CN"/>
        </w:rPr>
        <w:t>。</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lang w:eastAsia="zh-CN"/>
        </w:rPr>
      </w:pPr>
      <w:r>
        <w:rPr>
          <w:rFonts w:hint="eastAsia" w:ascii="方正楷体_GBK" w:hAnsi="方正楷体_GBK" w:eastAsia="方正楷体_GBK" w:cs="方正楷体_GBK"/>
          <w:b w:val="0"/>
          <w:bCs w:val="0"/>
          <w:kern w:val="0"/>
          <w:sz w:val="32"/>
          <w:szCs w:val="32"/>
          <w:shd w:val="clear" w:fill="FFFFFF"/>
        </w:rPr>
        <w:t>项目支出绩效自评表</w:t>
      </w:r>
      <w:r>
        <w:rPr>
          <w:rFonts w:hint="eastAsia" w:ascii="方正楷体_GBK" w:hAnsi="方正楷体_GBK" w:eastAsia="方正楷体_GBK" w:cs="方正楷体_GBK"/>
          <w:b w:val="0"/>
          <w:bCs w:val="0"/>
          <w:kern w:val="0"/>
          <w:sz w:val="32"/>
          <w:szCs w:val="32"/>
          <w:shd w:val="clear" w:fill="FFFFFF"/>
          <w:lang w:eastAsia="zh-CN"/>
        </w:rPr>
        <w:t>（见附件）</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rPr>
        <w:t>（二）</w:t>
      </w:r>
      <w:r>
        <w:rPr>
          <w:rFonts w:hint="eastAsia" w:ascii="方正楷体_GBK" w:hAnsi="方正楷体_GBK" w:eastAsia="方正楷体_GBK" w:cs="方正楷体_GBK"/>
          <w:b w:val="0"/>
          <w:bCs w:val="0"/>
          <w:kern w:val="0"/>
          <w:sz w:val="32"/>
          <w:szCs w:val="32"/>
          <w:shd w:val="clear" w:fill="FFFFFF"/>
          <w:lang w:eastAsia="zh-CN"/>
        </w:rPr>
        <w:t>单位</w:t>
      </w:r>
      <w:r>
        <w:rPr>
          <w:rFonts w:hint="eastAsia" w:ascii="方正楷体_GBK" w:hAnsi="方正楷体_GBK" w:eastAsia="方正楷体_GBK" w:cs="方正楷体_GBK"/>
          <w:b w:val="0"/>
          <w:bCs w:val="0"/>
          <w:kern w:val="0"/>
          <w:sz w:val="32"/>
          <w:szCs w:val="32"/>
          <w:shd w:val="clear" w:fill="FFFFFF"/>
        </w:rPr>
        <w:t>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rPr>
        <w:t>我单位</w:t>
      </w:r>
      <w:r>
        <w:rPr>
          <w:rFonts w:hint="eastAsia" w:ascii="方正仿宋_GBK" w:hAnsi="方正仿宋_GBK" w:eastAsia="方正仿宋_GBK" w:cs="方正仿宋_GBK"/>
          <w:kern w:val="0"/>
          <w:sz w:val="32"/>
          <w:szCs w:val="32"/>
          <w:shd w:val="clear" w:fill="FFFFFF"/>
          <w:lang w:eastAsia="zh-CN"/>
        </w:rPr>
        <w:t>未</w:t>
      </w:r>
      <w:r>
        <w:rPr>
          <w:rFonts w:hint="eastAsia" w:ascii="方正仿宋_GBK" w:hAnsi="方正仿宋_GBK" w:eastAsia="方正仿宋_GBK" w:cs="方正仿宋_GBK"/>
          <w:kern w:val="0"/>
          <w:sz w:val="32"/>
          <w:szCs w:val="32"/>
          <w:shd w:val="clear" w:fill="FFFFFF"/>
        </w:rPr>
        <w:t>开展绩效评价</w:t>
      </w:r>
      <w:r>
        <w:rPr>
          <w:rFonts w:hint="eastAsia" w:ascii="方正仿宋_GBK" w:hAnsi="方正仿宋_GBK" w:eastAsia="方正仿宋_GBK" w:cs="方正仿宋_GBK"/>
          <w:kern w:val="0"/>
          <w:sz w:val="32"/>
          <w:szCs w:val="32"/>
          <w:shd w:val="clear" w:fill="FFFFFF"/>
          <w:lang w:eastAsia="zh-CN"/>
        </w:rPr>
        <w:t>。</w:t>
      </w:r>
    </w:p>
    <w:p>
      <w:pPr>
        <w:pStyle w:val="15"/>
        <w:keepNext w:val="0"/>
        <w:keepLines w:val="0"/>
        <w:pageBreakBefore w:val="0"/>
        <w:widowControl/>
        <w:suppressLineNumbers w:val="0"/>
        <w:kinsoku/>
        <w:wordWrap/>
        <w:overflowPunct/>
        <w:topLinePunct w:val="0"/>
        <w:autoSpaceDE w:val="0"/>
        <w:autoSpaceDN/>
        <w:bidi w:val="0"/>
        <w:adjustRightInd/>
        <w:snapToGrid/>
        <w:spacing w:before="0" w:beforeAutospacing="0" w:after="0" w:afterAutospacing="0" w:line="596" w:lineRule="exact"/>
        <w:ind w:firstLine="640" w:firstLineChars="200"/>
        <w:jc w:val="left"/>
        <w:textAlignment w:val="auto"/>
        <w:rPr>
          <w:rFonts w:hint="eastAsia" w:ascii="方正楷体_GBK" w:hAnsi="方正楷体_GBK" w:eastAsia="方正楷体_GBK" w:cs="方正楷体_GBK"/>
          <w:b w:val="0"/>
          <w:bCs w:val="0"/>
          <w:kern w:val="0"/>
          <w:sz w:val="32"/>
          <w:szCs w:val="32"/>
          <w:shd w:val="clear" w:fill="FFFFFF"/>
        </w:rPr>
      </w:pPr>
      <w:r>
        <w:rPr>
          <w:rFonts w:hint="eastAsia" w:ascii="方正楷体_GBK" w:hAnsi="方正楷体_GBK" w:eastAsia="方正楷体_GBK" w:cs="方正楷体_GBK"/>
          <w:b w:val="0"/>
          <w:bCs w:val="0"/>
          <w:kern w:val="0"/>
          <w:sz w:val="32"/>
          <w:szCs w:val="32"/>
          <w:shd w:val="clear" w:fill="FFFFFF"/>
          <w:lang w:val="en-US" w:eastAsia="zh-CN"/>
        </w:rPr>
        <w:t>（三）财政绩效评价情况</w:t>
      </w:r>
    </w:p>
    <w:p>
      <w:pPr>
        <w:pStyle w:val="19"/>
        <w:keepNext w:val="0"/>
        <w:keepLines w:val="0"/>
        <w:pageBreakBefore w:val="0"/>
        <w:widowControl/>
        <w:kinsoku/>
        <w:wordWrap/>
        <w:overflowPunct/>
        <w:topLinePunct w:val="0"/>
        <w:autoSpaceDE w:val="0"/>
        <w:autoSpaceDN/>
        <w:bidi w:val="0"/>
        <w:adjustRightInd/>
        <w:snapToGrid/>
        <w:spacing w:after="0" w:afterAutospacing="0" w:line="596" w:lineRule="exact"/>
        <w:ind w:left="0" w:firstLine="640" w:firstLineChars="200"/>
        <w:textAlignment w:val="auto"/>
        <w:rPr>
          <w:rFonts w:hint="eastAsia" w:ascii="方正仿宋_GBK" w:hAnsi="方正仿宋_GBK" w:eastAsia="方正仿宋_GBK" w:cs="方正仿宋_GBK"/>
          <w:kern w:val="0"/>
          <w:sz w:val="32"/>
          <w:szCs w:val="32"/>
          <w:shd w:val="clear" w:fill="FFFFFF"/>
          <w:lang w:eastAsia="zh-CN"/>
        </w:rPr>
      </w:pPr>
      <w:r>
        <w:rPr>
          <w:rFonts w:hint="eastAsia" w:ascii="方正仿宋_GBK" w:hAnsi="方正仿宋_GBK" w:eastAsia="方正仿宋_GBK" w:cs="方正仿宋_GBK"/>
          <w:kern w:val="0"/>
          <w:sz w:val="32"/>
          <w:szCs w:val="32"/>
          <w:shd w:val="clear" w:fill="FFFFFF"/>
          <w:lang w:eastAsia="zh-CN"/>
        </w:rPr>
        <w:t>县</w:t>
      </w:r>
      <w:r>
        <w:rPr>
          <w:rFonts w:hint="eastAsia" w:ascii="方正仿宋_GBK" w:hAnsi="方正仿宋_GBK" w:eastAsia="方正仿宋_GBK" w:cs="方正仿宋_GBK"/>
          <w:kern w:val="0"/>
          <w:sz w:val="32"/>
          <w:szCs w:val="32"/>
          <w:shd w:val="clear" w:fill="FFFFFF"/>
        </w:rPr>
        <w:t>财政局</w:t>
      </w:r>
      <w:r>
        <w:rPr>
          <w:rFonts w:hint="eastAsia" w:ascii="方正仿宋_GBK" w:hAnsi="方正仿宋_GBK" w:eastAsia="方正仿宋_GBK" w:cs="方正仿宋_GBK"/>
          <w:kern w:val="0"/>
          <w:sz w:val="32"/>
          <w:szCs w:val="32"/>
          <w:shd w:val="clear" w:fill="FFFFFF"/>
          <w:lang w:eastAsia="zh-CN"/>
        </w:rPr>
        <w:t>未</w:t>
      </w:r>
      <w:r>
        <w:rPr>
          <w:rFonts w:hint="eastAsia" w:ascii="方正仿宋_GBK" w:hAnsi="方正仿宋_GBK" w:eastAsia="方正仿宋_GBK" w:cs="方正仿宋_GBK"/>
          <w:kern w:val="0"/>
          <w:sz w:val="32"/>
          <w:szCs w:val="32"/>
          <w:shd w:val="clear" w:fill="FFFFFF"/>
        </w:rPr>
        <w:t>委托第三方对我单位开展绩效评价</w:t>
      </w:r>
      <w:r>
        <w:rPr>
          <w:rFonts w:hint="eastAsia" w:ascii="方正仿宋_GBK" w:hAnsi="方正仿宋_GBK" w:eastAsia="方正仿宋_GBK" w:cs="方正仿宋_GBK"/>
          <w:kern w:val="0"/>
          <w:sz w:val="32"/>
          <w:szCs w:val="32"/>
          <w:shd w:val="clear" w:fill="FFFFFF"/>
          <w:lang w:eastAsia="zh-CN"/>
        </w:rPr>
        <w:t>。</w:t>
      </w:r>
    </w:p>
    <w:p>
      <w:pPr>
        <w:pStyle w:val="15"/>
        <w:keepNext w:val="0"/>
        <w:keepLines w:val="0"/>
        <w:pageBreakBefore w:val="0"/>
        <w:widowControl/>
        <w:kinsoku/>
        <w:wordWrap/>
        <w:overflowPunct/>
        <w:topLinePunct w:val="0"/>
        <w:autoSpaceDE w:val="0"/>
        <w:autoSpaceDN/>
        <w:bidi w:val="0"/>
        <w:adjustRightInd/>
        <w:snapToGrid/>
        <w:spacing w:before="0" w:beforeAutospacing="0" w:after="0" w:afterAutospacing="0" w:line="596" w:lineRule="exact"/>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3"/>
          <w:rFonts w:hint="eastAsia" w:ascii="方正黑体_GBK" w:hAnsi="方正黑体_GBK" w:eastAsia="方正黑体_GBK" w:cs="方正黑体_GBK"/>
          <w:b w:val="0"/>
          <w:bCs/>
          <w:sz w:val="32"/>
          <w:szCs w:val="32"/>
          <w:shd w:val="clear" w:color="auto" w:fill="FFFFFF"/>
          <w:lang w:val="en-US" w:eastAsia="zh-CN" w:bidi="ar-SA"/>
        </w:rPr>
        <w:t xml:space="preserve">    六、专业名词解释</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（一）财政拨款收入：</w:t>
      </w:r>
      <w:r>
        <w:rPr>
          <w:rFonts w:hint="eastAsia" w:ascii="方正仿宋_GBK" w:hAnsi="方正仿宋_GBK" w:eastAsia="方正仿宋_GBK" w:cs="方正仿宋_GBK"/>
          <w:kern w:val="0"/>
          <w:sz w:val="32"/>
          <w:szCs w:val="32"/>
          <w:shd w:val="clear" w:fill="FFFFFF"/>
        </w:rPr>
        <w:t>指本年度从本级财政部门取得的财政拨款，包括一般公共预算财政拨款和政府性基金预算财政拨款。</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（二）事业收入：</w:t>
      </w:r>
      <w:r>
        <w:rPr>
          <w:rFonts w:hint="eastAsia" w:ascii="方正仿宋_GBK" w:hAnsi="方正仿宋_GBK" w:eastAsia="方正仿宋_GBK" w:cs="方正仿宋_GBK"/>
          <w:kern w:val="0"/>
          <w:sz w:val="32"/>
          <w:szCs w:val="32"/>
          <w:shd w:val="clear" w:fill="FFFFFF"/>
        </w:rPr>
        <w:t>指事业单位开展专业业务活动及其辅助活动取得的现金流入；事业单位收到的财政专户实际核拨的教育收费等资金在此反映。</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（三）经营收入：</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指事业单位在专业业务活动及其辅助活动之外开展非独立核算经营活动取得的现金流入。</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（四）其他收入：</w:t>
      </w:r>
      <w:r>
        <w:rPr>
          <w:rFonts w:hint="eastAsia" w:ascii="方正仿宋_GBK" w:hAnsi="方正仿宋_GBK" w:eastAsia="方正仿宋_GBK" w:cs="方正仿宋_GBK"/>
          <w:kern w:val="0"/>
          <w:sz w:val="32"/>
          <w:szCs w:val="32"/>
          <w:shd w:val="clear" w:fill="FFFFFF"/>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（五）使用非财政拨款结余（含专用结余）：</w:t>
      </w:r>
      <w:r>
        <w:rPr>
          <w:rFonts w:hint="eastAsia" w:ascii="方正仿宋_GBK" w:hAnsi="方正仿宋_GBK" w:eastAsia="方正仿宋_GBK" w:cs="方正仿宋_GBK"/>
          <w:kern w:val="0"/>
          <w:sz w:val="32"/>
          <w:szCs w:val="32"/>
          <w:shd w:val="clear" w:fill="FFFFFF"/>
        </w:rPr>
        <w:t>指单位在当年的“财政拨款收入”、“事业收入”、“经营收入”、“其他收入”等不足以安排当年支出的情况下，使用以前年度积累的非财政拨款结余弥补本年度收支缺口的资金。</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（六）年初结转和结余：</w:t>
      </w:r>
      <w:r>
        <w:rPr>
          <w:rFonts w:hint="eastAsia" w:ascii="方正仿宋_GBK" w:hAnsi="方正仿宋_GBK" w:eastAsia="方正仿宋_GBK" w:cs="方正仿宋_GBK"/>
          <w:kern w:val="0"/>
          <w:sz w:val="32"/>
          <w:szCs w:val="32"/>
          <w:shd w:val="clear" w:fill="FFFFFF"/>
        </w:rPr>
        <w:t>指单位上年结转本年使用的基本支出结转、项目支出结转和结余、经营结余。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（七）结余分配：</w:t>
      </w:r>
      <w:r>
        <w:rPr>
          <w:rFonts w:hint="eastAsia" w:ascii="方正仿宋_GBK" w:hAnsi="方正仿宋_GBK" w:eastAsia="方正仿宋_GBK" w:cs="方正仿宋_GBK"/>
          <w:kern w:val="0"/>
          <w:sz w:val="32"/>
          <w:szCs w:val="32"/>
          <w:shd w:val="clear" w:fill="FFFFFF"/>
        </w:rPr>
        <w:t>指单位按照国家有关规定，缴纳所得税、提取专用基金、转入非财政拨款结余等当年结余的分配情况。</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（八）年末结转和结余：</w:t>
      </w:r>
      <w:r>
        <w:rPr>
          <w:rFonts w:hint="eastAsia" w:ascii="方正仿宋_GBK" w:hAnsi="方正仿宋_GBK" w:eastAsia="方正仿宋_GBK" w:cs="方正仿宋_GBK"/>
          <w:kern w:val="0"/>
          <w:sz w:val="32"/>
          <w:szCs w:val="32"/>
          <w:shd w:val="clear" w:fill="FFFFFF"/>
        </w:rPr>
        <w:t>指单位结转下年的基本支出结转、项目支出结转和结余、经营结余。</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（九）基本支出：</w:t>
      </w:r>
      <w:r>
        <w:rPr>
          <w:rFonts w:hint="eastAsia" w:ascii="方正仿宋_GBK" w:hAnsi="方正仿宋_GBK" w:eastAsia="方正仿宋_GBK" w:cs="方正仿宋_GBK"/>
          <w:kern w:val="0"/>
          <w:sz w:val="32"/>
          <w:szCs w:val="32"/>
          <w:shd w:val="clear" w:fill="FFFFFF"/>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（十）项目支出：</w:t>
      </w:r>
      <w:r>
        <w:rPr>
          <w:rFonts w:hint="eastAsia" w:ascii="方正仿宋_GBK" w:hAnsi="方正仿宋_GBK" w:eastAsia="方正仿宋_GBK" w:cs="方正仿宋_GBK"/>
          <w:kern w:val="0"/>
          <w:sz w:val="32"/>
          <w:szCs w:val="32"/>
          <w:shd w:val="clear" w:fill="FFFFFF"/>
        </w:rPr>
        <w:t>指在基本支出之外为完成特定行政任务和事业发展目标所发生的支出。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（十一）经营支出：</w:t>
      </w:r>
      <w:r>
        <w:rPr>
          <w:rFonts w:hint="eastAsia" w:ascii="方正仿宋_GBK" w:hAnsi="方正仿宋_GBK" w:eastAsia="方正仿宋_GBK" w:cs="方正仿宋_GBK"/>
          <w:kern w:val="0"/>
          <w:sz w:val="32"/>
          <w:szCs w:val="32"/>
          <w:shd w:val="clear" w:fill="FFFFFF"/>
        </w:rPr>
        <w:t>指事业单位在专业业务活动及其辅助活动之外开展非独立核算经营活动发生的支出。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（十二）“三公”经费：</w:t>
      </w:r>
      <w:r>
        <w:rPr>
          <w:rFonts w:hint="eastAsia" w:ascii="方正仿宋_GBK" w:hAnsi="方正仿宋_GBK" w:eastAsia="方正仿宋_GBK" w:cs="方正仿宋_GBK"/>
          <w:kern w:val="0"/>
          <w:sz w:val="32"/>
          <w:szCs w:val="32"/>
          <w:shd w:val="clear" w:fill="FFFFFF"/>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（十三）机关运行经费：</w:t>
      </w:r>
      <w:r>
        <w:rPr>
          <w:rFonts w:hint="eastAsia" w:ascii="方正仿宋_GBK" w:hAnsi="方正仿宋_GBK" w:eastAsia="方正仿宋_GBK" w:cs="方正仿宋_GBK"/>
          <w:kern w:val="0"/>
          <w:sz w:val="32"/>
          <w:szCs w:val="32"/>
          <w:shd w:val="clear" w:fill="FFFFFF"/>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（十四）工资福利支出（支出经济分类科目类级）：</w:t>
      </w:r>
      <w:r>
        <w:rPr>
          <w:rFonts w:hint="eastAsia" w:ascii="方正仿宋_GBK" w:hAnsi="方正仿宋_GBK" w:eastAsia="方正仿宋_GBK" w:cs="方正仿宋_GBK"/>
          <w:kern w:val="0"/>
          <w:sz w:val="32"/>
          <w:szCs w:val="32"/>
          <w:shd w:val="clear" w:fill="FFFFFF"/>
        </w:rPr>
        <w:t>反映单位开支的在职职工和编制外长期聘用人员的各类劳动报酬，以及为上述人员缴纳的各项社会保险费等。</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（十五）商品和服务支出（支出经济分类科目类级）：</w:t>
      </w:r>
      <w:r>
        <w:rPr>
          <w:rFonts w:hint="eastAsia" w:ascii="方正仿宋_GBK" w:hAnsi="方正仿宋_GBK" w:eastAsia="方正仿宋_GBK" w:cs="方正仿宋_GBK"/>
          <w:kern w:val="0"/>
          <w:sz w:val="32"/>
          <w:szCs w:val="32"/>
          <w:shd w:val="clear" w:fill="FFFFFF"/>
        </w:rPr>
        <w:t>反映单位购买商品和服务的支出（不包括用于购置固定资产的支出、战略性和应急储备支出）。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（十六）对个人和家庭的补助（支出经济分类科目类级）：</w:t>
      </w:r>
      <w:r>
        <w:rPr>
          <w:rFonts w:hint="eastAsia" w:ascii="方正仿宋_GBK" w:hAnsi="方正仿宋_GBK" w:eastAsia="方正仿宋_GBK" w:cs="方正仿宋_GBK"/>
          <w:kern w:val="0"/>
          <w:sz w:val="32"/>
          <w:szCs w:val="32"/>
          <w:shd w:val="clear" w:fill="FFFFFF"/>
        </w:rPr>
        <w:t>反映用于对个人和家庭的补助支出。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eastAsia" w:ascii="方正仿宋_GBK" w:hAnsi="方正仿宋_GBK" w:eastAsia="方正仿宋_GBK" w:cs="方正仿宋_GBK"/>
          <w:kern w:val="0"/>
          <w:sz w:val="32"/>
          <w:szCs w:val="32"/>
        </w:rPr>
      </w:pPr>
      <w:r>
        <w:rPr>
          <w:rFonts w:hint="eastAsia" w:ascii="方正楷体_GBK" w:hAnsi="方正楷体_GBK" w:eastAsia="方正楷体_GBK" w:cs="方正楷体_GBK"/>
          <w:b w:val="0"/>
          <w:bCs w:val="0"/>
          <w:kern w:val="0"/>
          <w:sz w:val="32"/>
          <w:szCs w:val="32"/>
          <w:shd w:val="clear" w:fill="FFFFFF"/>
          <w:lang w:val="en-US" w:eastAsia="zh-CN"/>
        </w:rPr>
        <w:t>（十七）其他资本性支出（支出经济分类科目类级）：</w:t>
      </w:r>
      <w:r>
        <w:rPr>
          <w:rFonts w:hint="eastAsia" w:ascii="方正仿宋_GBK" w:hAnsi="方正仿宋_GBK" w:eastAsia="方正仿宋_GBK" w:cs="方正仿宋_GBK"/>
          <w:kern w:val="0"/>
          <w:sz w:val="32"/>
          <w:szCs w:val="32"/>
          <w:shd w:val="clear" w:fill="FFFFFF"/>
        </w:rPr>
        <w:t>反映非各级发展与改革部门集中安排的用于购置固定资产、战略性和应急性储备、土地和无形资产，以及构建基础设施、大型修缮和财政支持企业更新改造所发生的支出。</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Style w:val="13"/>
          <w:rFonts w:hint="eastAsia" w:ascii="方正黑体_GBK" w:hAnsi="方正黑体_GBK" w:eastAsia="方正黑体_GBK" w:cs="方正黑体_GBK"/>
          <w:b w:val="0"/>
          <w:bCs/>
          <w:sz w:val="32"/>
          <w:szCs w:val="32"/>
          <w:shd w:val="clear" w:color="auto" w:fill="FFFFFF"/>
          <w:lang w:val="en-US" w:eastAsia="zh-CN" w:bidi="ar-SA"/>
        </w:rPr>
      </w:pPr>
      <w:r>
        <w:rPr>
          <w:rStyle w:val="13"/>
          <w:rFonts w:hint="eastAsia" w:ascii="方正黑体_GBK" w:hAnsi="方正黑体_GBK" w:eastAsia="方正黑体_GBK" w:cs="方正黑体_GBK"/>
          <w:b w:val="0"/>
          <w:bCs/>
          <w:sz w:val="32"/>
          <w:szCs w:val="32"/>
          <w:shd w:val="clear" w:color="auto" w:fill="FFFFFF"/>
          <w:lang w:val="en-US" w:eastAsia="zh-CN" w:bidi="ar-SA"/>
        </w:rPr>
        <w:t>七、决算公开联系方式及信息反馈渠道</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textAlignment w:val="auto"/>
        <w:rPr>
          <w:rFonts w:hint="eastAsia" w:ascii="方正仿宋_GBK" w:hAnsi="方正仿宋_GBK" w:eastAsia="方正仿宋_GBK" w:cs="方正仿宋_GBK"/>
          <w:kern w:val="0"/>
          <w:sz w:val="32"/>
          <w:szCs w:val="32"/>
        </w:rPr>
      </w:pPr>
      <w:r>
        <w:rPr>
          <w:rFonts w:hint="eastAsia" w:ascii="方正仿宋_GBK" w:hAnsi="方正仿宋_GBK" w:eastAsia="方正仿宋_GBK" w:cs="方正仿宋_GBK"/>
          <w:kern w:val="0"/>
          <w:sz w:val="32"/>
          <w:szCs w:val="32"/>
          <w:shd w:val="clear" w:fill="FFFFFF"/>
        </w:rPr>
        <w:t>本单位决算公开信息反馈和联系方式：</w:t>
      </w:r>
    </w:p>
    <w:p>
      <w:pPr>
        <w:pStyle w:val="15"/>
        <w:keepNext w:val="0"/>
        <w:keepLines w:val="0"/>
        <w:pageBreakBefore w:val="0"/>
        <w:widowControl/>
        <w:kinsoku/>
        <w:wordWrap/>
        <w:overflowPunct/>
        <w:topLinePunct w:val="0"/>
        <w:autoSpaceDN/>
        <w:bidi w:val="0"/>
        <w:adjustRightInd/>
        <w:snapToGrid/>
        <w:spacing w:before="0" w:beforeAutospacing="0" w:after="0" w:afterAutospacing="0" w:line="596" w:lineRule="exact"/>
        <w:ind w:firstLine="640" w:firstLineChars="200"/>
        <w:textAlignment w:val="auto"/>
        <w:rPr>
          <w:rFonts w:hint="default" w:ascii="Times New Roman" w:hAnsi="Times New Roman" w:eastAsia="方正仿宋_GBK" w:cs="Times New Roman"/>
          <w:color w:val="auto"/>
          <w:kern w:val="0"/>
          <w:sz w:val="32"/>
          <w:szCs w:val="32"/>
          <w:lang w:val="en-US" w:eastAsia="zh-CN"/>
        </w:rPr>
      </w:pPr>
      <w:r>
        <w:rPr>
          <w:rFonts w:hint="default" w:ascii="Times New Roman" w:hAnsi="Times New Roman" w:eastAsia="方正仿宋_GBK" w:cs="Times New Roman"/>
          <w:color w:val="auto"/>
          <w:kern w:val="0"/>
          <w:sz w:val="32"/>
          <w:szCs w:val="32"/>
          <w:shd w:val="clear" w:fill="FFFFFF"/>
          <w:lang w:eastAsia="zh-CN"/>
        </w:rPr>
        <w:t>杜荣缘</w:t>
      </w:r>
      <w:r>
        <w:rPr>
          <w:rFonts w:hint="default" w:ascii="Times New Roman" w:hAnsi="Times New Roman" w:eastAsia="方正仿宋_GBK" w:cs="Times New Roman"/>
          <w:color w:val="auto"/>
          <w:kern w:val="0"/>
          <w:sz w:val="32"/>
          <w:szCs w:val="32"/>
          <w:shd w:val="clear" w:fill="FFFFFF"/>
        </w:rPr>
        <w:t xml:space="preserve">   023-</w:t>
      </w:r>
      <w:r>
        <w:rPr>
          <w:rFonts w:hint="default" w:ascii="Times New Roman" w:hAnsi="Times New Roman" w:eastAsia="方正仿宋_GBK" w:cs="Times New Roman"/>
          <w:color w:val="auto"/>
          <w:kern w:val="0"/>
          <w:sz w:val="32"/>
          <w:szCs w:val="32"/>
          <w:shd w:val="clear" w:fill="FFFFFF"/>
          <w:lang w:val="en-US" w:eastAsia="zh-CN"/>
        </w:rPr>
        <w:t>70605285</w:t>
      </w:r>
    </w:p>
    <w:p>
      <w:pPr>
        <w:pStyle w:val="14"/>
        <w:keepNext w:val="0"/>
        <w:keepLines w:val="0"/>
        <w:pageBreakBefore w:val="0"/>
        <w:widowControl/>
        <w:kinsoku/>
        <w:wordWrap/>
        <w:overflowPunct/>
        <w:topLinePunct w:val="0"/>
        <w:autoSpaceDE w:val="0"/>
        <w:autoSpaceDN/>
        <w:bidi w:val="0"/>
        <w:adjustRightInd/>
        <w:snapToGrid/>
        <w:spacing w:beforeAutospacing="0" w:afterAutospacing="0" w:line="596" w:lineRule="exact"/>
        <w:ind w:firstLine="640"/>
        <w:jc w:val="both"/>
        <w:textAlignment w:val="auto"/>
        <w:rPr>
          <w:rStyle w:val="13"/>
          <w:rFonts w:ascii="方正仿宋_GBK" w:hAnsi="方正仿宋_GBK" w:eastAsia="方正仿宋_GBK" w:cs="方正仿宋_GBK"/>
          <w:sz w:val="32"/>
          <w:szCs w:val="32"/>
          <w:shd w:val="clear" w:color="auto" w:fill="FFFF00"/>
        </w:rPr>
        <w:sectPr>
          <w:footerReference r:id="rId3" w:type="default"/>
          <w:pgSz w:w="11915" w:h="16840"/>
          <w:pgMar w:top="1440" w:right="1800" w:bottom="1440" w:left="1800" w:header="851" w:footer="992" w:gutter="0"/>
          <w:pgNumType w:fmt="numberInDash"/>
          <w:cols w:space="720" w:num="1"/>
          <w:docGrid w:type="lines" w:linePitch="312" w:charSpace="0"/>
        </w:sectPr>
      </w:pPr>
    </w:p>
    <w:tbl>
      <w:tblPr>
        <w:tblStyle w:val="10"/>
        <w:tblpPr w:leftFromText="180" w:rightFromText="180" w:vertAnchor="text" w:horzAnchor="page" w:tblpX="1058" w:tblpY="22"/>
        <w:tblOverlap w:val="never"/>
        <w:tblW w:w="4809" w:type="pct"/>
        <w:tblInd w:w="0" w:type="dxa"/>
        <w:tblLayout w:type="autofit"/>
        <w:tblCellMar>
          <w:top w:w="0" w:type="dxa"/>
          <w:left w:w="0" w:type="dxa"/>
          <w:bottom w:w="0" w:type="dxa"/>
          <w:right w:w="0" w:type="dxa"/>
        </w:tblCellMar>
      </w:tblPr>
      <w:tblGrid>
        <w:gridCol w:w="4294"/>
        <w:gridCol w:w="3558"/>
        <w:gridCol w:w="4044"/>
        <w:gridCol w:w="2841"/>
      </w:tblGrid>
      <w:tr>
        <w:tblPrEx>
          <w:tblCellMar>
            <w:top w:w="0" w:type="dxa"/>
            <w:left w:w="0" w:type="dxa"/>
            <w:bottom w:w="0" w:type="dxa"/>
            <w:right w:w="0" w:type="dxa"/>
          </w:tblCellMar>
        </w:tblPrEx>
        <w:trPr>
          <w:trHeight w:val="232" w:hRule="atLeast"/>
        </w:trPr>
        <w:tc>
          <w:tcPr>
            <w:tcW w:w="5000" w:type="pct"/>
            <w:gridSpan w:val="4"/>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收入支出决算总表</w:t>
            </w:r>
          </w:p>
        </w:tc>
      </w:tr>
      <w:tr>
        <w:tblPrEx>
          <w:tblCellMar>
            <w:top w:w="0" w:type="dxa"/>
            <w:left w:w="0" w:type="dxa"/>
            <w:bottom w:w="0" w:type="dxa"/>
            <w:right w:w="0" w:type="dxa"/>
          </w:tblCellMar>
        </w:tblPrEx>
        <w:trPr>
          <w:trHeight w:val="232" w:hRule="atLeast"/>
        </w:trPr>
        <w:tc>
          <w:tcPr>
            <w:tcW w:w="145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1206" w:type="pct"/>
            <w:tcBorders>
              <w:top w:val="nil"/>
              <w:left w:val="nil"/>
              <w:bottom w:val="nil"/>
              <w:right w:val="nil"/>
            </w:tcBorders>
            <w:shd w:val="clear" w:color="auto" w:fill="auto"/>
            <w:noWrap/>
            <w:tcMar>
              <w:top w:w="15" w:type="dxa"/>
              <w:left w:w="15" w:type="dxa"/>
              <w:right w:w="15" w:type="dxa"/>
            </w:tcMar>
            <w:vAlign w:val="bottom"/>
          </w:tcPr>
          <w:p>
            <w:pPr>
              <w:spacing w:line="200" w:lineRule="exact"/>
              <w:jc w:val="right"/>
              <w:rPr>
                <w:rFonts w:hint="default" w:ascii="Arial" w:hAnsi="Arial" w:cs="Arial"/>
                <w:color w:val="000000"/>
                <w:sz w:val="20"/>
                <w:szCs w:val="20"/>
              </w:rPr>
            </w:pP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0"/>
                <w:szCs w:val="20"/>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01</w:t>
            </w:r>
            <w:r>
              <w:rPr>
                <w:rFonts w:cs="宋体"/>
                <w:color w:val="000000"/>
                <w:sz w:val="20"/>
                <w:szCs w:val="20"/>
              </w:rPr>
              <w:t>表</w:t>
            </w:r>
          </w:p>
        </w:tc>
      </w:tr>
      <w:tr>
        <w:tblPrEx>
          <w:tblCellMar>
            <w:top w:w="0" w:type="dxa"/>
            <w:left w:w="0" w:type="dxa"/>
            <w:bottom w:w="0" w:type="dxa"/>
            <w:right w:w="0" w:type="dxa"/>
          </w:tblCellMar>
        </w:tblPrEx>
        <w:trPr>
          <w:trHeight w:val="232" w:hRule="atLeast"/>
        </w:trPr>
        <w:tc>
          <w:tcPr>
            <w:tcW w:w="2664" w:type="pct"/>
            <w:gridSpan w:val="2"/>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ascii="Arial" w:hAnsi="Arial" w:cs="Arial"/>
                <w:color w:val="000000"/>
                <w:sz w:val="22"/>
                <w:szCs w:val="22"/>
              </w:rPr>
            </w:pPr>
            <w:r>
              <w:rPr>
                <w:rFonts w:cs="宋体"/>
                <w:sz w:val="20"/>
                <w:szCs w:val="20"/>
              </w:rPr>
              <w:t>单位：</w:t>
            </w:r>
            <w:r>
              <w:rPr>
                <w:sz w:val="20"/>
                <w:u w:color="auto"/>
              </w:rPr>
              <w:t>丰都县统计局（本级）</w:t>
            </w:r>
          </w:p>
        </w:tc>
        <w:tc>
          <w:tcPr>
            <w:tcW w:w="1372"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ascii="Arial" w:hAnsi="Arial" w:cs="Arial"/>
                <w:color w:val="000000"/>
                <w:sz w:val="22"/>
                <w:szCs w:val="22"/>
              </w:rPr>
            </w:pPr>
          </w:p>
        </w:tc>
        <w:tc>
          <w:tcPr>
            <w:tcW w:w="9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243" w:hRule="atLeast"/>
        </w:trPr>
        <w:tc>
          <w:tcPr>
            <w:tcW w:w="266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收入</w:t>
            </w:r>
          </w:p>
        </w:tc>
        <w:tc>
          <w:tcPr>
            <w:tcW w:w="2335" w:type="pct"/>
            <w:gridSpan w:val="2"/>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支出</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项目</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功能分类科目</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决算数</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709.86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一、一般公共服务支出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586.02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二、政府性基金预算财政拨款收入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二、外交支出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三、国有资本经营预算财政拨款收入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三、国防支出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四、上级补助收入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四、公共安全支出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五、事业收入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五、教育支出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六、经营收入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六、科学技术支出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七、附属单位上缴收入</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七、文化旅游体育与传媒支出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八、其他收入</w:t>
            </w:r>
          </w:p>
        </w:tc>
        <w:tc>
          <w:tcPr>
            <w:tcW w:w="1206" w:type="pct"/>
            <w:tcBorders>
              <w:top w:val="nil"/>
              <w:left w:val="nil"/>
              <w:bottom w:val="nil"/>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八、社会保障和就业支出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71.26</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九、卫生健康支出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24.63</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十、节能环保支出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十一、城乡社区支出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十二、农林水支出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十三、交通运输支出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十四、资源勘探工业信息等支出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十五、商业服务业等支出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十六、金融支出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十七、援助其他地区支出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90"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十八、自然资源海洋气象等支出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十九、住房保障支出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28.37</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二十、粮油物资储备支出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二十一、国有资本经营预算支出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二十二、灾害防治及应急管理支出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二十三、其他支出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二十四、债务还本支出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二十五、债务付息支出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rPr>
                <w:rFonts w:hint="default" w:cs="宋体"/>
                <w:b/>
                <w:bCs/>
                <w:color w:val="000000"/>
                <w:sz w:val="20"/>
                <w:szCs w:val="20"/>
              </w:rPr>
            </w:pP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二十六、抗疫特别国债安排的支出</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本年收入合计</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709.86</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bCs/>
                <w:color w:val="000000"/>
                <w:sz w:val="20"/>
                <w:szCs w:val="20"/>
              </w:rPr>
            </w:pPr>
            <w:r>
              <w:rPr>
                <w:rFonts w:cs="宋体"/>
                <w:b/>
                <w:bCs/>
                <w:color w:val="000000"/>
                <w:sz w:val="20"/>
                <w:szCs w:val="20"/>
              </w:rPr>
              <w:t>本年支出合计</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710.28</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使用非财政拨款结余（含专用结余）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结余分配</w:t>
            </w:r>
          </w:p>
        </w:tc>
        <w:tc>
          <w:tcPr>
            <w:tcW w:w="9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4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年初结转和结余</w:t>
            </w:r>
          </w:p>
        </w:tc>
        <w:tc>
          <w:tcPr>
            <w:tcW w:w="120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0.42</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textAlignment w:val="center"/>
              <w:rPr>
                <w:rFonts w:hint="default" w:cs="宋体"/>
                <w:b/>
                <w:bCs/>
                <w:color w:val="000000"/>
                <w:sz w:val="20"/>
                <w:szCs w:val="20"/>
              </w:rPr>
            </w:pPr>
            <w:r>
              <w:rPr>
                <w:rFonts w:cs="宋体"/>
                <w:b/>
                <w:bCs/>
                <w:color w:val="000000"/>
                <w:sz w:val="20"/>
                <w:szCs w:val="20"/>
              </w:rPr>
              <w:t>年末结转和结余</w:t>
            </w:r>
          </w:p>
        </w:tc>
        <w:tc>
          <w:tcPr>
            <w:tcW w:w="963" w:type="pct"/>
            <w:tcBorders>
              <w:top w:val="nil"/>
              <w:left w:val="nil"/>
              <w:bottom w:val="single" w:color="auto"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253" w:hRule="atLeast"/>
        </w:trPr>
        <w:tc>
          <w:tcPr>
            <w:tcW w:w="1457"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120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710.28</w:t>
            </w:r>
            <w:r>
              <w:rPr>
                <w:rFonts w:ascii="Times New Roman" w:hAnsi="Times New Roman"/>
                <w:color w:val="000000"/>
                <w:sz w:val="20"/>
                <w:u w:color="auto"/>
              </w:rPr>
              <w:t xml:space="preserve"> </w:t>
            </w:r>
          </w:p>
        </w:tc>
        <w:tc>
          <w:tcPr>
            <w:tcW w:w="1372" w:type="pct"/>
            <w:tcBorders>
              <w:top w:val="nil"/>
              <w:left w:val="nil"/>
              <w:bottom w:val="single" w:color="000000" w:sz="4" w:space="0"/>
              <w:right w:val="single" w:color="auto" w:sz="4" w:space="0"/>
            </w:tcBorders>
            <w:shd w:val="clear" w:color="auto" w:fill="auto"/>
            <w:noWrap/>
            <w:tcMar>
              <w:top w:w="15" w:type="dxa"/>
              <w:left w:w="15" w:type="dxa"/>
              <w:right w:w="15" w:type="dxa"/>
            </w:tcMar>
            <w:vAlign w:val="center"/>
          </w:tcPr>
          <w:p>
            <w:pPr>
              <w:spacing w:line="240" w:lineRule="exact"/>
              <w:jc w:val="center"/>
              <w:textAlignment w:val="center"/>
              <w:rPr>
                <w:rFonts w:hint="default" w:cs="宋体"/>
                <w:b/>
                <w:color w:val="000000"/>
                <w:sz w:val="20"/>
                <w:szCs w:val="20"/>
              </w:rPr>
            </w:pPr>
            <w:r>
              <w:rPr>
                <w:rFonts w:cs="宋体"/>
                <w:b/>
                <w:color w:val="000000"/>
                <w:sz w:val="20"/>
                <w:szCs w:val="20"/>
              </w:rPr>
              <w:t>总计</w:t>
            </w:r>
          </w:p>
        </w:tc>
        <w:tc>
          <w:tcPr>
            <w:tcW w:w="963"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710.28</w:t>
            </w:r>
            <w:r>
              <w:rPr>
                <w:rFonts w:ascii="Times New Roman" w:hAnsi="Times New Roman"/>
                <w:color w:val="000000"/>
                <w:sz w:val="20"/>
                <w:u w:color="auto"/>
              </w:rPr>
              <w:t xml:space="preserve"> </w:t>
            </w:r>
          </w:p>
        </w:tc>
      </w:tr>
    </w:tbl>
    <w:p>
      <w:pPr>
        <w:rPr>
          <w:rFonts w:hint="default" w:cs="宋体"/>
          <w:sz w:val="21"/>
          <w:szCs w:val="21"/>
        </w:rPr>
      </w:pPr>
    </w:p>
    <w:p>
      <w:pPr>
        <w:spacing w:line="240" w:lineRule="exact"/>
        <w:rPr>
          <w:rFonts w:hint="default" w:cs="宋体"/>
          <w:sz w:val="20"/>
          <w:szCs w:val="20"/>
        </w:rPr>
      </w:pPr>
      <w:r>
        <w:rPr>
          <w:rFonts w:cs="宋体"/>
          <w:sz w:val="20"/>
          <w:szCs w:val="20"/>
        </w:rPr>
        <w:t>备注：1.本表反映单位本年度的总收支和年末结转结余情况。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tbl>
      <w:tblPr>
        <w:tblStyle w:val="10"/>
        <w:tblW w:w="5059" w:type="pct"/>
        <w:tblInd w:w="0" w:type="dxa"/>
        <w:tblLayout w:type="fixed"/>
        <w:tblCellMar>
          <w:top w:w="0" w:type="dxa"/>
          <w:left w:w="0" w:type="dxa"/>
          <w:bottom w:w="0" w:type="dxa"/>
          <w:right w:w="0" w:type="dxa"/>
        </w:tblCellMar>
      </w:tblPr>
      <w:tblGrid>
        <w:gridCol w:w="1430"/>
        <w:gridCol w:w="2919"/>
        <w:gridCol w:w="1582"/>
        <w:gridCol w:w="1451"/>
        <w:gridCol w:w="1256"/>
        <w:gridCol w:w="1438"/>
        <w:gridCol w:w="1459"/>
        <w:gridCol w:w="1296"/>
        <w:gridCol w:w="1350"/>
        <w:gridCol w:w="1322"/>
      </w:tblGrid>
      <w:tr>
        <w:tblPrEx>
          <w:tblCellMar>
            <w:top w:w="0" w:type="dxa"/>
            <w:left w:w="0" w:type="dxa"/>
            <w:bottom w:w="0" w:type="dxa"/>
            <w:right w:w="0" w:type="dxa"/>
          </w:tblCellMar>
        </w:tblPrEx>
        <w:trPr>
          <w:trHeight w:val="641" w:hRule="atLeast"/>
        </w:trPr>
        <w:tc>
          <w:tcPr>
            <w:tcW w:w="5000" w:type="pct"/>
            <w:gridSpan w:val="10"/>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收入决算表</w:t>
            </w:r>
          </w:p>
        </w:tc>
      </w:tr>
      <w:tr>
        <w:tblPrEx>
          <w:tblCellMar>
            <w:top w:w="0" w:type="dxa"/>
            <w:left w:w="0" w:type="dxa"/>
            <w:bottom w:w="0" w:type="dxa"/>
            <w:right w:w="0" w:type="dxa"/>
          </w:tblCellMar>
        </w:tblPrEx>
        <w:trPr>
          <w:trHeight w:val="328" w:hRule="atLeast"/>
        </w:trPr>
        <w:tc>
          <w:tcPr>
            <w:tcW w:w="19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sz w:val="20"/>
                <w:u w:color="auto"/>
              </w:rPr>
              <w:t>丰都县统计局（本级）</w:t>
            </w: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02</w:t>
            </w:r>
            <w:r>
              <w:rPr>
                <w:rFonts w:cs="宋体"/>
                <w:color w:val="000000"/>
                <w:sz w:val="20"/>
                <w:szCs w:val="20"/>
              </w:rPr>
              <w:t>表</w:t>
            </w:r>
          </w:p>
        </w:tc>
      </w:tr>
      <w:tr>
        <w:tblPrEx>
          <w:tblCellMar>
            <w:top w:w="0" w:type="dxa"/>
            <w:left w:w="0" w:type="dxa"/>
            <w:bottom w:w="0" w:type="dxa"/>
            <w:right w:w="0" w:type="dxa"/>
          </w:tblCellMar>
        </w:tblPrEx>
        <w:trPr>
          <w:trHeight w:val="328" w:hRule="atLeast"/>
        </w:trPr>
        <w:tc>
          <w:tcPr>
            <w:tcW w:w="1912"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0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70"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17"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3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42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31" w:hRule="atLeast"/>
        </w:trPr>
        <w:tc>
          <w:tcPr>
            <w:tcW w:w="1402" w:type="pct"/>
            <w:gridSpan w:val="2"/>
            <w:tcBorders>
              <w:top w:val="single" w:color="000000" w:sz="4" w:space="0"/>
              <w:left w:val="single" w:color="000000" w:sz="4" w:space="0"/>
              <w:bottom w:val="single" w:color="000000" w:sz="4" w:space="0"/>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51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本年收入合计</w:t>
            </w:r>
          </w:p>
        </w:tc>
        <w:tc>
          <w:tcPr>
            <w:tcW w:w="46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财政拨款收入</w:t>
            </w:r>
          </w:p>
        </w:tc>
        <w:tc>
          <w:tcPr>
            <w:tcW w:w="40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上级补助收入</w:t>
            </w:r>
          </w:p>
        </w:tc>
        <w:tc>
          <w:tcPr>
            <w:tcW w:w="934"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事业收入</w:t>
            </w:r>
          </w:p>
        </w:tc>
        <w:tc>
          <w:tcPr>
            <w:tcW w:w="417"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经营收入</w:t>
            </w:r>
          </w:p>
        </w:tc>
        <w:tc>
          <w:tcPr>
            <w:tcW w:w="43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附属单位上缴收入</w:t>
            </w:r>
          </w:p>
        </w:tc>
        <w:tc>
          <w:tcPr>
            <w:tcW w:w="42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其他收入</w:t>
            </w:r>
          </w:p>
        </w:tc>
      </w:tr>
      <w:tr>
        <w:tblPrEx>
          <w:tblCellMar>
            <w:top w:w="0" w:type="dxa"/>
            <w:left w:w="0" w:type="dxa"/>
            <w:bottom w:w="0" w:type="dxa"/>
            <w:right w:w="0" w:type="dxa"/>
          </w:tblCellMar>
        </w:tblPrEx>
        <w:trPr>
          <w:trHeight w:val="334" w:hRule="atLeast"/>
        </w:trPr>
        <w:tc>
          <w:tcPr>
            <w:tcW w:w="46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941"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小计</w:t>
            </w:r>
          </w:p>
        </w:tc>
        <w:tc>
          <w:tcPr>
            <w:tcW w:w="47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其中：教育收费</w:t>
            </w: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4" w:hRule="atLeast"/>
        </w:trPr>
        <w:tc>
          <w:tcPr>
            <w:tcW w:w="46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941"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51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0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7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17"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3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42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14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1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709.86</w:t>
            </w:r>
            <w:r>
              <w:rPr>
                <w:rFonts w:ascii="Times New Roman" w:hAnsi="Times New Roman"/>
                <w:b/>
                <w:color w:val="000000"/>
                <w:sz w:val="20"/>
                <w:u w:color="auto"/>
              </w:rPr>
              <w:t xml:space="preserve"> </w:t>
            </w:r>
          </w:p>
        </w:tc>
        <w:tc>
          <w:tcPr>
            <w:tcW w:w="46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709.86</w:t>
            </w:r>
            <w:r>
              <w:rPr>
                <w:rFonts w:ascii="Times New Roman" w:hAnsi="Times New Roman"/>
                <w:b/>
                <w:color w:val="000000"/>
                <w:sz w:val="20"/>
                <w:u w:color="auto"/>
              </w:rPr>
              <w:t xml:space="preserve"> </w:t>
            </w:r>
          </w:p>
        </w:tc>
        <w:tc>
          <w:tcPr>
            <w:tcW w:w="40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6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7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1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3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42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585.60</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585.60</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321.19</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321.19</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136.22</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136.22</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统计抽样调查</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62.55</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62.55</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其他统计信息事务支出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71.26</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71.26</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33.54</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33.54</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16.93</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16.93</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20.70</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20.70</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24.63</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24.63</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28.37</w:t>
            </w:r>
            <w:r>
              <w:rPr>
                <w:rFonts w:ascii="Times New Roman" w:hAnsi="Times New Roman"/>
                <w:b/>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28.37</w:t>
            </w:r>
            <w:r>
              <w:rPr>
                <w:rFonts w:ascii="Times New Roman" w:hAnsi="Times New Roman"/>
                <w:b/>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8" w:hRule="atLeast"/>
        </w:trPr>
        <w:tc>
          <w:tcPr>
            <w:tcW w:w="46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941"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51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28.37</w:t>
            </w:r>
            <w:r>
              <w:rPr>
                <w:rFonts w:ascii="Times New Roman" w:hAnsi="Times New Roman"/>
                <w:color w:val="000000"/>
                <w:sz w:val="20"/>
                <w:u w:color="auto"/>
              </w:rPr>
              <w:t xml:space="preserve"> </w:t>
            </w:r>
          </w:p>
        </w:tc>
        <w:tc>
          <w:tcPr>
            <w:tcW w:w="46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28.37</w:t>
            </w:r>
            <w:r>
              <w:rPr>
                <w:rFonts w:ascii="Times New Roman" w:hAnsi="Times New Roman"/>
                <w:color w:val="000000"/>
                <w:sz w:val="20"/>
                <w:u w:color="auto"/>
              </w:rPr>
              <w:t xml:space="preserve"> </w:t>
            </w:r>
          </w:p>
        </w:tc>
        <w:tc>
          <w:tcPr>
            <w:tcW w:w="40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7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3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42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ind w:left="600" w:hanging="600" w:hangingChars="300"/>
        <w:rPr>
          <w:rFonts w:hint="default" w:cs="宋体"/>
          <w:sz w:val="20"/>
          <w:szCs w:val="20"/>
        </w:rPr>
      </w:pPr>
      <w:r>
        <w:rPr>
          <w:rFonts w:cs="宋体"/>
          <w:sz w:val="20"/>
          <w:szCs w:val="20"/>
        </w:rPr>
        <w:t>备注：1.本表反映单位本年度取得的各项收入情况。</w:t>
      </w:r>
      <w:r>
        <w:rPr>
          <w:rFonts w:cs="宋体"/>
          <w:sz w:val="20"/>
          <w:szCs w:val="20"/>
        </w:rPr>
        <w:br w:type="textWrapping"/>
      </w:r>
      <w:r>
        <w:rPr>
          <w:rFonts w:cs="宋体"/>
          <w:sz w:val="20"/>
          <w:szCs w:val="20"/>
        </w:rPr>
        <w:t>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0"/>
          <w:szCs w:val="20"/>
        </w:rPr>
      </w:pPr>
      <w:r>
        <w:rPr>
          <w:rFonts w:cs="宋体"/>
          <w:sz w:val="20"/>
          <w:szCs w:val="20"/>
        </w:rPr>
        <w:br w:type="page"/>
      </w:r>
    </w:p>
    <w:tbl>
      <w:tblPr>
        <w:tblStyle w:val="10"/>
        <w:tblW w:w="5000" w:type="pct"/>
        <w:tblInd w:w="0" w:type="dxa"/>
        <w:tblLayout w:type="fixed"/>
        <w:tblCellMar>
          <w:top w:w="0" w:type="dxa"/>
          <w:left w:w="0" w:type="dxa"/>
          <w:bottom w:w="0" w:type="dxa"/>
          <w:right w:w="0" w:type="dxa"/>
        </w:tblCellMar>
      </w:tblPr>
      <w:tblGrid>
        <w:gridCol w:w="1292"/>
        <w:gridCol w:w="3602"/>
        <w:gridCol w:w="1841"/>
        <w:gridCol w:w="1765"/>
        <w:gridCol w:w="1624"/>
        <w:gridCol w:w="1557"/>
        <w:gridCol w:w="1692"/>
        <w:gridCol w:w="1949"/>
      </w:tblGrid>
      <w:tr>
        <w:tblPrEx>
          <w:tblCellMar>
            <w:top w:w="0" w:type="dxa"/>
            <w:left w:w="0" w:type="dxa"/>
            <w:bottom w:w="0" w:type="dxa"/>
            <w:right w:w="0" w:type="dxa"/>
          </w:tblCellMar>
        </w:tblPrEx>
        <w:trPr>
          <w:trHeight w:val="65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支出决算表</w:t>
            </w:r>
          </w:p>
        </w:tc>
      </w:tr>
      <w:tr>
        <w:tblPrEx>
          <w:tblCellMar>
            <w:top w:w="0" w:type="dxa"/>
            <w:left w:w="0" w:type="dxa"/>
            <w:bottom w:w="0" w:type="dxa"/>
            <w:right w:w="0" w:type="dxa"/>
          </w:tblCellMar>
        </w:tblPrEx>
        <w:trPr>
          <w:trHeight w:val="342" w:hRule="atLeast"/>
        </w:trPr>
        <w:tc>
          <w:tcPr>
            <w:tcW w:w="2197" w:type="pct"/>
            <w:gridSpan w:val="3"/>
            <w:vMerge w:val="restart"/>
            <w:tcBorders>
              <w:top w:val="nil"/>
              <w:left w:val="nil"/>
              <w:right w:val="nil"/>
            </w:tcBorders>
            <w:shd w:val="clear" w:color="auto" w:fill="auto"/>
            <w:noWrap/>
            <w:tcMar>
              <w:top w:w="15" w:type="dxa"/>
              <w:left w:w="15" w:type="dxa"/>
              <w:right w:w="15" w:type="dxa"/>
            </w:tcMar>
            <w:vAlign w:val="bottom"/>
          </w:tcPr>
          <w:p>
            <w:pPr>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 xml:space="preserve">丰都县统计局（本级） </w:t>
            </w: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03</w:t>
            </w:r>
            <w:r>
              <w:rPr>
                <w:rFonts w:cs="宋体"/>
                <w:color w:val="000000"/>
                <w:sz w:val="20"/>
                <w:szCs w:val="20"/>
              </w:rPr>
              <w:t>表</w:t>
            </w:r>
          </w:p>
        </w:tc>
      </w:tr>
      <w:tr>
        <w:tblPrEx>
          <w:tblCellMar>
            <w:top w:w="0" w:type="dxa"/>
            <w:left w:w="0" w:type="dxa"/>
            <w:bottom w:w="0" w:type="dxa"/>
            <w:right w:w="0" w:type="dxa"/>
          </w:tblCellMar>
        </w:tblPrEx>
        <w:trPr>
          <w:trHeight w:val="342" w:hRule="atLeast"/>
        </w:trPr>
        <w:tc>
          <w:tcPr>
            <w:tcW w:w="2197"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29"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08"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2"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636"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600"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本年支出合计</w:t>
            </w:r>
          </w:p>
        </w:tc>
        <w:tc>
          <w:tcPr>
            <w:tcW w:w="57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2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上缴上级支出</w:t>
            </w:r>
          </w:p>
        </w:tc>
        <w:tc>
          <w:tcPr>
            <w:tcW w:w="552"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经营支出</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对附属单位补助支出</w:t>
            </w:r>
          </w:p>
        </w:tc>
      </w:tr>
      <w:tr>
        <w:tblPrEx>
          <w:tblCellMar>
            <w:top w:w="0" w:type="dxa"/>
            <w:left w:w="0" w:type="dxa"/>
            <w:bottom w:w="0" w:type="dxa"/>
            <w:right w:w="0" w:type="dxa"/>
          </w:tblCellMar>
        </w:tblPrEx>
        <w:trPr>
          <w:trHeight w:val="338" w:hRule="atLeast"/>
        </w:trPr>
        <w:tc>
          <w:tcPr>
            <w:tcW w:w="421" w:type="pct"/>
            <w:vMerge w:val="restar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5" w:type="pct"/>
            <w:vMerge w:val="restart"/>
            <w:tcBorders>
              <w:top w:val="nil"/>
              <w:left w:val="nil"/>
              <w:bottom w:val="single" w:color="000000" w:sz="4" w:space="0"/>
              <w:right w:val="nil"/>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8" w:hRule="atLeast"/>
        </w:trPr>
        <w:tc>
          <w:tcPr>
            <w:tcW w:w="421" w:type="pct"/>
            <w:vMerge w:val="continue"/>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1175" w:type="pct"/>
            <w:vMerge w:val="continue"/>
            <w:tcBorders>
              <w:top w:val="nil"/>
              <w:left w:val="nil"/>
              <w:bottom w:val="single" w:color="000000" w:sz="4" w:space="0"/>
              <w:right w:val="nil"/>
            </w:tcBorders>
            <w:shd w:val="clear" w:color="auto" w:fill="auto"/>
            <w:noWrap/>
            <w:tcMar>
              <w:top w:w="15" w:type="dxa"/>
              <w:left w:w="15" w:type="dxa"/>
              <w:right w:w="15" w:type="dxa"/>
            </w:tcMar>
            <w:vAlign w:val="center"/>
          </w:tcPr>
          <w:p>
            <w:pPr>
              <w:jc w:val="center"/>
              <w:rPr>
                <w:rFonts w:hint="default" w:cs="宋体"/>
                <w:b/>
                <w:color w:val="000000"/>
                <w:sz w:val="20"/>
                <w:szCs w:val="20"/>
              </w:rPr>
            </w:pPr>
          </w:p>
        </w:tc>
        <w:tc>
          <w:tcPr>
            <w:tcW w:w="600"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2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2"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62" w:hRule="atLeast"/>
        </w:trPr>
        <w:tc>
          <w:tcPr>
            <w:tcW w:w="1597"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60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710.28</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445.86</w:t>
            </w:r>
            <w:r>
              <w:rPr>
                <w:rFonts w:ascii="Times New Roman" w:hAnsi="Times New Roman"/>
                <w:b/>
                <w:color w:val="000000"/>
                <w:sz w:val="20"/>
                <w:u w:color="auto"/>
              </w:rPr>
              <w:t xml:space="preserve"> </w:t>
            </w:r>
          </w:p>
        </w:tc>
        <w:tc>
          <w:tcPr>
            <w:tcW w:w="5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264.41</w:t>
            </w:r>
            <w:r>
              <w:rPr>
                <w:rFonts w:ascii="Times New Roman" w:hAnsi="Times New Roman"/>
                <w:b/>
                <w:color w:val="000000"/>
                <w:sz w:val="20"/>
                <w:u w:color="auto"/>
              </w:rPr>
              <w:t xml:space="preserve"> </w:t>
            </w:r>
          </w:p>
        </w:tc>
        <w:tc>
          <w:tcPr>
            <w:tcW w:w="50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2"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63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586.02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321.61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264.41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586.02</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321.61</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264.41</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321.61</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321.61</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136.22</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136.22</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统计抽样调查</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62.55</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62.55</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其他统计信息事务支出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65.64</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71.26</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71.26</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33.54</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33.54</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16.93</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16.93</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20.70</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20.70</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24.63</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24.63</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28.37</w:t>
            </w:r>
            <w:r>
              <w:rPr>
                <w:rFonts w:ascii="Times New Roman" w:hAnsi="Times New Roman"/>
                <w:b/>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28.37</w:t>
            </w:r>
            <w:r>
              <w:rPr>
                <w:rFonts w:ascii="Times New Roman" w:hAnsi="Times New Roman"/>
                <w:b/>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82" w:hRule="atLeast"/>
        </w:trPr>
        <w:tc>
          <w:tcPr>
            <w:tcW w:w="42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1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600"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28.37</w:t>
            </w:r>
            <w:r>
              <w:rPr>
                <w:rFonts w:ascii="Times New Roman" w:hAnsi="Times New Roman"/>
                <w:color w:val="000000"/>
                <w:sz w:val="20"/>
                <w:u w:color="auto"/>
              </w:rPr>
              <w:t xml:space="preserve"> </w:t>
            </w:r>
          </w:p>
        </w:tc>
        <w:tc>
          <w:tcPr>
            <w:tcW w:w="57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28.37</w:t>
            </w:r>
            <w:r>
              <w:rPr>
                <w:rFonts w:ascii="Times New Roman" w:hAnsi="Times New Roman"/>
                <w:color w:val="000000"/>
                <w:sz w:val="20"/>
                <w:u w:color="auto"/>
              </w:rPr>
              <w:t xml:space="preserve"> </w:t>
            </w:r>
          </w:p>
        </w:tc>
        <w:tc>
          <w:tcPr>
            <w:tcW w:w="529"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636"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0"/>
          <w:szCs w:val="20"/>
        </w:rPr>
      </w:pPr>
      <w:r>
        <w:rPr>
          <w:rFonts w:cs="宋体"/>
          <w:sz w:val="20"/>
          <w:szCs w:val="20"/>
        </w:rPr>
        <w:t>备注：1.本表反映单位本年度各项支出情况。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p>
      <w:pPr>
        <w:rPr>
          <w:rFonts w:hint="default" w:cs="宋体"/>
          <w:sz w:val="21"/>
          <w:szCs w:val="21"/>
        </w:rPr>
      </w:pPr>
    </w:p>
    <w:tbl>
      <w:tblPr>
        <w:tblStyle w:val="10"/>
        <w:tblW w:w="4790" w:type="pct"/>
        <w:tblInd w:w="0" w:type="dxa"/>
        <w:tblLayout w:type="autofit"/>
        <w:tblCellMar>
          <w:top w:w="0" w:type="dxa"/>
          <w:left w:w="0" w:type="dxa"/>
          <w:bottom w:w="0" w:type="dxa"/>
          <w:right w:w="0" w:type="dxa"/>
        </w:tblCellMar>
      </w:tblPr>
      <w:tblGrid>
        <w:gridCol w:w="2967"/>
        <w:gridCol w:w="1521"/>
        <w:gridCol w:w="3179"/>
        <w:gridCol w:w="1694"/>
        <w:gridCol w:w="1694"/>
        <w:gridCol w:w="1694"/>
        <w:gridCol w:w="1929"/>
      </w:tblGrid>
      <w:tr>
        <w:tblPrEx>
          <w:tblCellMar>
            <w:top w:w="0" w:type="dxa"/>
            <w:left w:w="0" w:type="dxa"/>
            <w:bottom w:w="0" w:type="dxa"/>
            <w:right w:w="0" w:type="dxa"/>
          </w:tblCellMar>
        </w:tblPrEx>
        <w:trPr>
          <w:trHeight w:val="9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sz w:val="32"/>
                <w:szCs w:val="32"/>
              </w:rPr>
            </w:pPr>
            <w:r>
              <w:rPr>
                <w:rFonts w:cs="宋体"/>
                <w:b/>
                <w:color w:val="000000"/>
                <w:sz w:val="32"/>
                <w:szCs w:val="32"/>
              </w:rPr>
              <w:t>财政拨款收入支出决算总表</w:t>
            </w:r>
          </w:p>
        </w:tc>
      </w:tr>
      <w:tr>
        <w:tblPrEx>
          <w:tblCellMar>
            <w:top w:w="0" w:type="dxa"/>
            <w:left w:w="0" w:type="dxa"/>
            <w:bottom w:w="0" w:type="dxa"/>
            <w:right w:w="0" w:type="dxa"/>
          </w:tblCellMar>
        </w:tblPrEx>
        <w:trPr>
          <w:trHeight w:val="90" w:hRule="atLeast"/>
        </w:trPr>
        <w:tc>
          <w:tcPr>
            <w:tcW w:w="2612"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丰都县统计局（本级）</w:t>
            </w: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04</w:t>
            </w:r>
            <w:r>
              <w:rPr>
                <w:rFonts w:cs="宋体"/>
                <w:color w:val="000000"/>
                <w:sz w:val="20"/>
                <w:szCs w:val="20"/>
              </w:rPr>
              <w:t>表</w:t>
            </w:r>
          </w:p>
        </w:tc>
      </w:tr>
      <w:tr>
        <w:tblPrEx>
          <w:tblCellMar>
            <w:top w:w="0" w:type="dxa"/>
            <w:left w:w="0" w:type="dxa"/>
            <w:bottom w:w="0" w:type="dxa"/>
            <w:right w:w="0" w:type="dxa"/>
          </w:tblCellMar>
        </w:tblPrEx>
        <w:trPr>
          <w:trHeight w:val="90" w:hRule="atLeast"/>
        </w:trPr>
        <w:tc>
          <w:tcPr>
            <w:tcW w:w="2612" w:type="pct"/>
            <w:gridSpan w:val="3"/>
            <w:vMerge w:val="continue"/>
            <w:tcBorders>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nil"/>
              <w:left w:val="nil"/>
              <w:bottom w:val="nil"/>
              <w:right w:val="nil"/>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65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6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529"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收     入</w:t>
            </w:r>
          </w:p>
        </w:tc>
        <w:tc>
          <w:tcPr>
            <w:tcW w:w="3471"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支     出</w:t>
            </w:r>
          </w:p>
        </w:tc>
      </w:tr>
      <w:tr>
        <w:tblPrEx>
          <w:tblCellMar>
            <w:top w:w="0" w:type="dxa"/>
            <w:left w:w="0" w:type="dxa"/>
            <w:bottom w:w="0" w:type="dxa"/>
            <w:right w:w="0" w:type="dxa"/>
          </w:tblCellMar>
        </w:tblPrEx>
        <w:trPr>
          <w:trHeight w:val="90" w:hRule="atLeast"/>
        </w:trPr>
        <w:tc>
          <w:tcPr>
            <w:tcW w:w="101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项目</w:t>
            </w:r>
          </w:p>
        </w:tc>
        <w:tc>
          <w:tcPr>
            <w:tcW w:w="518"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c>
          <w:tcPr>
            <w:tcW w:w="108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功能分类科目</w:t>
            </w:r>
          </w:p>
        </w:tc>
        <w:tc>
          <w:tcPr>
            <w:tcW w:w="2388" w:type="pct"/>
            <w:gridSpan w:val="4"/>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决算数</w:t>
            </w:r>
          </w:p>
        </w:tc>
      </w:tr>
      <w:tr>
        <w:tblPrEx>
          <w:tblCellMar>
            <w:top w:w="0" w:type="dxa"/>
            <w:left w:w="0" w:type="dxa"/>
            <w:bottom w:w="0" w:type="dxa"/>
            <w:right w:w="0" w:type="dxa"/>
          </w:tblCellMar>
        </w:tblPrEx>
        <w:trPr>
          <w:trHeight w:val="90" w:hRule="atLeast"/>
        </w:trPr>
        <w:tc>
          <w:tcPr>
            <w:tcW w:w="101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18"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108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小计</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一般公共预算财政拨款</w:t>
            </w:r>
          </w:p>
        </w:tc>
        <w:tc>
          <w:tcPr>
            <w:tcW w:w="57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政府性基金预算财政拨款</w:t>
            </w:r>
          </w:p>
        </w:tc>
        <w:tc>
          <w:tcPr>
            <w:tcW w:w="657"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国有资本经营预算财政拨款</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709.86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一、一般公共服务支出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586.02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586.02</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二、外交支出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三、国防支出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四、公共安全支出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五、教育支出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六、科学技术支出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七、文化旅游体育与传媒支出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八、社会保障和就业支出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71.26</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九、卫生健康支出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24.63</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十、节能环保支出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十一、城乡社区支出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十二、农林水支出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十三、交通运输支出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十四、资源勘探工业信息等支出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十五、商业服务业等支出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十六、金融支出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十七、援助其他地区支出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十八、自然资源海洋气象等支出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十九、住房保障支出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28.37</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二十、粮油物资储备支出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二十一、国有资本经营预算支出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二十二、灾害防治及应急管理支出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二十三、其他支出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二十四、债务还本支出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二十五、债务付息支出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b/>
                <w:bCs/>
                <w:color w:val="000000"/>
                <w:sz w:val="18"/>
                <w:szCs w:val="18"/>
              </w:rPr>
            </w:pP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二十六、抗疫特别国债安排的支出</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本年收入合计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709.86</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bCs/>
                <w:color w:val="000000"/>
                <w:sz w:val="18"/>
                <w:szCs w:val="18"/>
              </w:rPr>
            </w:pPr>
            <w:r>
              <w:rPr>
                <w:rFonts w:cs="宋体"/>
                <w:b/>
                <w:bCs/>
                <w:color w:val="000000"/>
                <w:sz w:val="18"/>
                <w:szCs w:val="18"/>
              </w:rPr>
              <w:t>本年支出合计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710.28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710.28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年初财政拨款结转和结余</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年末财政拨款结转和结余</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一般公共预算财政拨款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cs="宋体"/>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spacing w:line="200" w:lineRule="exac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政府性基金预算财政拨款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textAlignment w:val="center"/>
              <w:rPr>
                <w:rFonts w:hint="default" w:cs="宋体"/>
                <w:b/>
                <w:bCs/>
                <w:color w:val="000000"/>
                <w:sz w:val="18"/>
                <w:szCs w:val="18"/>
              </w:rPr>
            </w:pPr>
            <w:r>
              <w:rPr>
                <w:rFonts w:cs="宋体"/>
                <w:b/>
                <w:bCs/>
                <w:color w:val="000000"/>
                <w:sz w:val="18"/>
                <w:szCs w:val="18"/>
              </w:rPr>
              <w:t xml:space="preserve">  国有资本经营预算财政拨款</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rPr>
                <w:rFonts w:hint="default" w:cs="宋体"/>
                <w:b/>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101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18"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710.28</w:t>
            </w:r>
            <w:r>
              <w:rPr>
                <w:rFonts w:ascii="Times New Roman" w:hAnsi="Times New Roman"/>
                <w:color w:val="000000"/>
                <w:sz w:val="18"/>
                <w:u w:color="auto"/>
              </w:rPr>
              <w:t xml:space="preserve"> </w:t>
            </w:r>
          </w:p>
        </w:tc>
        <w:tc>
          <w:tcPr>
            <w:tcW w:w="108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line="200" w:lineRule="exact"/>
              <w:jc w:val="center"/>
              <w:textAlignment w:val="center"/>
              <w:rPr>
                <w:rFonts w:hint="default" w:cs="宋体"/>
                <w:b/>
                <w:color w:val="000000"/>
                <w:sz w:val="18"/>
                <w:szCs w:val="18"/>
              </w:rPr>
            </w:pPr>
            <w:r>
              <w:rPr>
                <w:rFonts w:cs="宋体"/>
                <w:b/>
                <w:color w:val="000000"/>
                <w:sz w:val="18"/>
                <w:szCs w:val="18"/>
              </w:rPr>
              <w:t>总计</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710.28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710.28</w:t>
            </w:r>
            <w:r>
              <w:rPr>
                <w:rFonts w:ascii="Times New Roman" w:hAnsi="Times New Roman"/>
                <w:color w:val="000000"/>
                <w:sz w:val="18"/>
                <w:u w:color="auto"/>
              </w:rPr>
              <w:t xml:space="preserve"> </w:t>
            </w:r>
          </w:p>
        </w:tc>
        <w:tc>
          <w:tcPr>
            <w:tcW w:w="57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65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wordWrap w:val="0"/>
              <w:spacing w:line="200"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bl>
    <w:p>
      <w:pPr>
        <w:spacing w:line="240" w:lineRule="exact"/>
        <w:rPr>
          <w:rFonts w:hint="default" w:cs="宋体"/>
          <w:sz w:val="20"/>
          <w:szCs w:val="20"/>
        </w:rPr>
      </w:pPr>
      <w:r>
        <w:rPr>
          <w:rFonts w:cs="宋体"/>
          <w:sz w:val="20"/>
          <w:szCs w:val="20"/>
        </w:rPr>
        <w:t>备注：1.本表反映单位本年度一般公共预算财政拨款、政府性基金预算财政拨款及国有资本经营预算财政拨款的总收支和年末结转结余情况。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05"/>
        <w:gridCol w:w="4073"/>
        <w:gridCol w:w="3306"/>
        <w:gridCol w:w="3297"/>
        <w:gridCol w:w="3341"/>
      </w:tblGrid>
      <w:tr>
        <w:tblPrEx>
          <w:tblCellMar>
            <w:top w:w="0" w:type="dxa"/>
            <w:left w:w="0" w:type="dxa"/>
            <w:bottom w:w="0" w:type="dxa"/>
            <w:right w:w="0" w:type="dxa"/>
          </w:tblCellMar>
        </w:tblPrEx>
        <w:trPr>
          <w:trHeight w:val="510" w:hRule="atLeast"/>
        </w:trPr>
        <w:tc>
          <w:tcPr>
            <w:tcW w:w="5000" w:type="pct"/>
            <w:gridSpan w:val="5"/>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一般公共预算财政拨款支出决算表</w:t>
            </w:r>
          </w:p>
        </w:tc>
      </w:tr>
      <w:tr>
        <w:tblPrEx>
          <w:tblCellMar>
            <w:top w:w="0" w:type="dxa"/>
            <w:left w:w="0" w:type="dxa"/>
            <w:bottom w:w="0" w:type="dxa"/>
            <w:right w:w="0" w:type="dxa"/>
          </w:tblCellMar>
        </w:tblPrEx>
        <w:trPr>
          <w:trHeight w:val="255" w:hRule="atLeast"/>
        </w:trPr>
        <w:tc>
          <w:tcPr>
            <w:tcW w:w="2834"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丰都县统计局（本级）</w:t>
            </w: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05</w:t>
            </w:r>
            <w:r>
              <w:rPr>
                <w:rFonts w:cs="宋体"/>
                <w:color w:val="000000"/>
                <w:sz w:val="20"/>
                <w:szCs w:val="20"/>
              </w:rPr>
              <w:t>表</w:t>
            </w:r>
          </w:p>
        </w:tc>
      </w:tr>
      <w:tr>
        <w:tblPrEx>
          <w:tblCellMar>
            <w:top w:w="0" w:type="dxa"/>
            <w:left w:w="0" w:type="dxa"/>
            <w:bottom w:w="0" w:type="dxa"/>
            <w:right w:w="0" w:type="dxa"/>
          </w:tblCellMar>
        </w:tblPrEx>
        <w:trPr>
          <w:trHeight w:val="285" w:hRule="atLeast"/>
        </w:trPr>
        <w:tc>
          <w:tcPr>
            <w:tcW w:w="2834"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76"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088"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08" w:hRule="atLeast"/>
        </w:trPr>
        <w:tc>
          <w:tcPr>
            <w:tcW w:w="1755"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3244"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26" w:hRule="atLeast"/>
        </w:trPr>
        <w:tc>
          <w:tcPr>
            <w:tcW w:w="426"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329"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107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088"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26"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5" w:hRule="atLeast"/>
        </w:trPr>
        <w:tc>
          <w:tcPr>
            <w:tcW w:w="426"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329"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7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088"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08" w:hRule="atLeast"/>
        </w:trPr>
        <w:tc>
          <w:tcPr>
            <w:tcW w:w="1755"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710.28</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445.86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264.41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一般公共服务支出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586.02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321.61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264.41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20105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统计信息事务</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586.02</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321.61</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264.41</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行政运行</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321.61</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321.61</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2010507</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专项普查活动</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136.22</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136.22</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统计抽样调查</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62.55</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62.55</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2010599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其他统计信息事务支出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65.64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65.64</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社会保障和就业支出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20805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71.26</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71.26</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行政单位离退休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0.10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2080505</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机关事业单位基本养老保险缴费支出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33.54</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33.54</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2080506</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机关事业单位职业年金缴费支出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16.93</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16.93</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2080599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其他行政事业单位养老支出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20.70</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20.70</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卫生健康支出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21011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行政事业单位医疗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24.63</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24.63</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行政单位医疗</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15.67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2101199</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其他行政事业单位医疗支出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8.96</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住房保障支出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22102</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b/>
                <w:color w:val="000000"/>
                <w:sz w:val="20"/>
                <w:szCs w:val="20"/>
              </w:rPr>
              <w:t>住房改革支出</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28.37</w:t>
            </w:r>
            <w:r>
              <w:rPr>
                <w:rFonts w:ascii="Times New Roman" w:hAnsi="Times New Roman"/>
                <w:b/>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28.37</w:t>
            </w:r>
            <w:r>
              <w:rPr>
                <w:rFonts w:ascii="Times New Roman" w:hAnsi="Times New Roman"/>
                <w:b/>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08" w:hRule="atLeast"/>
        </w:trPr>
        <w:tc>
          <w:tcPr>
            <w:tcW w:w="426"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2210201</w:t>
            </w:r>
          </w:p>
        </w:tc>
        <w:tc>
          <w:tcPr>
            <w:tcW w:w="132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r>
              <w:rPr>
                <w:rFonts w:cs="宋体"/>
                <w:color w:val="000000"/>
                <w:sz w:val="20"/>
                <w:szCs w:val="20"/>
              </w:rPr>
              <w:t>住房公积金</w:t>
            </w:r>
          </w:p>
        </w:tc>
        <w:tc>
          <w:tcPr>
            <w:tcW w:w="107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28.37</w:t>
            </w:r>
            <w:r>
              <w:rPr>
                <w:rFonts w:ascii="Times New Roman" w:hAnsi="Times New Roman"/>
                <w:color w:val="000000"/>
                <w:sz w:val="20"/>
                <w:u w:color="auto"/>
              </w:rPr>
              <w:t xml:space="preserve"> </w:t>
            </w:r>
          </w:p>
        </w:tc>
        <w:tc>
          <w:tcPr>
            <w:tcW w:w="1076"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28.37</w:t>
            </w:r>
            <w:r>
              <w:rPr>
                <w:rFonts w:ascii="Times New Roman" w:hAnsi="Times New Roman"/>
                <w:color w:val="000000"/>
                <w:sz w:val="20"/>
                <w:u w:color="auto"/>
              </w:rPr>
              <w:t xml:space="preserve"> </w:t>
            </w:r>
          </w:p>
        </w:tc>
        <w:tc>
          <w:tcPr>
            <w:tcW w:w="1088"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备注：1.本表反映单位本年度一般公共预算财政拨款支出情况。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p>
    <w:p>
      <w:pPr>
        <w:ind w:firstLine="630" w:firstLineChars="300"/>
        <w:rPr>
          <w:rFonts w:hint="default" w:cs="宋体"/>
          <w:sz w:val="21"/>
          <w:szCs w:val="21"/>
        </w:rPr>
      </w:pPr>
      <w:r>
        <w:rPr>
          <w:rFonts w:cs="宋体"/>
          <w:sz w:val="21"/>
          <w:szCs w:val="21"/>
        </w:rPr>
        <w:br w:type="page"/>
      </w:r>
    </w:p>
    <w:tbl>
      <w:tblPr>
        <w:tblStyle w:val="10"/>
        <w:tblW w:w="4994" w:type="pct"/>
        <w:tblInd w:w="0" w:type="dxa"/>
        <w:tblLayout w:type="fixed"/>
        <w:tblCellMar>
          <w:top w:w="0" w:type="dxa"/>
          <w:left w:w="0" w:type="dxa"/>
          <w:bottom w:w="0" w:type="dxa"/>
          <w:right w:w="0" w:type="dxa"/>
        </w:tblCellMar>
      </w:tblPr>
      <w:tblGrid>
        <w:gridCol w:w="803"/>
        <w:gridCol w:w="2809"/>
        <w:gridCol w:w="1541"/>
        <w:gridCol w:w="873"/>
        <w:gridCol w:w="2032"/>
        <w:gridCol w:w="1418"/>
        <w:gridCol w:w="873"/>
        <w:gridCol w:w="3463"/>
        <w:gridCol w:w="1492"/>
      </w:tblGrid>
      <w:tr>
        <w:tblPrEx>
          <w:tblCellMar>
            <w:top w:w="0" w:type="dxa"/>
            <w:left w:w="0" w:type="dxa"/>
            <w:bottom w:w="0" w:type="dxa"/>
            <w:right w:w="0" w:type="dxa"/>
          </w:tblCellMar>
        </w:tblPrEx>
        <w:trPr>
          <w:trHeight w:val="90" w:hRule="atLeast"/>
        </w:trPr>
        <w:tc>
          <w:tcPr>
            <w:tcW w:w="5000" w:type="pct"/>
            <w:gridSpan w:val="9"/>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440" w:lineRule="exact"/>
              <w:jc w:val="center"/>
              <w:textAlignment w:val="bottom"/>
              <w:rPr>
                <w:rFonts w:hint="default" w:cs="宋体"/>
                <w:b/>
                <w:color w:val="000000"/>
                <w:sz w:val="32"/>
                <w:szCs w:val="32"/>
              </w:rPr>
            </w:pPr>
            <w:r>
              <w:rPr>
                <w:rFonts w:cs="宋体"/>
                <w:b/>
                <w:color w:val="000000"/>
                <w:sz w:val="32"/>
                <w:szCs w:val="32"/>
              </w:rPr>
              <w:t>一般公共预算财政拨款基本支出决算表</w:t>
            </w:r>
          </w:p>
        </w:tc>
      </w:tr>
      <w:tr>
        <w:tblPrEx>
          <w:tblCellMar>
            <w:top w:w="0" w:type="dxa"/>
            <w:left w:w="0" w:type="dxa"/>
            <w:bottom w:w="0" w:type="dxa"/>
            <w:right w:w="0" w:type="dxa"/>
          </w:tblCellMar>
        </w:tblPrEx>
        <w:trPr>
          <w:trHeight w:val="334" w:hRule="atLeast"/>
        </w:trPr>
        <w:tc>
          <w:tcPr>
            <w:tcW w:w="2632" w:type="pct"/>
            <w:gridSpan w:val="5"/>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18"/>
                <w:szCs w:val="18"/>
              </w:rPr>
            </w:pPr>
            <w:r>
              <w:rPr>
                <w:rFonts w:cs="宋体"/>
                <w:sz w:val="20"/>
                <w:szCs w:val="20"/>
              </w:rPr>
              <w:t>单位</w:t>
            </w:r>
            <w:r>
              <w:rPr>
                <w:rFonts w:cs="宋体"/>
                <w:color w:val="000000"/>
                <w:sz w:val="20"/>
                <w:szCs w:val="20"/>
              </w:rPr>
              <w:t>：</w:t>
            </w:r>
            <w:r>
              <w:rPr>
                <w:color w:val="000000"/>
                <w:sz w:val="20"/>
                <w:u w:color="auto"/>
              </w:rPr>
              <w:t>丰都县统计局（本级）</w:t>
            </w: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06</w:t>
            </w:r>
            <w:r>
              <w:rPr>
                <w:rFonts w:cs="宋体"/>
                <w:color w:val="000000"/>
                <w:sz w:val="20"/>
                <w:szCs w:val="20"/>
              </w:rPr>
              <w:t>表</w:t>
            </w:r>
          </w:p>
        </w:tc>
      </w:tr>
      <w:tr>
        <w:tblPrEx>
          <w:tblCellMar>
            <w:top w:w="0" w:type="dxa"/>
            <w:left w:w="0" w:type="dxa"/>
            <w:bottom w:w="0" w:type="dxa"/>
            <w:right w:w="0" w:type="dxa"/>
          </w:tblCellMar>
        </w:tblPrEx>
        <w:trPr>
          <w:trHeight w:val="520" w:hRule="atLeast"/>
        </w:trPr>
        <w:tc>
          <w:tcPr>
            <w:tcW w:w="2632" w:type="pct"/>
            <w:gridSpan w:val="5"/>
            <w:vMerge w:val="continue"/>
            <w:tcBorders>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63"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285"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1131"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00" w:lineRule="exact"/>
              <w:rPr>
                <w:rFonts w:hint="default" w:cs="宋体"/>
                <w:color w:val="000000"/>
                <w:sz w:val="18"/>
                <w:szCs w:val="18"/>
              </w:rPr>
            </w:pPr>
          </w:p>
        </w:tc>
        <w:tc>
          <w:tcPr>
            <w:tcW w:w="487"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90" w:hRule="atLeast"/>
        </w:trPr>
        <w:tc>
          <w:tcPr>
            <w:tcW w:w="1683" w:type="pct"/>
            <w:gridSpan w:val="3"/>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w:t>
            </w:r>
          </w:p>
        </w:tc>
        <w:tc>
          <w:tcPr>
            <w:tcW w:w="3316" w:type="pct"/>
            <w:gridSpan w:val="6"/>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w:t>
            </w:r>
          </w:p>
        </w:tc>
      </w:tr>
      <w:tr>
        <w:tblPrEx>
          <w:tblCellMar>
            <w:top w:w="0" w:type="dxa"/>
            <w:left w:w="0" w:type="dxa"/>
            <w:bottom w:w="0" w:type="dxa"/>
            <w:right w:w="0" w:type="dxa"/>
          </w:tblCellMar>
        </w:tblPrEx>
        <w:trPr>
          <w:trHeight w:val="312" w:hRule="atLeast"/>
        </w:trPr>
        <w:tc>
          <w:tcPr>
            <w:tcW w:w="26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91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50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6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63"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c>
          <w:tcPr>
            <w:tcW w:w="285"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经济分类科目编码</w:t>
            </w:r>
          </w:p>
        </w:tc>
        <w:tc>
          <w:tcPr>
            <w:tcW w:w="1131"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经济分类科目（按“款”级</w:t>
            </w:r>
            <w:r>
              <w:rPr>
                <w:rFonts w:hint="eastAsia" w:cs="宋体"/>
                <w:b/>
                <w:color w:val="000000"/>
                <w:sz w:val="18"/>
                <w:szCs w:val="18"/>
                <w:lang w:eastAsia="zh-CN"/>
              </w:rPr>
              <w:t>经济</w:t>
            </w:r>
            <w:r>
              <w:rPr>
                <w:rFonts w:cs="宋体"/>
                <w:b/>
                <w:color w:val="000000"/>
                <w:sz w:val="18"/>
                <w:szCs w:val="18"/>
              </w:rPr>
              <w:t>分类科目）</w:t>
            </w:r>
          </w:p>
        </w:tc>
        <w:tc>
          <w:tcPr>
            <w:tcW w:w="487"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金额</w:t>
            </w:r>
          </w:p>
        </w:tc>
      </w:tr>
      <w:tr>
        <w:tblPrEx>
          <w:tblCellMar>
            <w:top w:w="0" w:type="dxa"/>
            <w:left w:w="0" w:type="dxa"/>
            <w:bottom w:w="0" w:type="dxa"/>
            <w:right w:w="0" w:type="dxa"/>
          </w:tblCellMar>
        </w:tblPrEx>
        <w:trPr>
          <w:trHeight w:val="312" w:hRule="atLeast"/>
        </w:trPr>
        <w:tc>
          <w:tcPr>
            <w:tcW w:w="26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91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50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6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63"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285"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1131"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c>
          <w:tcPr>
            <w:tcW w:w="487"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rPr>
                <w:rFonts w:hint="default" w:cs="宋体"/>
                <w:b/>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356.64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60.12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基本工资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87.86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8.46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房屋建筑物购建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津贴补贴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57.29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印刷费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办公设备购置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0.42</w:t>
            </w: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106.67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咨询费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0.15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专用设备购置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伙食补助费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手续费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基础设施建设</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绩效工资</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水费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大型修缮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机关事业单位基本养老保险缴费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33.92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信息网络及软件购置更新</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职业年金缴费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16.96</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邮电费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5.64</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物资储备</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职工基本医疗保险缴费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18.17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取暖费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土地补偿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公务员医疗补助缴费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30209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物业管理费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安置补助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其他社会保障缴费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3.21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差旅费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地上附着物和青苗补偿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住房公积金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29.05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因公出国（境）费用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拆迁补偿</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30114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3.52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维修（护）费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0.05</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30199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其他工资福利支出</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租赁费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0.09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31019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其他交通工具购置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28.69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会议费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文物和陈列品购置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离休费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培训费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0.98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31022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无形资产购置</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30302</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退休费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公务接待费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31099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其他资本性支出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30303</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退职（役）费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30218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专用材料费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312</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30304</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抚恤金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被装购置费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31201</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资本金注入</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30305</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生活补助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26.69</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30225</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专用燃料费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31203</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政府投资基金股权投资</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30306</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救济费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30226</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劳务费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0.61</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31204</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费用补贴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30307</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医疗费补助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2.00</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委托业务费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31205</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利息补贴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30308</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助学金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30228</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工会经费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16.17</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31206</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ind w:firstLine="180" w:firstLineChars="100"/>
              <w:textAlignment w:val="center"/>
              <w:rPr>
                <w:rFonts w:hint="default" w:cs="宋体"/>
                <w:color w:val="000000"/>
                <w:sz w:val="18"/>
                <w:szCs w:val="18"/>
              </w:rPr>
            </w:pPr>
            <w:r>
              <w:rPr>
                <w:rFonts w:cs="宋体"/>
                <w:color w:val="000000"/>
                <w:sz w:val="18"/>
                <w:szCs w:val="18"/>
              </w:rPr>
              <w:t>其他资本性补助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30309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奖励金</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30229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福利费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31299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其他对企业补助</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30310</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个人农业生产补贴</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公务用车运行维护费</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2.28</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30311</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代缴社会保险费</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30239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其他交通费用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14.03</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39907</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国家赔偿费用支出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30399</w:t>
            </w: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其他对个人和家庭的补助</w:t>
            </w: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30240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税金及附加费用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39908</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对民间非营利组织和群众性自治组织补贴</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30299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其他商品和服务支出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5.32</w:t>
            </w: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39909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经常性赠与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307</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b/>
                <w:bCs/>
                <w:color w:val="000000"/>
                <w:sz w:val="18"/>
                <w:szCs w:val="18"/>
              </w:rPr>
            </w:pPr>
            <w:r>
              <w:rPr>
                <w:rFonts w:cs="宋体"/>
                <w:b/>
                <w:bCs/>
                <w:color w:val="000000"/>
                <w:sz w:val="18"/>
                <w:szCs w:val="18"/>
              </w:rPr>
              <w:t>债务利息及费用支出</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39910</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资本性赠与</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30701</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39999</w:t>
            </w: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其他支出</w:t>
            </w: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30702</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国外债务付息</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90"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30703</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国内债务发行费用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155" w:hRule="atLeast"/>
        </w:trPr>
        <w:tc>
          <w:tcPr>
            <w:tcW w:w="262"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91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30704</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textAlignment w:val="center"/>
              <w:rPr>
                <w:rFonts w:hint="default" w:cs="宋体"/>
                <w:color w:val="000000"/>
                <w:sz w:val="18"/>
                <w:szCs w:val="18"/>
              </w:rPr>
            </w:pPr>
            <w:r>
              <w:rPr>
                <w:rFonts w:cs="宋体"/>
                <w:color w:val="000000"/>
                <w:sz w:val="18"/>
                <w:szCs w:val="18"/>
              </w:rPr>
              <w:t xml:space="preserve">  国外债务发行费用</w:t>
            </w: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ascii="Times New Roman" w:hAnsi="Times New Roman"/>
                <w:color w:val="000000"/>
                <w:sz w:val="18"/>
                <w:u w:color="auto"/>
              </w:rPr>
              <w:t xml:space="preserve"> </w:t>
            </w:r>
          </w:p>
        </w:tc>
        <w:tc>
          <w:tcPr>
            <w:tcW w:w="285"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1131"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rPr>
                <w:rFonts w:hint="default" w:cs="宋体"/>
                <w:color w:val="000000"/>
                <w:sz w:val="18"/>
                <w:szCs w:val="18"/>
              </w:rPr>
            </w:pPr>
          </w:p>
        </w:tc>
        <w:tc>
          <w:tcPr>
            <w:tcW w:w="487"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rPr>
                <w:rFonts w:hint="default" w:ascii="Times New Roman" w:hAnsi="Times New Roman"/>
                <w:color w:val="000000"/>
                <w:sz w:val="18"/>
                <w:szCs w:val="18"/>
              </w:rPr>
            </w:pPr>
          </w:p>
        </w:tc>
      </w:tr>
      <w:tr>
        <w:tblPrEx>
          <w:tblCellMar>
            <w:top w:w="0" w:type="dxa"/>
            <w:left w:w="0" w:type="dxa"/>
            <w:bottom w:w="0" w:type="dxa"/>
            <w:right w:w="0" w:type="dxa"/>
          </w:tblCellMar>
        </w:tblPrEx>
        <w:trPr>
          <w:trHeight w:val="310" w:hRule="atLeast"/>
        </w:trPr>
        <w:tc>
          <w:tcPr>
            <w:tcW w:w="1180" w:type="pct"/>
            <w:gridSpan w:val="2"/>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人员经费合计</w:t>
            </w:r>
          </w:p>
        </w:tc>
        <w:tc>
          <w:tcPr>
            <w:tcW w:w="503"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192" w:lineRule="exact"/>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385.33</w:t>
            </w:r>
            <w:r>
              <w:rPr>
                <w:rFonts w:ascii="Times New Roman" w:hAnsi="Times New Roman"/>
                <w:color w:val="000000"/>
                <w:sz w:val="18"/>
                <w:u w:color="auto"/>
              </w:rPr>
              <w:t xml:space="preserve"> </w:t>
            </w:r>
          </w:p>
        </w:tc>
        <w:tc>
          <w:tcPr>
            <w:tcW w:w="2828" w:type="pct"/>
            <w:gridSpan w:val="5"/>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center"/>
              <w:textAlignment w:val="center"/>
              <w:rPr>
                <w:rFonts w:hint="default" w:cs="宋体"/>
                <w:b/>
                <w:color w:val="000000"/>
                <w:sz w:val="18"/>
                <w:szCs w:val="18"/>
              </w:rPr>
            </w:pPr>
            <w:r>
              <w:rPr>
                <w:rFonts w:cs="宋体"/>
                <w:b/>
                <w:color w:val="000000"/>
                <w:sz w:val="18"/>
                <w:szCs w:val="18"/>
              </w:rPr>
              <w:t>公用经费合计</w:t>
            </w:r>
          </w:p>
        </w:tc>
        <w:tc>
          <w:tcPr>
            <w:tcW w:w="487"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192" w:lineRule="exact"/>
              <w:jc w:val="right"/>
              <w:textAlignment w:val="center"/>
              <w:rPr>
                <w:rFonts w:hint="default" w:ascii="Times New Roman" w:hAnsi="Times New Roman"/>
                <w:color w:val="000000"/>
                <w:sz w:val="18"/>
                <w:szCs w:val="18"/>
              </w:rPr>
            </w:pPr>
            <w:r>
              <w:rPr>
                <w:rFonts w:hint="default" w:ascii="Times New Roman" w:hAnsi="Times New Roman"/>
                <w:color w:val="000000"/>
                <w:sz w:val="18"/>
                <w:szCs w:val="18"/>
              </w:rPr>
              <w:t>60.54</w:t>
            </w:r>
            <w:r>
              <w:rPr>
                <w:rFonts w:ascii="Times New Roman" w:hAnsi="Times New Roman"/>
                <w:color w:val="000000"/>
                <w:sz w:val="18"/>
                <w:u w:color="auto"/>
              </w:rPr>
              <w:t xml:space="preserve"> </w:t>
            </w:r>
          </w:p>
        </w:tc>
      </w:tr>
    </w:tbl>
    <w:p>
      <w:pPr>
        <w:keepNext w:val="0"/>
        <w:keepLines w:val="0"/>
        <w:pageBreakBefore w:val="0"/>
        <w:widowControl/>
        <w:kinsoku/>
        <w:wordWrap/>
        <w:overflowPunct/>
        <w:topLinePunct w:val="0"/>
        <w:autoSpaceDE/>
        <w:autoSpaceDN/>
        <w:bidi w:val="0"/>
        <w:adjustRightInd/>
        <w:snapToGrid/>
        <w:spacing w:line="280" w:lineRule="exact"/>
        <w:rPr>
          <w:rFonts w:hint="default" w:cs="宋体"/>
          <w:sz w:val="20"/>
          <w:szCs w:val="20"/>
        </w:rPr>
      </w:pPr>
      <w:r>
        <w:rPr>
          <w:rFonts w:cs="宋体"/>
          <w:sz w:val="20"/>
          <w:szCs w:val="20"/>
        </w:rPr>
        <w:t>备注：1.本表反映单位本年度一般公共预算财政拨款基本支出明细情况。</w:t>
      </w:r>
      <w:r>
        <w:rPr>
          <w:rFonts w:cs="宋体"/>
          <w:sz w:val="20"/>
          <w:szCs w:val="20"/>
        </w:rPr>
        <w:br w:type="textWrapping"/>
      </w:r>
      <w:r>
        <w:rPr>
          <w:rFonts w:cs="宋体"/>
          <w:sz w:val="20"/>
          <w:szCs w:val="20"/>
        </w:rPr>
        <w:t xml:space="preserve">      2.本套报表金额单位转换时可能存在尾数误差。</w:t>
      </w:r>
      <w:r>
        <w:rPr>
          <w:rFonts w:cs="宋体"/>
          <w:sz w:val="20"/>
          <w:szCs w:val="20"/>
        </w:rPr>
        <w:br w:type="textWrapping"/>
      </w:r>
      <w:r>
        <w:rPr>
          <w:rFonts w:cs="宋体"/>
          <w:sz w:val="20"/>
          <w:szCs w:val="20"/>
        </w:rPr>
        <w:br w:type="textWrapping"/>
      </w: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320"/>
        <w:gridCol w:w="3594"/>
        <w:gridCol w:w="1701"/>
        <w:gridCol w:w="1701"/>
        <w:gridCol w:w="1701"/>
        <w:gridCol w:w="1701"/>
        <w:gridCol w:w="1765"/>
        <w:gridCol w:w="1839"/>
      </w:tblGrid>
      <w:tr>
        <w:tblPrEx>
          <w:tblCellMar>
            <w:top w:w="0" w:type="dxa"/>
            <w:left w:w="0" w:type="dxa"/>
            <w:bottom w:w="0" w:type="dxa"/>
            <w:right w:w="0" w:type="dxa"/>
          </w:tblCellMar>
        </w:tblPrEx>
        <w:trPr>
          <w:trHeight w:val="644" w:hRule="atLeast"/>
        </w:trPr>
        <w:tc>
          <w:tcPr>
            <w:tcW w:w="5000" w:type="pct"/>
            <w:gridSpan w:val="8"/>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政府性基金预算财政拨款收入支出决算表</w:t>
            </w:r>
          </w:p>
        </w:tc>
      </w:tr>
      <w:tr>
        <w:tblPrEx>
          <w:tblCellMar>
            <w:top w:w="0" w:type="dxa"/>
            <w:left w:w="0" w:type="dxa"/>
            <w:bottom w:w="0" w:type="dxa"/>
            <w:right w:w="0" w:type="dxa"/>
          </w:tblCellMar>
        </w:tblPrEx>
        <w:trPr>
          <w:trHeight w:val="329" w:hRule="atLeast"/>
        </w:trPr>
        <w:tc>
          <w:tcPr>
            <w:tcW w:w="2159"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丰都县统计局（本级）</w:t>
            </w: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07</w:t>
            </w:r>
            <w:r>
              <w:rPr>
                <w:rFonts w:cs="宋体"/>
                <w:color w:val="000000"/>
                <w:sz w:val="20"/>
                <w:szCs w:val="20"/>
              </w:rPr>
              <w:t>表</w:t>
            </w:r>
          </w:p>
        </w:tc>
      </w:tr>
      <w:tr>
        <w:tblPrEx>
          <w:tblCellMar>
            <w:top w:w="0" w:type="dxa"/>
            <w:left w:w="0" w:type="dxa"/>
            <w:bottom w:w="0" w:type="dxa"/>
            <w:right w:w="0" w:type="dxa"/>
          </w:tblCellMar>
        </w:tblPrEx>
        <w:trPr>
          <w:trHeight w:val="329" w:hRule="atLeast"/>
        </w:trPr>
        <w:tc>
          <w:tcPr>
            <w:tcW w:w="2159"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5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75" w:type="pct"/>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59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339" w:hRule="atLeast"/>
        </w:trPr>
        <w:tc>
          <w:tcPr>
            <w:tcW w:w="1604"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w:t>
            </w:r>
          </w:p>
        </w:tc>
        <w:tc>
          <w:tcPr>
            <w:tcW w:w="555" w:type="pct"/>
            <w:vMerge w:val="restar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年初结转和结余</w:t>
            </w:r>
          </w:p>
        </w:tc>
        <w:tc>
          <w:tcPr>
            <w:tcW w:w="555"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本年收入</w:t>
            </w:r>
          </w:p>
        </w:tc>
        <w:tc>
          <w:tcPr>
            <w:tcW w:w="1686" w:type="pct"/>
            <w:gridSpan w:val="3"/>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本年支出</w:t>
            </w:r>
          </w:p>
        </w:tc>
        <w:tc>
          <w:tcPr>
            <w:tcW w:w="599"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年末结转和结余</w:t>
            </w:r>
          </w:p>
        </w:tc>
      </w:tr>
      <w:tr>
        <w:tblPrEx>
          <w:tblCellMar>
            <w:top w:w="0" w:type="dxa"/>
            <w:left w:w="0" w:type="dxa"/>
            <w:bottom w:w="0" w:type="dxa"/>
            <w:right w:w="0" w:type="dxa"/>
          </w:tblCellMar>
        </w:tblPrEx>
        <w:trPr>
          <w:trHeight w:val="335" w:hRule="atLeast"/>
        </w:trPr>
        <w:tc>
          <w:tcPr>
            <w:tcW w:w="431"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73" w:type="pct"/>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项目（按“项”级功能分类科目）</w:t>
            </w: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575"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45" w:hRule="atLeast"/>
        </w:trPr>
        <w:tc>
          <w:tcPr>
            <w:tcW w:w="431"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73"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5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75"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599" w:type="pct"/>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1604" w:type="pct"/>
            <w:gridSpan w:val="2"/>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349" w:hRule="atLeast"/>
        </w:trPr>
        <w:tc>
          <w:tcPr>
            <w:tcW w:w="431"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1173"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both"/>
              <w:textAlignment w:val="center"/>
              <w:rPr>
                <w:rFonts w:hint="default" w:cs="宋体"/>
                <w:color w:val="000000"/>
                <w:sz w:val="20"/>
                <w:szCs w:val="20"/>
              </w:rPr>
            </w:pP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5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75"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c>
          <w:tcPr>
            <w:tcW w:w="599"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0.00</w:t>
            </w:r>
            <w:r>
              <w:rPr>
                <w:rFonts w:ascii="Times New Roman" w:hAnsi="Times New Roman"/>
                <w:color w:val="000000"/>
                <w:sz w:val="20"/>
                <w:u w:color="auto"/>
              </w:rPr>
              <w:t xml:space="preserve"> </w:t>
            </w:r>
          </w:p>
        </w:tc>
      </w:tr>
    </w:tbl>
    <w:p>
      <w:pPr>
        <w:rPr>
          <w:rFonts w:hint="default" w:cs="宋体"/>
          <w:sz w:val="21"/>
          <w:szCs w:val="21"/>
        </w:rPr>
      </w:pPr>
      <w:r>
        <w:rPr>
          <w:rFonts w:cs="宋体"/>
          <w:sz w:val="20"/>
          <w:szCs w:val="20"/>
        </w:rPr>
        <w:t>备注：本表反映单位本年度政府性基金预算财政拨款收入支出及结转和结余情况。本单位无政府性基金收支，故本表无数据。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cs="宋体"/>
          <w:sz w:val="21"/>
          <w:szCs w:val="21"/>
        </w:rPr>
        <w:br w:type="page"/>
      </w:r>
    </w:p>
    <w:tbl>
      <w:tblPr>
        <w:tblStyle w:val="10"/>
        <w:tblW w:w="5000" w:type="pct"/>
        <w:tblInd w:w="0" w:type="dxa"/>
        <w:tblLayout w:type="fixed"/>
        <w:tblCellMar>
          <w:top w:w="0" w:type="dxa"/>
          <w:left w:w="0" w:type="dxa"/>
          <w:bottom w:w="0" w:type="dxa"/>
          <w:right w:w="0" w:type="dxa"/>
        </w:tblCellMar>
      </w:tblPr>
      <w:tblGrid>
        <w:gridCol w:w="1293"/>
        <w:gridCol w:w="3616"/>
        <w:gridCol w:w="3273"/>
        <w:gridCol w:w="190"/>
        <w:gridCol w:w="3463"/>
        <w:gridCol w:w="86"/>
        <w:gridCol w:w="3401"/>
      </w:tblGrid>
      <w:tr>
        <w:tblPrEx>
          <w:tblCellMar>
            <w:top w:w="0" w:type="dxa"/>
            <w:left w:w="0" w:type="dxa"/>
            <w:bottom w:w="0" w:type="dxa"/>
            <w:right w:w="0" w:type="dxa"/>
          </w:tblCellMar>
        </w:tblPrEx>
        <w:trPr>
          <w:trHeight w:val="650" w:hRule="atLeast"/>
        </w:trPr>
        <w:tc>
          <w:tcPr>
            <w:tcW w:w="5000" w:type="pct"/>
            <w:gridSpan w:val="7"/>
            <w:tcBorders>
              <w:top w:val="nil"/>
              <w:left w:val="nil"/>
              <w:bottom w:val="nil"/>
              <w:right w:val="nil"/>
            </w:tcBorders>
            <w:shd w:val="clear" w:color="auto" w:fill="auto"/>
            <w:noWrap/>
            <w:tcMar>
              <w:top w:w="15" w:type="dxa"/>
              <w:left w:w="15" w:type="dxa"/>
              <w:right w:w="15" w:type="dxa"/>
            </w:tcMar>
            <w:vAlign w:val="bottom"/>
          </w:tcPr>
          <w:p>
            <w:pPr>
              <w:jc w:val="center"/>
              <w:textAlignment w:val="bottom"/>
              <w:rPr>
                <w:rFonts w:hint="default" w:cs="宋体"/>
                <w:b/>
                <w:color w:val="000000"/>
                <w:sz w:val="32"/>
                <w:szCs w:val="32"/>
              </w:rPr>
            </w:pPr>
            <w:r>
              <w:rPr>
                <w:rFonts w:cs="宋体"/>
                <w:b/>
                <w:color w:val="000000"/>
                <w:sz w:val="32"/>
                <w:szCs w:val="32"/>
              </w:rPr>
              <w:t>国有资本经营预算财政拨款支出决算表</w:t>
            </w:r>
          </w:p>
        </w:tc>
      </w:tr>
      <w:tr>
        <w:tblPrEx>
          <w:tblCellMar>
            <w:top w:w="0" w:type="dxa"/>
            <w:left w:w="0" w:type="dxa"/>
            <w:bottom w:w="0" w:type="dxa"/>
            <w:right w:w="0" w:type="dxa"/>
          </w:tblCellMar>
        </w:tblPrEx>
        <w:trPr>
          <w:trHeight w:val="332" w:hRule="atLeast"/>
        </w:trPr>
        <w:tc>
          <w:tcPr>
            <w:tcW w:w="2670" w:type="pct"/>
            <w:gridSpan w:val="3"/>
            <w:vMerge w:val="restart"/>
            <w:tcBorders>
              <w:top w:val="nil"/>
              <w:left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textAlignment w:val="auto"/>
              <w:rPr>
                <w:rFonts w:hint="default" w:cs="宋体"/>
                <w:color w:val="000000"/>
                <w:sz w:val="20"/>
                <w:szCs w:val="20"/>
              </w:rPr>
            </w:pPr>
            <w:r>
              <w:rPr>
                <w:rFonts w:cs="宋体"/>
                <w:sz w:val="20"/>
                <w:szCs w:val="20"/>
              </w:rPr>
              <w:t>单位</w:t>
            </w:r>
            <w:r>
              <w:rPr>
                <w:rFonts w:cs="宋体"/>
                <w:color w:val="000000"/>
                <w:sz w:val="20"/>
                <w:szCs w:val="20"/>
              </w:rPr>
              <w:t>：</w:t>
            </w:r>
            <w:r>
              <w:rPr>
                <w:color w:val="000000"/>
                <w:sz w:val="20"/>
                <w:u w:color="auto"/>
              </w:rPr>
              <w:t>丰都县统计局（本级）</w:t>
            </w: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公开</w:t>
            </w:r>
            <w:r>
              <w:rPr>
                <w:rFonts w:hint="default" w:ascii="Times New Roman" w:hAnsi="Times New Roman" w:cs="Times New Roman"/>
                <w:color w:val="000000"/>
                <w:sz w:val="20"/>
                <w:szCs w:val="20"/>
              </w:rPr>
              <w:t>08</w:t>
            </w:r>
            <w:r>
              <w:rPr>
                <w:rFonts w:cs="宋体"/>
                <w:color w:val="000000"/>
                <w:sz w:val="20"/>
                <w:szCs w:val="20"/>
              </w:rPr>
              <w:t>表</w:t>
            </w:r>
          </w:p>
        </w:tc>
      </w:tr>
      <w:tr>
        <w:tblPrEx>
          <w:tblCellMar>
            <w:top w:w="0" w:type="dxa"/>
            <w:left w:w="0" w:type="dxa"/>
            <w:bottom w:w="0" w:type="dxa"/>
            <w:right w:w="0" w:type="dxa"/>
          </w:tblCellMar>
        </w:tblPrEx>
        <w:trPr>
          <w:trHeight w:val="332" w:hRule="atLeast"/>
        </w:trPr>
        <w:tc>
          <w:tcPr>
            <w:tcW w:w="2670" w:type="pct"/>
            <w:gridSpan w:val="3"/>
            <w:vMerge w:val="continue"/>
            <w:tcBorders>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220" w:type="pct"/>
            <w:gridSpan w:val="3"/>
            <w:tcBorders>
              <w:top w:val="nil"/>
              <w:left w:val="nil"/>
              <w:bottom w:val="nil"/>
              <w:right w:val="nil"/>
            </w:tcBorders>
            <w:shd w:val="clear" w:color="auto" w:fill="auto"/>
            <w:noWrap/>
            <w:tcMar>
              <w:top w:w="15" w:type="dxa"/>
              <w:left w:w="15" w:type="dxa"/>
              <w:right w:w="15" w:type="dxa"/>
            </w:tcMar>
            <w:vAlign w:val="bottom"/>
          </w:tcPr>
          <w:p>
            <w:pPr>
              <w:rPr>
                <w:rFonts w:hint="default" w:cs="宋体"/>
                <w:color w:val="000000"/>
                <w:sz w:val="20"/>
                <w:szCs w:val="20"/>
              </w:rPr>
            </w:pPr>
          </w:p>
        </w:tc>
        <w:tc>
          <w:tcPr>
            <w:tcW w:w="1109" w:type="pct"/>
            <w:tcBorders>
              <w:top w:val="nil"/>
              <w:left w:val="nil"/>
              <w:bottom w:val="nil"/>
              <w:right w:val="nil"/>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textAlignment w:val="bottom"/>
              <w:rPr>
                <w:rFonts w:hint="default" w:cs="宋体"/>
                <w:color w:val="000000"/>
                <w:sz w:val="20"/>
                <w:szCs w:val="20"/>
              </w:rPr>
            </w:pPr>
            <w:r>
              <w:rPr>
                <w:rFonts w:cs="宋体"/>
                <w:color w:val="000000"/>
                <w:sz w:val="20"/>
                <w:szCs w:val="20"/>
              </w:rPr>
              <w:t>单位：</w:t>
            </w:r>
            <w:r>
              <w:rPr>
                <w:rFonts w:cs="宋体"/>
                <w:sz w:val="20"/>
                <w:szCs w:val="20"/>
              </w:rPr>
              <w:t>万元</w:t>
            </w:r>
          </w:p>
        </w:tc>
      </w:tr>
      <w:tr>
        <w:tblPrEx>
          <w:tblCellMar>
            <w:top w:w="0" w:type="dxa"/>
            <w:left w:w="0" w:type="dxa"/>
            <w:bottom w:w="0" w:type="dxa"/>
            <w:right w:w="0" w:type="dxa"/>
          </w:tblCellMar>
        </w:tblPrEx>
        <w:trPr>
          <w:trHeight w:val="422"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项目</w:t>
            </w:r>
          </w:p>
        </w:tc>
        <w:tc>
          <w:tcPr>
            <w:tcW w:w="3397" w:type="pct"/>
            <w:gridSpan w:val="5"/>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bottom"/>
          </w:tcPr>
          <w:p>
            <w:pPr>
              <w:jc w:val="center"/>
              <w:textAlignment w:val="bottom"/>
              <w:rPr>
                <w:rFonts w:hint="default" w:cs="宋体"/>
                <w:b/>
                <w:color w:val="000000"/>
                <w:sz w:val="20"/>
                <w:szCs w:val="20"/>
              </w:rPr>
            </w:pPr>
            <w:r>
              <w:rPr>
                <w:rFonts w:cs="宋体"/>
                <w:b/>
                <w:color w:val="000000"/>
                <w:sz w:val="20"/>
                <w:szCs w:val="20"/>
              </w:rPr>
              <w:t>本年支出</w:t>
            </w:r>
          </w:p>
        </w:tc>
      </w:tr>
      <w:tr>
        <w:tblPrEx>
          <w:tblCellMar>
            <w:top w:w="0" w:type="dxa"/>
            <w:left w:w="0" w:type="dxa"/>
            <w:bottom w:w="0" w:type="dxa"/>
            <w:right w:w="0" w:type="dxa"/>
          </w:tblCellMar>
        </w:tblPrEx>
        <w:trPr>
          <w:trHeight w:val="339" w:hRule="atLeast"/>
        </w:trPr>
        <w:tc>
          <w:tcPr>
            <w:tcW w:w="422" w:type="pct"/>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功能分类科目编码</w:t>
            </w:r>
          </w:p>
        </w:tc>
        <w:tc>
          <w:tcPr>
            <w:tcW w:w="118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科目名称</w:t>
            </w:r>
          </w:p>
        </w:tc>
        <w:tc>
          <w:tcPr>
            <w:tcW w:w="1130" w:type="pct"/>
            <w:gridSpan w:val="2"/>
            <w:vMerge w:val="restart"/>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基本支出</w:t>
            </w:r>
          </w:p>
        </w:tc>
        <w:tc>
          <w:tcPr>
            <w:tcW w:w="1136" w:type="pct"/>
            <w:gridSpan w:val="2"/>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项目支出</w:t>
            </w: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39"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326" w:hRule="atLeast"/>
        </w:trPr>
        <w:tc>
          <w:tcPr>
            <w:tcW w:w="422" w:type="pct"/>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8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gridSpan w:val="2"/>
            <w:vMerge w:val="continue"/>
            <w:tcBorders>
              <w:top w:val="nil"/>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0"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c>
          <w:tcPr>
            <w:tcW w:w="1136" w:type="pct"/>
            <w:gridSpan w:val="2"/>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pPr>
              <w:jc w:val="center"/>
              <w:rPr>
                <w:rFonts w:hint="default" w:cs="宋体"/>
                <w:b/>
                <w:color w:val="000000"/>
                <w:sz w:val="20"/>
                <w:szCs w:val="20"/>
              </w:rPr>
            </w:pPr>
          </w:p>
        </w:tc>
      </w:tr>
      <w:tr>
        <w:tblPrEx>
          <w:tblCellMar>
            <w:top w:w="0" w:type="dxa"/>
            <w:left w:w="0" w:type="dxa"/>
            <w:bottom w:w="0" w:type="dxa"/>
            <w:right w:w="0" w:type="dxa"/>
          </w:tblCellMar>
        </w:tblPrEx>
        <w:trPr>
          <w:trHeight w:val="611" w:hRule="atLeast"/>
        </w:trPr>
        <w:tc>
          <w:tcPr>
            <w:tcW w:w="1602" w:type="pct"/>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textAlignment w:val="center"/>
              <w:rPr>
                <w:rFonts w:hint="default" w:cs="宋体"/>
                <w:b/>
                <w:color w:val="000000"/>
                <w:sz w:val="20"/>
                <w:szCs w:val="20"/>
              </w:rPr>
            </w:pPr>
            <w:r>
              <w:rPr>
                <w:rFonts w:cs="宋体"/>
                <w:b/>
                <w:color w:val="000000"/>
                <w:sz w:val="20"/>
                <w:szCs w:val="20"/>
              </w:rPr>
              <w:t>合计</w:t>
            </w: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b/>
                <w:bCs/>
                <w:color w:val="000000"/>
                <w:sz w:val="20"/>
                <w:szCs w:val="20"/>
              </w:rPr>
              <w:t>0.00</w:t>
            </w:r>
            <w:r>
              <w:rPr>
                <w:rFonts w:ascii="Times New Roman" w:hAnsi="Times New Roman"/>
                <w:b/>
                <w:color w:val="000000"/>
                <w:sz w:val="20"/>
                <w:u w:color="auto"/>
              </w:rPr>
              <w:t xml:space="preserve"> </w:t>
            </w:r>
          </w:p>
        </w:tc>
      </w:tr>
      <w:tr>
        <w:tblPrEx>
          <w:tblCellMar>
            <w:top w:w="0" w:type="dxa"/>
            <w:left w:w="0" w:type="dxa"/>
            <w:bottom w:w="0" w:type="dxa"/>
            <w:right w:w="0" w:type="dxa"/>
          </w:tblCellMar>
        </w:tblPrEx>
        <w:trPr>
          <w:trHeight w:val="488" w:hRule="atLeast"/>
        </w:trPr>
        <w:tc>
          <w:tcPr>
            <w:tcW w:w="422" w:type="pct"/>
            <w:tcBorders>
              <w:top w:val="nil"/>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8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textAlignment w:val="center"/>
              <w:rPr>
                <w:rFonts w:hint="default" w:cs="宋体"/>
                <w:color w:val="000000"/>
                <w:sz w:val="20"/>
                <w:szCs w:val="20"/>
              </w:rPr>
            </w:pPr>
          </w:p>
        </w:tc>
        <w:tc>
          <w:tcPr>
            <w:tcW w:w="1130"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c>
          <w:tcPr>
            <w:tcW w:w="1130" w:type="pct"/>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jc w:val="right"/>
              <w:rPr>
                <w:rFonts w:hint="default" w:ascii="Times New Roman" w:hAnsi="Times New Roman"/>
                <w:b/>
                <w:color w:val="000000"/>
                <w:sz w:val="20"/>
                <w:szCs w:val="20"/>
              </w:rPr>
            </w:pPr>
          </w:p>
        </w:tc>
        <w:tc>
          <w:tcPr>
            <w:tcW w:w="1136" w:type="pct"/>
            <w:gridSpan w:val="2"/>
            <w:tcBorders>
              <w:top w:val="nil"/>
              <w:left w:val="nil"/>
              <w:bottom w:val="single" w:color="000000" w:sz="4" w:space="0"/>
              <w:right w:val="single" w:color="000000" w:sz="4" w:space="0"/>
            </w:tcBorders>
            <w:shd w:val="clear" w:color="auto" w:fill="auto"/>
            <w:noWrap/>
            <w:tcMar>
              <w:top w:w="15" w:type="dxa"/>
              <w:left w:w="15" w:type="dxa"/>
              <w:right w:w="15" w:type="dxa"/>
            </w:tcMar>
            <w:vAlign w:val="center"/>
          </w:tcPr>
          <w:p>
            <w:pPr>
              <w:wordWrap w:val="0"/>
              <w:jc w:val="right"/>
              <w:textAlignment w:val="center"/>
              <w:rPr>
                <w:rFonts w:hint="default" w:ascii="Times New Roman" w:hAnsi="Times New Roman"/>
                <w:b/>
                <w:color w:val="000000"/>
                <w:sz w:val="20"/>
                <w:szCs w:val="20"/>
              </w:rPr>
            </w:pPr>
            <w:r>
              <w:rPr>
                <w:rFonts w:hint="default" w:ascii="Times New Roman" w:hAnsi="Times New Roman"/>
                <w:color w:val="000000"/>
                <w:sz w:val="20"/>
                <w:szCs w:val="20"/>
              </w:rPr>
              <w:t xml:space="preserve">0.00 </w:t>
            </w:r>
          </w:p>
        </w:tc>
      </w:tr>
    </w:tbl>
    <w:p>
      <w:pPr>
        <w:rPr>
          <w:rFonts w:hint="default" w:cs="宋体"/>
          <w:sz w:val="21"/>
          <w:szCs w:val="21"/>
        </w:rPr>
      </w:pPr>
      <w:r>
        <w:rPr>
          <w:rFonts w:cs="宋体"/>
          <w:sz w:val="20"/>
          <w:szCs w:val="20"/>
        </w:rPr>
        <w:t>备注：本表反映单位本年度国有资本经营预算财政拨款支出情况。本单位无国有资本经营收支，故本表无数据。</w:t>
      </w:r>
      <w:r>
        <w:rPr>
          <w:rFonts w:cs="宋体"/>
          <w:sz w:val="20"/>
          <w:szCs w:val="20"/>
        </w:rPr>
        <w:br w:type="textWrapping"/>
      </w:r>
      <w:r>
        <w:rPr>
          <w:rFonts w:cs="宋体"/>
          <w:sz w:val="20"/>
          <w:szCs w:val="20"/>
        </w:rPr>
        <w:br w:type="textWrapping"/>
      </w:r>
    </w:p>
    <w:p>
      <w:pPr>
        <w:rPr>
          <w:rFonts w:hint="default" w:cs="宋体"/>
          <w:sz w:val="21"/>
          <w:szCs w:val="21"/>
        </w:rPr>
      </w:pPr>
      <w:r>
        <w:rPr>
          <w:rFonts w:hint="default" w:cs="宋体"/>
          <w:sz w:val="21"/>
          <w:szCs w:val="21"/>
        </w:rPr>
        <w:br w:type="page"/>
      </w:r>
    </w:p>
    <w:tbl>
      <w:tblPr>
        <w:tblStyle w:val="10"/>
        <w:tblW w:w="4611" w:type="pct"/>
        <w:tblInd w:w="0" w:type="dxa"/>
        <w:tblLayout w:type="fixed"/>
        <w:tblCellMar>
          <w:top w:w="0" w:type="dxa"/>
          <w:left w:w="170" w:type="dxa"/>
          <w:bottom w:w="0" w:type="dxa"/>
          <w:right w:w="170" w:type="dxa"/>
        </w:tblCellMar>
      </w:tblPr>
      <w:tblGrid>
        <w:gridCol w:w="3179"/>
        <w:gridCol w:w="2416"/>
        <w:gridCol w:w="2375"/>
        <w:gridCol w:w="3674"/>
        <w:gridCol w:w="2487"/>
      </w:tblGrid>
      <w:tr>
        <w:tblPrEx>
          <w:tblCellMar>
            <w:top w:w="0" w:type="dxa"/>
            <w:left w:w="170" w:type="dxa"/>
            <w:bottom w:w="0" w:type="dxa"/>
            <w:right w:w="170" w:type="dxa"/>
          </w:tblCellMar>
        </w:tblPrEx>
        <w:trPr>
          <w:trHeight w:val="343" w:hRule="atLeast"/>
        </w:trPr>
        <w:tc>
          <w:tcPr>
            <w:tcW w:w="5000" w:type="pct"/>
            <w:gridSpan w:val="5"/>
            <w:shd w:val="clear" w:color="auto" w:fill="auto"/>
            <w:noWrap/>
            <w:tcMar>
              <w:top w:w="15" w:type="dxa"/>
              <w:left w:w="15" w:type="dxa"/>
              <w:right w:w="15" w:type="dxa"/>
            </w:tcMar>
            <w:vAlign w:val="bottom"/>
          </w:tcPr>
          <w:p>
            <w:pPr>
              <w:spacing w:line="400" w:lineRule="exact"/>
              <w:jc w:val="center"/>
              <w:textAlignment w:val="bottom"/>
              <w:rPr>
                <w:rFonts w:hint="default" w:cs="宋体"/>
                <w:b/>
                <w:color w:val="000000"/>
                <w:kern w:val="2"/>
                <w:sz w:val="32"/>
                <w:szCs w:val="32"/>
              </w:rPr>
            </w:pPr>
            <w:r>
              <w:rPr>
                <w:rFonts w:cs="宋体"/>
                <w:b/>
                <w:color w:val="000000"/>
                <w:kern w:val="2"/>
                <w:sz w:val="32"/>
                <w:szCs w:val="32"/>
              </w:rPr>
              <w:t>机构运行信息表</w:t>
            </w:r>
          </w:p>
        </w:tc>
      </w:tr>
      <w:tr>
        <w:tblPrEx>
          <w:tblCellMar>
            <w:top w:w="0" w:type="dxa"/>
            <w:left w:w="170" w:type="dxa"/>
            <w:bottom w:w="0" w:type="dxa"/>
            <w:right w:w="170" w:type="dxa"/>
          </w:tblCellMar>
        </w:tblPrEx>
        <w:trPr>
          <w:trHeight w:val="244" w:hRule="atLeast"/>
        </w:trPr>
        <w:tc>
          <w:tcPr>
            <w:tcW w:w="1124"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54" w:type="pct"/>
            <w:shd w:val="clear" w:color="auto" w:fill="auto"/>
            <w:noWrap/>
            <w:tcMar>
              <w:top w:w="15" w:type="dxa"/>
              <w:left w:w="15" w:type="dxa"/>
              <w:right w:w="15" w:type="dxa"/>
            </w:tcMar>
            <w:vAlign w:val="bottom"/>
          </w:tcPr>
          <w:p>
            <w:pPr>
              <w:spacing w:line="280" w:lineRule="exact"/>
              <w:jc w:val="center"/>
              <w:rPr>
                <w:rFonts w:hint="default" w:cs="宋体"/>
                <w:color w:val="000000"/>
                <w:kern w:val="2"/>
                <w:sz w:val="20"/>
                <w:szCs w:val="20"/>
              </w:rPr>
            </w:pPr>
          </w:p>
        </w:tc>
        <w:tc>
          <w:tcPr>
            <w:tcW w:w="840" w:type="pct"/>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公开</w:t>
            </w:r>
            <w:r>
              <w:rPr>
                <w:rFonts w:hint="default" w:ascii="Times New Roman" w:hAnsi="Times New Roman"/>
                <w:color w:val="000000"/>
                <w:kern w:val="2"/>
                <w:sz w:val="20"/>
                <w:szCs w:val="20"/>
              </w:rPr>
              <w:t>09</w:t>
            </w:r>
            <w:r>
              <w:rPr>
                <w:rFonts w:cs="宋体"/>
                <w:color w:val="000000"/>
                <w:kern w:val="2"/>
                <w:sz w:val="20"/>
                <w:szCs w:val="20"/>
              </w:rPr>
              <w:t>表</w:t>
            </w:r>
          </w:p>
        </w:tc>
      </w:tr>
      <w:tr>
        <w:tblPrEx>
          <w:tblCellMar>
            <w:top w:w="0" w:type="dxa"/>
            <w:left w:w="170" w:type="dxa"/>
            <w:bottom w:w="0" w:type="dxa"/>
            <w:right w:w="170" w:type="dxa"/>
          </w:tblCellMar>
        </w:tblPrEx>
        <w:trPr>
          <w:trHeight w:val="244" w:hRule="atLeast"/>
        </w:trPr>
        <w:tc>
          <w:tcPr>
            <w:tcW w:w="1979" w:type="pct"/>
            <w:gridSpan w:val="2"/>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r>
              <w:rPr>
                <w:rFonts w:hint="eastAsia" w:cs="宋体"/>
                <w:kern w:val="2"/>
                <w:sz w:val="20"/>
                <w:szCs w:val="20"/>
                <w:lang w:eastAsia="zh-CN"/>
              </w:rPr>
              <w:t>单位</w:t>
            </w:r>
            <w:r>
              <w:rPr>
                <w:rFonts w:cs="宋体"/>
                <w:color w:val="000000"/>
                <w:kern w:val="2"/>
                <w:sz w:val="20"/>
                <w:szCs w:val="20"/>
              </w:rPr>
              <w:t>：</w:t>
            </w:r>
            <w:r>
              <w:rPr>
                <w:color w:val="000000"/>
                <w:sz w:val="20"/>
                <w:u w:color="auto"/>
              </w:rPr>
              <w:t>丰都县统计局（本级）</w:t>
            </w:r>
          </w:p>
        </w:tc>
        <w:tc>
          <w:tcPr>
            <w:tcW w:w="840"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rPr>
                <w:rFonts w:hint="default" w:cs="宋体"/>
                <w:color w:val="000000"/>
                <w:kern w:val="2"/>
                <w:sz w:val="20"/>
                <w:szCs w:val="20"/>
              </w:rPr>
            </w:pPr>
          </w:p>
        </w:tc>
        <w:tc>
          <w:tcPr>
            <w:tcW w:w="129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rPr>
                <w:rFonts w:hint="default" w:cs="宋体"/>
                <w:color w:val="000000"/>
                <w:kern w:val="2"/>
                <w:sz w:val="20"/>
                <w:szCs w:val="20"/>
              </w:rPr>
            </w:pPr>
          </w:p>
        </w:tc>
        <w:tc>
          <w:tcPr>
            <w:tcW w:w="879" w:type="pct"/>
            <w:tcBorders>
              <w:top w:val="nil"/>
              <w:left w:val="nil"/>
              <w:bottom w:val="single" w:color="auto" w:sz="4" w:space="0"/>
              <w:right w:val="nil"/>
            </w:tcBorders>
            <w:shd w:val="clear" w:color="auto" w:fill="auto"/>
            <w:noWrap/>
            <w:tcMar>
              <w:top w:w="15" w:type="dxa"/>
              <w:left w:w="15" w:type="dxa"/>
              <w:right w:w="15" w:type="dxa"/>
            </w:tcMar>
            <w:vAlign w:val="bottom"/>
          </w:tcPr>
          <w:p>
            <w:pPr>
              <w:spacing w:line="280" w:lineRule="exact"/>
              <w:jc w:val="right"/>
              <w:textAlignment w:val="bottom"/>
              <w:rPr>
                <w:rFonts w:hint="default" w:cs="宋体"/>
                <w:color w:val="000000"/>
                <w:kern w:val="2"/>
                <w:sz w:val="20"/>
                <w:szCs w:val="20"/>
              </w:rPr>
            </w:pPr>
            <w:r>
              <w:rPr>
                <w:rFonts w:cs="宋体"/>
                <w:color w:val="000000"/>
                <w:kern w:val="2"/>
                <w:sz w:val="20"/>
                <w:szCs w:val="20"/>
              </w:rPr>
              <w:t>单位：</w:t>
            </w:r>
            <w:r>
              <w:rPr>
                <w:rFonts w:cs="宋体"/>
                <w:kern w:val="2"/>
                <w:sz w:val="20"/>
                <w:szCs w:val="20"/>
              </w:rPr>
              <w:t>万元</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预算数</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项  目</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cs="宋体"/>
                <w:b/>
                <w:color w:val="000000"/>
                <w:kern w:val="2"/>
                <w:sz w:val="16"/>
                <w:szCs w:val="16"/>
              </w:rPr>
            </w:pPr>
            <w:r>
              <w:rPr>
                <w:rFonts w:cs="宋体"/>
                <w:b/>
                <w:color w:val="000000"/>
                <w:kern w:val="2"/>
                <w:sz w:val="16"/>
                <w:szCs w:val="16"/>
              </w:rPr>
              <w:t>决算数</w:t>
            </w:r>
          </w:p>
        </w:tc>
      </w:tr>
      <w:tr>
        <w:tblPrEx>
          <w:tblCellMar>
            <w:top w:w="0" w:type="dxa"/>
            <w:left w:w="170" w:type="dxa"/>
            <w:bottom w:w="0" w:type="dxa"/>
            <w:right w:w="170" w:type="dxa"/>
          </w:tblCellMar>
        </w:tblPrEx>
        <w:trPr>
          <w:trHeight w:val="28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一、“三公”经费支出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五、机关运行经费</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60.54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（一）支出合计</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28.03</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28.03</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（一）行政单位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60.54</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（二）参照公务员法管理事业单位</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2．公务用车购置及运行维护费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27.25</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27.25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六、资产信息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（1）公务用车购置费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23.48</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23.48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（一）车辆数合计（辆）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（2）公务用车运行维护费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3.77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1．副部（省）级及以上领导用车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0.77</w:t>
            </w:r>
            <w:r>
              <w:rPr>
                <w:rFonts w:ascii="Times New Roman" w:hAnsi="Times New Roman"/>
                <w:color w:val="000000"/>
                <w:sz w:val="18"/>
                <w:u w:color="auto"/>
              </w:rPr>
              <w:t xml:space="preserve"> </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2．主要领导干部用车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（1）国内接待费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0.77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3．机要通信用车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4．应急保障用车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（2）国（境）外接待费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5．执法执勤用车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（二）相关统计数</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6．特种专业技术用车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1．因公出国（境）团组数（个）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7．离退休干部用车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2．因公出国（境）人次数（人）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8．其他用车</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3．公务用车购置数（辆）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（二）单价100万元（含）以上设备（不含车辆）</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4．公务用车保有量（辆）</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七、政府采购支出信息</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ind w:right="120" w:rightChars="50"/>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5．国内公务接待批次（个）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8</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（一）政府采购支出合计</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15.50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1．政府采购货物支出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15.50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6．国内公务接待人次（人）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92</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2．政府采购工程支出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其中：外事接待人次（人）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3．政府采购服务支出</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7．国（境）外公务接待批次（个）</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（二）政府采购授予中小企业合同金额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15.50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92"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8．国（境）外公务接待人次（人）</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kern w:val="2"/>
                <w:sz w:val="16"/>
                <w:szCs w:val="16"/>
              </w:rPr>
            </w:pPr>
            <w:r>
              <w:rPr>
                <w:rFonts w:cs="宋体"/>
                <w:b/>
                <w:bCs/>
                <w:color w:val="000000"/>
                <w:kern w:val="2"/>
                <w:sz w:val="16"/>
                <w:szCs w:val="16"/>
              </w:rPr>
              <w:t xml:space="preserve">        其中：授予小微企业合同金额</w:t>
            </w: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15.50</w:t>
            </w:r>
            <w:r>
              <w:rPr>
                <w:rFonts w:ascii="Times New Roman" w:hAnsi="Times New Roman"/>
                <w:color w:val="000000"/>
                <w:sz w:val="18"/>
                <w:u w:color="auto"/>
              </w:rPr>
              <w:t xml:space="preserve"> </w:t>
            </w:r>
          </w:p>
        </w:tc>
      </w:tr>
      <w:tr>
        <w:tblPrEx>
          <w:tblCellMar>
            <w:top w:w="0" w:type="dxa"/>
            <w:left w:w="170" w:type="dxa"/>
            <w:bottom w:w="0" w:type="dxa"/>
            <w:right w:w="170" w:type="dxa"/>
          </w:tblCellMar>
        </w:tblPrEx>
        <w:trPr>
          <w:trHeight w:val="286"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二、会议费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0.17</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color w:val="000000"/>
                <w:kern w:val="2"/>
                <w:sz w:val="16"/>
                <w:szCs w:val="16"/>
              </w:rPr>
            </w:pPr>
            <w:r>
              <w:rPr>
                <w:rFonts w:cs="宋体"/>
                <w:b/>
                <w:color w:val="000000"/>
                <w:kern w:val="2"/>
                <w:sz w:val="16"/>
                <w:szCs w:val="16"/>
              </w:rPr>
              <w:t>三、培训费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kern w:val="2"/>
                <w:sz w:val="18"/>
                <w:szCs w:val="18"/>
              </w:rPr>
            </w:pPr>
            <w:r>
              <w:rPr>
                <w:rFonts w:hint="default" w:ascii="Times New Roman" w:hAnsi="Times New Roman"/>
                <w:color w:val="000000"/>
                <w:kern w:val="2"/>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kern w:val="2"/>
                <w:sz w:val="18"/>
                <w:szCs w:val="18"/>
              </w:rPr>
            </w:pPr>
            <w:r>
              <w:rPr>
                <w:rFonts w:hint="default" w:ascii="Times New Roman" w:hAnsi="Times New Roman"/>
                <w:color w:val="000000"/>
                <w:kern w:val="2"/>
                <w:sz w:val="18"/>
                <w:szCs w:val="18"/>
              </w:rPr>
              <w:t>15.55</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kern w:val="2"/>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kern w:val="2"/>
                <w:sz w:val="16"/>
                <w:szCs w:val="16"/>
              </w:rPr>
            </w:pPr>
          </w:p>
        </w:tc>
      </w:tr>
      <w:tr>
        <w:tblPrEx>
          <w:tblCellMar>
            <w:top w:w="0" w:type="dxa"/>
            <w:left w:w="170" w:type="dxa"/>
            <w:bottom w:w="0" w:type="dxa"/>
            <w:right w:w="170" w:type="dxa"/>
          </w:tblCellMar>
        </w:tblPrEx>
        <w:trPr>
          <w:trHeight w:val="389" w:hRule="atLeast"/>
        </w:trPr>
        <w:tc>
          <w:tcPr>
            <w:tcW w:w="112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textAlignment w:val="center"/>
              <w:rPr>
                <w:rFonts w:hint="default" w:cs="宋体"/>
                <w:b/>
                <w:bCs/>
                <w:color w:val="000000"/>
                <w:sz w:val="16"/>
                <w:szCs w:val="16"/>
              </w:rPr>
            </w:pPr>
            <w:r>
              <w:rPr>
                <w:rFonts w:cs="宋体"/>
                <w:b/>
                <w:bCs/>
                <w:color w:val="000000"/>
                <w:sz w:val="16"/>
                <w:szCs w:val="16"/>
              </w:rPr>
              <w:t>四、差旅费</w:t>
            </w:r>
          </w:p>
        </w:tc>
        <w:tc>
          <w:tcPr>
            <w:tcW w:w="854"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jc w:val="center"/>
              <w:textAlignment w:val="center"/>
              <w:rPr>
                <w:rFonts w:hint="default" w:ascii="Times New Roman" w:hAnsi="Times New Roman"/>
                <w:color w:val="000000"/>
                <w:sz w:val="18"/>
                <w:szCs w:val="18"/>
              </w:rPr>
            </w:pPr>
            <w:r>
              <w:rPr>
                <w:rFonts w:hint="default" w:ascii="Times New Roman" w:hAnsi="Times New Roman"/>
                <w:color w:val="000000"/>
                <w:sz w:val="18"/>
                <w:szCs w:val="18"/>
              </w:rPr>
              <w:t>—</w:t>
            </w:r>
          </w:p>
        </w:tc>
        <w:tc>
          <w:tcPr>
            <w:tcW w:w="840"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ind w:right="120" w:rightChars="50"/>
              <w:jc w:val="right"/>
              <w:textAlignment w:val="bottom"/>
              <w:rPr>
                <w:rFonts w:hint="default" w:ascii="Times New Roman" w:hAnsi="Times New Roman"/>
                <w:color w:val="000000"/>
                <w:sz w:val="18"/>
                <w:szCs w:val="18"/>
              </w:rPr>
            </w:pPr>
            <w:r>
              <w:rPr>
                <w:rFonts w:hint="default" w:ascii="Times New Roman" w:hAnsi="Times New Roman"/>
                <w:color w:val="000000"/>
                <w:sz w:val="18"/>
                <w:szCs w:val="18"/>
              </w:rPr>
              <w:t>18.96</w:t>
            </w:r>
            <w:r>
              <w:rPr>
                <w:rFonts w:ascii="Times New Roman" w:hAnsi="Times New Roman"/>
                <w:color w:val="000000"/>
                <w:sz w:val="18"/>
                <w:u w:color="auto"/>
              </w:rPr>
              <w:t xml:space="preserve"> </w:t>
            </w:r>
          </w:p>
        </w:tc>
        <w:tc>
          <w:tcPr>
            <w:tcW w:w="129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line="280" w:lineRule="exact"/>
              <w:rPr>
                <w:rFonts w:hint="default" w:cs="宋体"/>
                <w:color w:val="000000"/>
                <w:sz w:val="16"/>
                <w:szCs w:val="16"/>
              </w:rPr>
            </w:pPr>
          </w:p>
        </w:tc>
        <w:tc>
          <w:tcPr>
            <w:tcW w:w="879" w:type="pc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bottom"/>
          </w:tcPr>
          <w:p>
            <w:pPr>
              <w:keepNext w:val="0"/>
              <w:keepLines w:val="0"/>
              <w:pageBreakBefore w:val="0"/>
              <w:widowControl/>
              <w:kinsoku/>
              <w:wordWrap/>
              <w:overflowPunct/>
              <w:topLinePunct w:val="0"/>
              <w:autoSpaceDE/>
              <w:autoSpaceDN/>
              <w:bidi w:val="0"/>
              <w:adjustRightInd/>
              <w:snapToGrid/>
              <w:spacing w:line="280" w:lineRule="exact"/>
              <w:jc w:val="right"/>
              <w:rPr>
                <w:rFonts w:hint="default" w:cs="宋体"/>
                <w:color w:val="000000"/>
                <w:sz w:val="16"/>
                <w:szCs w:val="16"/>
              </w:rPr>
            </w:pPr>
          </w:p>
        </w:tc>
      </w:tr>
    </w:tbl>
    <w:p>
      <w:pPr>
        <w:rPr>
          <w:rFonts w:hint="default"/>
          <w:sz w:val="18"/>
          <w:szCs w:val="18"/>
        </w:rPr>
      </w:pPr>
      <w:r>
        <w:rPr>
          <w:rFonts w:cs="宋体"/>
          <w:sz w:val="18"/>
          <w:szCs w:val="18"/>
        </w:rPr>
        <w:t>备注：1.本表反映单位本年度财政拨款“三公”经费支出预决算情况。其中，预算数为“三公”经费全年预算数，反映按规定程序调整后的预算数；决算数为包括本年度财政拨款和以前年度结转资金安排的实际支出。</w:t>
      </w:r>
      <w:r>
        <w:rPr>
          <w:rFonts w:cs="宋体"/>
          <w:sz w:val="18"/>
          <w:szCs w:val="18"/>
        </w:rPr>
        <w:br w:type="textWrapping"/>
      </w:r>
      <w:r>
        <w:rPr>
          <w:rFonts w:cs="宋体"/>
          <w:sz w:val="18"/>
          <w:szCs w:val="18"/>
        </w:rPr>
        <w:t xml:space="preserve">      2.本套报表金额单位转换时可能存在尾数误差。</w:t>
      </w:r>
      <w:r>
        <w:rPr>
          <w:rFonts w:cs="宋体"/>
          <w:sz w:val="18"/>
          <w:szCs w:val="18"/>
        </w:rPr>
        <w:br w:type="textWrapping"/>
      </w:r>
      <w:r>
        <w:rPr>
          <w:rFonts w:cs="宋体"/>
          <w:sz w:val="18"/>
          <w:szCs w:val="18"/>
        </w:rPr>
        <w:br w:type="textWrapping"/>
      </w:r>
    </w:p>
    <w:sectPr>
      <w:headerReference r:id="rId4" w:type="default"/>
      <w:footerReference r:id="rId5" w:type="default"/>
      <w:pgSz w:w="16783" w:h="11850" w:orient="landscape"/>
      <w:pgMar w:top="567" w:right="454" w:bottom="567" w:left="1037" w:header="0" w:footer="283" w:gutter="0"/>
      <w:pgNumType w:fmt="numberInDash"/>
      <w:cols w:space="720" w:num="1"/>
      <w:docGrid w:type="lines"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rPr>
        <w:rFonts w:hint="default"/>
      </w:rPr>
    </w:pPr>
    <w:r>
      <w:rPr>
        <w:rFonts w:hint="default"/>
      </w:rPr>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path/>
          <v:fill on="f" focussize="0,0"/>
          <v:stroke on="f" weight="0.5pt" joinstyle="miter"/>
          <v:imagedata o:title=""/>
          <o:lock v:ext="edit"/>
          <v:textbox inset="0mm,0mm,0mm,0mm" style="mso-fit-shape-to-text:t;">
            <w:txbxContent>
              <w:p>
                <w:pPr>
                  <w:pStyle w:val="6"/>
                  <w:rPr>
                    <w:rFonts w:hint="default"/>
                  </w:rPr>
                </w:pPr>
                <w:r>
                  <w:fldChar w:fldCharType="begin"/>
                </w:r>
                <w:r>
                  <w:instrText xml:space="preserve"> PAGE  \* MERGEFORMAT </w:instrText>
                </w:r>
                <w:r>
                  <w:fldChar w:fldCharType="separate"/>
                </w:r>
                <w:r>
                  <w:rPr>
                    <w:rFonts w:hint="default"/>
                  </w:rPr>
                  <w:t>- 19 -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rPr>
        <w:rFonts w:hint="default"/>
      </w:rPr>
    </w:pPr>
    <w:r>
      <w:rPr>
        <w:rFonts w:hint="default"/>
      </w:rPr>
      <w:pict>
        <v:shape id="_x0000_s1032" o:spid="_x0000_s1032" o:spt="202" type="#_x0000_t202" style="position:absolute;left:0pt;margin-top:0pt;height:144pt;width:144pt;mso-position-horizontal:center;mso-position-horizontal-relative:margin;mso-wrap-style:none;z-index:251661312;mso-width-relative:page;mso-height-relative:page;" filled="f" stroked="f" coordsize="21600,21600" o:allowoverlap="f"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KOYorozAgAAZwQAAA4AAAAAAAAAAQAgAAAAHwEAAGRycy9lMm9Eb2MueG1sUEsF&#10;BgAAAAAGAAYAWQEAAMQFAAAAAA==&#10;">
          <v:path/>
          <v:fill on="f" focussize="0,0"/>
          <v:stroke on="f" weight="0.5pt" joinstyle="miter"/>
          <v:imagedata o:title=""/>
          <o:lock v:ext="edit"/>
          <v:textbox inset="0mm,0mm,0mm,0mm" style="mso-fit-shape-to-text:t;">
            <w:txbxContent>
              <w:p>
                <w:pPr>
                  <w:pStyle w:val="6"/>
                  <w:rPr>
                    <w:rFonts w:hint="default"/>
                  </w:rPr>
                </w:pPr>
                <w:r>
                  <w:t xml:space="preserve"> </w:t>
                </w:r>
                <w:r>
                  <w:fldChar w:fldCharType="begin"/>
                </w:r>
                <w:r>
                  <w:instrText xml:space="preserve">PAGE   \* MERGEFORMAT</w:instrText>
                </w:r>
                <w:r>
                  <w:fldChar w:fldCharType="separate"/>
                </w:r>
                <w:r>
                  <w:rPr>
                    <w:rFonts w:hint="default"/>
                    <w:lang w:val="zh-CN"/>
                  </w:rPr>
                  <w:t>-</w:t>
                </w:r>
                <w:r>
                  <w:rPr>
                    <w:rFonts w:hint="default"/>
                  </w:rPr>
                  <w:t xml:space="preserve"> 31 -</w:t>
                </w:r>
                <w:r>
                  <w:fldChar w:fldCharType="end"/>
                </w:r>
                <w:r>
                  <w:t xml:space="preserve"> </w:t>
                </w:r>
              </w:p>
            </w:txbxContent>
          </v:textbox>
        </v:shape>
      </w:pict>
    </w:r>
    <w:r>
      <w:rPr>
        <w:rFonts w:hint="default"/>
      </w:rPr>
      <w:pict>
        <v:shape id="_x0000_s1031" o:spid="_x0000_s1031" o:spt="202" type="#_x0000_t202" style="position:absolute;left:0pt;margin-top:1160.4pt;height:17.4pt;width:144pt;mso-position-horizontal:center;mso-position-horizontal-relative:margin;mso-position-vertical-relative:page;mso-wrap-style:none;z-index:251660288;mso-width-relative:page;mso-height-relative:page;" filled="f" stroked="f" coordsize="21600,21600" o:allowoverlap="f" o:gfxdata="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">
          <v:path/>
          <v:fill on="f" focussize="0,0"/>
          <v:stroke on="f" weight="0.5pt" joinstyle="miter"/>
          <v:imagedata o:title=""/>
          <o:lock v:ext="edit"/>
          <v:textbox inset="0mm,0mm,0mm,0mm">
            <w:txbxContent>
              <w:p>
                <w:pPr>
                  <w:pStyle w:val="6"/>
                  <w:jc w:val="both"/>
                  <w:rPr>
                    <w:rFonts w:hint="default" w:cs="宋体"/>
                  </w:rPr>
                </w:pPr>
                <w:r>
                  <w:rPr>
                    <w:rFonts w:cs="宋体"/>
                  </w:rPr>
                  <w:t>— 27.1 —</w:t>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HorizontalSpacing w:val="120"/>
  <w:drawingGridVerticalSpacing w:val="163"/>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OWRmN2I5MTk5OGM5MjA3NGM0OTJkYTY4NmMyZmZkMzUifQ=="/>
  </w:docVars>
  <w:rsids>
    <w:rsidRoot w:val="00B03CCD"/>
    <w:rsid w:val="000239C6"/>
    <w:rsid w:val="001D3BB7"/>
    <w:rsid w:val="002B254B"/>
    <w:rsid w:val="0034050A"/>
    <w:rsid w:val="0044504F"/>
    <w:rsid w:val="00466C9B"/>
    <w:rsid w:val="00486CFC"/>
    <w:rsid w:val="00491DDD"/>
    <w:rsid w:val="00550ABE"/>
    <w:rsid w:val="00623A85"/>
    <w:rsid w:val="00770383"/>
    <w:rsid w:val="007819D4"/>
    <w:rsid w:val="007B419D"/>
    <w:rsid w:val="007B7C4B"/>
    <w:rsid w:val="007D3D39"/>
    <w:rsid w:val="00984C6A"/>
    <w:rsid w:val="00994AF7"/>
    <w:rsid w:val="009B67B8"/>
    <w:rsid w:val="009C14C9"/>
    <w:rsid w:val="009D2B67"/>
    <w:rsid w:val="009E1452"/>
    <w:rsid w:val="00A566F9"/>
    <w:rsid w:val="00AF2751"/>
    <w:rsid w:val="00B03CCD"/>
    <w:rsid w:val="00BE2B89"/>
    <w:rsid w:val="00BF0D89"/>
    <w:rsid w:val="00C10E9E"/>
    <w:rsid w:val="00C20C3E"/>
    <w:rsid w:val="00C5163E"/>
    <w:rsid w:val="00CF2ACF"/>
    <w:rsid w:val="00D03AAF"/>
    <w:rsid w:val="00DD0539"/>
    <w:rsid w:val="00E07662"/>
    <w:rsid w:val="00E368E9"/>
    <w:rsid w:val="00EE1E33"/>
    <w:rsid w:val="00F73F90"/>
    <w:rsid w:val="00FB4B3B"/>
    <w:rsid w:val="01474EBF"/>
    <w:rsid w:val="01F3521E"/>
    <w:rsid w:val="03B87EA0"/>
    <w:rsid w:val="03E3214F"/>
    <w:rsid w:val="044C50BA"/>
    <w:rsid w:val="04BF037B"/>
    <w:rsid w:val="05BC6D49"/>
    <w:rsid w:val="06194FF1"/>
    <w:rsid w:val="06A2550B"/>
    <w:rsid w:val="06F80EE2"/>
    <w:rsid w:val="07001CCA"/>
    <w:rsid w:val="075678DB"/>
    <w:rsid w:val="077B465F"/>
    <w:rsid w:val="079D7CC7"/>
    <w:rsid w:val="08051BCA"/>
    <w:rsid w:val="086C12F4"/>
    <w:rsid w:val="08705944"/>
    <w:rsid w:val="08AE1E9F"/>
    <w:rsid w:val="08BA052C"/>
    <w:rsid w:val="08DB07BA"/>
    <w:rsid w:val="0969353F"/>
    <w:rsid w:val="098305D0"/>
    <w:rsid w:val="09B1218B"/>
    <w:rsid w:val="0A3317EA"/>
    <w:rsid w:val="0A5C4B69"/>
    <w:rsid w:val="0A86124A"/>
    <w:rsid w:val="0AB54CC0"/>
    <w:rsid w:val="0B9335CE"/>
    <w:rsid w:val="0BF2311A"/>
    <w:rsid w:val="0C7927C4"/>
    <w:rsid w:val="0C9B098C"/>
    <w:rsid w:val="0D673E11"/>
    <w:rsid w:val="0DBA0736"/>
    <w:rsid w:val="0DDA54E4"/>
    <w:rsid w:val="0E3A5F83"/>
    <w:rsid w:val="0F836721"/>
    <w:rsid w:val="0FA25D96"/>
    <w:rsid w:val="107B59E5"/>
    <w:rsid w:val="10EC0126"/>
    <w:rsid w:val="10F70B9A"/>
    <w:rsid w:val="111445C7"/>
    <w:rsid w:val="114278C6"/>
    <w:rsid w:val="1158083A"/>
    <w:rsid w:val="11643A4B"/>
    <w:rsid w:val="11ED0F98"/>
    <w:rsid w:val="11F03528"/>
    <w:rsid w:val="12C921C4"/>
    <w:rsid w:val="13871C70"/>
    <w:rsid w:val="13A71CB4"/>
    <w:rsid w:val="13AF1D43"/>
    <w:rsid w:val="13CE1647"/>
    <w:rsid w:val="13FD55AB"/>
    <w:rsid w:val="14200702"/>
    <w:rsid w:val="14370EA1"/>
    <w:rsid w:val="163A6CEE"/>
    <w:rsid w:val="173708E3"/>
    <w:rsid w:val="17C374FC"/>
    <w:rsid w:val="182E4AB6"/>
    <w:rsid w:val="189079DC"/>
    <w:rsid w:val="189B0D0B"/>
    <w:rsid w:val="18B43F7C"/>
    <w:rsid w:val="191C433B"/>
    <w:rsid w:val="194A1770"/>
    <w:rsid w:val="19B906A4"/>
    <w:rsid w:val="1B6F15B6"/>
    <w:rsid w:val="1BAA2EDC"/>
    <w:rsid w:val="1CA55E64"/>
    <w:rsid w:val="1D014A01"/>
    <w:rsid w:val="1D022362"/>
    <w:rsid w:val="1D1B04B0"/>
    <w:rsid w:val="1DA52501"/>
    <w:rsid w:val="1DBD6767"/>
    <w:rsid w:val="1DC52125"/>
    <w:rsid w:val="1DD26311"/>
    <w:rsid w:val="1E374ACB"/>
    <w:rsid w:val="1ECF0A66"/>
    <w:rsid w:val="1EF67CA4"/>
    <w:rsid w:val="1F020D3A"/>
    <w:rsid w:val="1F2C5189"/>
    <w:rsid w:val="1F4B0B02"/>
    <w:rsid w:val="1FBB35CD"/>
    <w:rsid w:val="1FCD26AF"/>
    <w:rsid w:val="20642787"/>
    <w:rsid w:val="21556F04"/>
    <w:rsid w:val="22403BD3"/>
    <w:rsid w:val="22AD3177"/>
    <w:rsid w:val="235417B6"/>
    <w:rsid w:val="24B92327"/>
    <w:rsid w:val="24C14514"/>
    <w:rsid w:val="2533755C"/>
    <w:rsid w:val="25791755"/>
    <w:rsid w:val="26396DF4"/>
    <w:rsid w:val="27167136"/>
    <w:rsid w:val="271B442C"/>
    <w:rsid w:val="27B23302"/>
    <w:rsid w:val="29310A5F"/>
    <w:rsid w:val="29C37A35"/>
    <w:rsid w:val="2A076083"/>
    <w:rsid w:val="2A73162E"/>
    <w:rsid w:val="2B167953"/>
    <w:rsid w:val="2B200583"/>
    <w:rsid w:val="2B2729C0"/>
    <w:rsid w:val="2B8209DE"/>
    <w:rsid w:val="2B821C91"/>
    <w:rsid w:val="2BF81A22"/>
    <w:rsid w:val="2C636760"/>
    <w:rsid w:val="2C6762A3"/>
    <w:rsid w:val="2FCA4B37"/>
    <w:rsid w:val="2FE029D7"/>
    <w:rsid w:val="2FF06E00"/>
    <w:rsid w:val="30586FEC"/>
    <w:rsid w:val="315F0B22"/>
    <w:rsid w:val="31A15828"/>
    <w:rsid w:val="31D84415"/>
    <w:rsid w:val="32285F6F"/>
    <w:rsid w:val="32770556"/>
    <w:rsid w:val="329C0913"/>
    <w:rsid w:val="32AA0460"/>
    <w:rsid w:val="3337290D"/>
    <w:rsid w:val="33E31118"/>
    <w:rsid w:val="33EF7674"/>
    <w:rsid w:val="342D7BC6"/>
    <w:rsid w:val="352930DB"/>
    <w:rsid w:val="35573069"/>
    <w:rsid w:val="355F6038"/>
    <w:rsid w:val="358C217E"/>
    <w:rsid w:val="36C9128A"/>
    <w:rsid w:val="37841E99"/>
    <w:rsid w:val="37BF1123"/>
    <w:rsid w:val="383C3F15"/>
    <w:rsid w:val="38BE4696"/>
    <w:rsid w:val="3939115E"/>
    <w:rsid w:val="39B82A39"/>
    <w:rsid w:val="39C42CA8"/>
    <w:rsid w:val="39DC4FD6"/>
    <w:rsid w:val="39F03D7A"/>
    <w:rsid w:val="39F33306"/>
    <w:rsid w:val="3A0472C2"/>
    <w:rsid w:val="3A2C1C67"/>
    <w:rsid w:val="3A6A77C9"/>
    <w:rsid w:val="3ADD7F09"/>
    <w:rsid w:val="3B1705E5"/>
    <w:rsid w:val="3B18334B"/>
    <w:rsid w:val="3B36794F"/>
    <w:rsid w:val="3B6F6EE0"/>
    <w:rsid w:val="3C566AD6"/>
    <w:rsid w:val="3C594871"/>
    <w:rsid w:val="3C6A5B02"/>
    <w:rsid w:val="3D083B3A"/>
    <w:rsid w:val="3D2757A1"/>
    <w:rsid w:val="3D3D4FC4"/>
    <w:rsid w:val="3DDF3AB1"/>
    <w:rsid w:val="3E1D0952"/>
    <w:rsid w:val="3E42660A"/>
    <w:rsid w:val="3E7555B1"/>
    <w:rsid w:val="3E787ED9"/>
    <w:rsid w:val="3F032E93"/>
    <w:rsid w:val="3F0527E5"/>
    <w:rsid w:val="3F4C52C6"/>
    <w:rsid w:val="3F694D83"/>
    <w:rsid w:val="3F885DCC"/>
    <w:rsid w:val="3FCD675E"/>
    <w:rsid w:val="4004000C"/>
    <w:rsid w:val="40760DD1"/>
    <w:rsid w:val="40BD5482"/>
    <w:rsid w:val="411B6CE5"/>
    <w:rsid w:val="412070D7"/>
    <w:rsid w:val="41314E40"/>
    <w:rsid w:val="41E0734B"/>
    <w:rsid w:val="426C1EA8"/>
    <w:rsid w:val="42736402"/>
    <w:rsid w:val="42E86A87"/>
    <w:rsid w:val="43307B09"/>
    <w:rsid w:val="439A3EB9"/>
    <w:rsid w:val="43BB152F"/>
    <w:rsid w:val="44C37687"/>
    <w:rsid w:val="45CB699A"/>
    <w:rsid w:val="46423C66"/>
    <w:rsid w:val="465B470D"/>
    <w:rsid w:val="469D6AD4"/>
    <w:rsid w:val="471E6C84"/>
    <w:rsid w:val="4748792B"/>
    <w:rsid w:val="475D719D"/>
    <w:rsid w:val="47674801"/>
    <w:rsid w:val="48225EF7"/>
    <w:rsid w:val="488F422B"/>
    <w:rsid w:val="48E36915"/>
    <w:rsid w:val="48EB6572"/>
    <w:rsid w:val="495C4A24"/>
    <w:rsid w:val="497135DF"/>
    <w:rsid w:val="4A263DF2"/>
    <w:rsid w:val="4A2F278B"/>
    <w:rsid w:val="4A6F6675"/>
    <w:rsid w:val="4B135857"/>
    <w:rsid w:val="4B7951CB"/>
    <w:rsid w:val="4B7C315C"/>
    <w:rsid w:val="4D1F53CA"/>
    <w:rsid w:val="4DAC4ACA"/>
    <w:rsid w:val="4DBE01D2"/>
    <w:rsid w:val="4EFD467F"/>
    <w:rsid w:val="4F0C6BA3"/>
    <w:rsid w:val="4F186D58"/>
    <w:rsid w:val="4FFE7F08"/>
    <w:rsid w:val="504B6EAA"/>
    <w:rsid w:val="50F06B6E"/>
    <w:rsid w:val="51064DCD"/>
    <w:rsid w:val="51D21804"/>
    <w:rsid w:val="52234D33"/>
    <w:rsid w:val="522F6E0C"/>
    <w:rsid w:val="52463BA1"/>
    <w:rsid w:val="52F163D4"/>
    <w:rsid w:val="531A2DB4"/>
    <w:rsid w:val="53C0244D"/>
    <w:rsid w:val="53DD4D4E"/>
    <w:rsid w:val="53E578CE"/>
    <w:rsid w:val="541330F0"/>
    <w:rsid w:val="54272666"/>
    <w:rsid w:val="543B029D"/>
    <w:rsid w:val="54861779"/>
    <w:rsid w:val="55084A4C"/>
    <w:rsid w:val="552256E1"/>
    <w:rsid w:val="554E5773"/>
    <w:rsid w:val="555829E0"/>
    <w:rsid w:val="555A3CBC"/>
    <w:rsid w:val="5582012B"/>
    <w:rsid w:val="558E4E05"/>
    <w:rsid w:val="55BE2E85"/>
    <w:rsid w:val="56530F5D"/>
    <w:rsid w:val="567700D3"/>
    <w:rsid w:val="56C27A99"/>
    <w:rsid w:val="56FF7E9E"/>
    <w:rsid w:val="578867FC"/>
    <w:rsid w:val="5842572D"/>
    <w:rsid w:val="5A3B59D6"/>
    <w:rsid w:val="5AD134D8"/>
    <w:rsid w:val="5BF41F67"/>
    <w:rsid w:val="5C263CE4"/>
    <w:rsid w:val="5C5D2777"/>
    <w:rsid w:val="5CF66BF3"/>
    <w:rsid w:val="5D290C69"/>
    <w:rsid w:val="5DA80C2C"/>
    <w:rsid w:val="5F2D4A41"/>
    <w:rsid w:val="6074044E"/>
    <w:rsid w:val="60C74F6C"/>
    <w:rsid w:val="61015958"/>
    <w:rsid w:val="61025A59"/>
    <w:rsid w:val="613D5BBC"/>
    <w:rsid w:val="61536C39"/>
    <w:rsid w:val="62944DD7"/>
    <w:rsid w:val="6319381F"/>
    <w:rsid w:val="632B3FE8"/>
    <w:rsid w:val="63C25DC5"/>
    <w:rsid w:val="63C62057"/>
    <w:rsid w:val="64571EF5"/>
    <w:rsid w:val="64FB113D"/>
    <w:rsid w:val="656152C6"/>
    <w:rsid w:val="6587477F"/>
    <w:rsid w:val="658C3A08"/>
    <w:rsid w:val="65C031CA"/>
    <w:rsid w:val="65CE6852"/>
    <w:rsid w:val="66267C04"/>
    <w:rsid w:val="663F505A"/>
    <w:rsid w:val="666C2D2F"/>
    <w:rsid w:val="66AF5D7C"/>
    <w:rsid w:val="66EE5541"/>
    <w:rsid w:val="67924660"/>
    <w:rsid w:val="68407834"/>
    <w:rsid w:val="6883293E"/>
    <w:rsid w:val="688412AD"/>
    <w:rsid w:val="68EB1B71"/>
    <w:rsid w:val="696C0310"/>
    <w:rsid w:val="6A6C7940"/>
    <w:rsid w:val="6A9F1565"/>
    <w:rsid w:val="6AAD2300"/>
    <w:rsid w:val="6B474EF5"/>
    <w:rsid w:val="6BC938E5"/>
    <w:rsid w:val="6C0A5AC5"/>
    <w:rsid w:val="6C560CAE"/>
    <w:rsid w:val="6C576495"/>
    <w:rsid w:val="6D903FF5"/>
    <w:rsid w:val="6DA955B8"/>
    <w:rsid w:val="6DE346AB"/>
    <w:rsid w:val="6DE5391A"/>
    <w:rsid w:val="6EFD1324"/>
    <w:rsid w:val="6F5A53AC"/>
    <w:rsid w:val="6FAC003D"/>
    <w:rsid w:val="6FD926BF"/>
    <w:rsid w:val="6FE55E12"/>
    <w:rsid w:val="6FFB2E76"/>
    <w:rsid w:val="708F6F7F"/>
    <w:rsid w:val="70D94BD3"/>
    <w:rsid w:val="71574775"/>
    <w:rsid w:val="71C34D91"/>
    <w:rsid w:val="72DB435C"/>
    <w:rsid w:val="72E2613A"/>
    <w:rsid w:val="72F771F4"/>
    <w:rsid w:val="73934AD2"/>
    <w:rsid w:val="750837F0"/>
    <w:rsid w:val="754758CF"/>
    <w:rsid w:val="75595ECD"/>
    <w:rsid w:val="764F62AB"/>
    <w:rsid w:val="765C45EC"/>
    <w:rsid w:val="768A7619"/>
    <w:rsid w:val="76BD23AB"/>
    <w:rsid w:val="772E1EBA"/>
    <w:rsid w:val="781926BC"/>
    <w:rsid w:val="796D60A4"/>
    <w:rsid w:val="79A031D5"/>
    <w:rsid w:val="79B47FDF"/>
    <w:rsid w:val="79E569A9"/>
    <w:rsid w:val="7A1525F7"/>
    <w:rsid w:val="7B420052"/>
    <w:rsid w:val="7BD06A28"/>
    <w:rsid w:val="7C2D100B"/>
    <w:rsid w:val="7C3A7C0B"/>
    <w:rsid w:val="7C5248E4"/>
    <w:rsid w:val="7C566698"/>
    <w:rsid w:val="7C5866A3"/>
    <w:rsid w:val="7D7406BB"/>
    <w:rsid w:val="7DE94331"/>
    <w:rsid w:val="7F446A19"/>
    <w:rsid w:val="7F7452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99"/>
    <w:rPr>
      <w:rFonts w:hint="eastAsia" w:ascii="宋体" w:hAnsi="宋体" w:eastAsia="宋体" w:cs="Times New Roman"/>
      <w:sz w:val="24"/>
      <w:szCs w:val="24"/>
      <w:lang w:val="en-US" w:eastAsia="zh-CN" w:bidi="ar-SA"/>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2">
    <w:name w:val="footnote text"/>
    <w:basedOn w:val="1"/>
    <w:next w:val="3"/>
    <w:semiHidden/>
    <w:qFormat/>
    <w:uiPriority w:val="0"/>
    <w:pPr>
      <w:snapToGrid w:val="0"/>
      <w:jc w:val="left"/>
    </w:pPr>
    <w:rPr>
      <w:sz w:val="18"/>
      <w:szCs w:val="18"/>
    </w:rPr>
  </w:style>
  <w:style w:type="paragraph" w:styleId="3">
    <w:name w:val="Body Text First Indent 2"/>
    <w:basedOn w:val="4"/>
    <w:next w:val="1"/>
    <w:unhideWhenUsed/>
    <w:qFormat/>
    <w:uiPriority w:val="99"/>
    <w:pPr>
      <w:ind w:firstLine="420" w:firstLineChars="200"/>
    </w:pPr>
  </w:style>
  <w:style w:type="paragraph" w:styleId="4">
    <w:name w:val="Body Text Indent"/>
    <w:basedOn w:val="1"/>
    <w:next w:val="3"/>
    <w:unhideWhenUsed/>
    <w:qFormat/>
    <w:uiPriority w:val="99"/>
    <w:pPr>
      <w:widowControl/>
      <w:spacing w:after="120"/>
      <w:ind w:left="420" w:leftChars="200"/>
      <w:jc w:val="left"/>
    </w:pPr>
    <w:rPr>
      <w:rFonts w:ascii="宋体" w:hAnsi="宋体" w:eastAsia="宋体" w:cs="宋体"/>
      <w:kern w:val="0"/>
      <w:sz w:val="24"/>
    </w:rPr>
  </w:style>
  <w:style w:type="paragraph" w:styleId="5">
    <w:name w:val="Balloon Text"/>
    <w:basedOn w:val="1"/>
    <w:link w:val="18"/>
    <w:qFormat/>
    <w:uiPriority w:val="0"/>
    <w:rPr>
      <w:sz w:val="18"/>
      <w:szCs w:val="18"/>
    </w:rPr>
  </w:style>
  <w:style w:type="paragraph" w:styleId="6">
    <w:name w:val="footer"/>
    <w:basedOn w:val="1"/>
    <w:qFormat/>
    <w:uiPriority w:val="0"/>
    <w:pPr>
      <w:tabs>
        <w:tab w:val="center" w:pos="4153"/>
        <w:tab w:val="right" w:pos="8306"/>
      </w:tabs>
      <w:snapToGrid w:val="0"/>
    </w:pPr>
    <w:rPr>
      <w:sz w:val="18"/>
      <w:szCs w:val="18"/>
    </w:rPr>
  </w:style>
  <w:style w:type="paragraph" w:styleId="7">
    <w:name w:val="header"/>
    <w:basedOn w:val="1"/>
    <w:qFormat/>
    <w:uiPriority w:val="0"/>
    <w:pPr>
      <w:tabs>
        <w:tab w:val="center" w:pos="4153"/>
        <w:tab w:val="right" w:pos="8306"/>
      </w:tabs>
      <w:snapToGrid w:val="0"/>
      <w:jc w:val="center"/>
    </w:pPr>
    <w:rPr>
      <w:sz w:val="18"/>
      <w:szCs w:val="18"/>
    </w:rPr>
  </w:style>
  <w:style w:type="paragraph" w:styleId="8">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9">
    <w:name w:val="Normal (Web)"/>
    <w:basedOn w:val="1"/>
    <w:unhideWhenUsed/>
    <w:qFormat/>
    <w:uiPriority w:val="0"/>
    <w:pPr>
      <w:spacing w:before="100" w:beforeAutospacing="1" w:after="100" w:afterAutospacing="1"/>
    </w:pPr>
  </w:style>
  <w:style w:type="table" w:styleId="11">
    <w:name w:val="Table Grid"/>
    <w:basedOn w:val="1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3">
    <w:name w:val="Strong"/>
    <w:qFormat/>
    <w:uiPriority w:val="0"/>
    <w:rPr>
      <w:b/>
    </w:rPr>
  </w:style>
  <w:style w:type="paragraph" w:customStyle="1" w:styleId="14">
    <w:name w:val="列出段落1"/>
    <w:basedOn w:val="1"/>
    <w:qFormat/>
    <w:uiPriority w:val="99"/>
    <w:pPr>
      <w:ind w:firstLine="420" w:firstLineChars="200"/>
    </w:pPr>
    <w:rPr>
      <w:rFonts w:hint="default"/>
    </w:rPr>
  </w:style>
  <w:style w:type="paragraph" w:customStyle="1" w:styleId="15">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character" w:customStyle="1" w:styleId="16">
    <w:name w:val="21"/>
    <w:basedOn w:val="12"/>
    <w:qFormat/>
    <w:uiPriority w:val="0"/>
    <w:rPr>
      <w:rFonts w:hint="default" w:ascii="Wingdings" w:hAnsi="Wingdings" w:cs="Wingdings"/>
      <w:b/>
      <w:bCs/>
    </w:rPr>
  </w:style>
  <w:style w:type="paragraph" w:customStyle="1" w:styleId="17">
    <w:name w:val="列出段落2"/>
    <w:qFormat/>
    <w:uiPriority w:val="99"/>
    <w:pPr>
      <w:ind w:firstLine="420" w:firstLineChars="200"/>
    </w:pPr>
    <w:rPr>
      <w:rFonts w:ascii="宋体" w:hAnsi="宋体" w:eastAsia="宋体" w:cs="Times New Roman"/>
      <w:sz w:val="24"/>
      <w:szCs w:val="24"/>
      <w:lang w:val="en-US" w:eastAsia="zh-CN" w:bidi="ar-SA"/>
    </w:rPr>
  </w:style>
  <w:style w:type="character" w:customStyle="1" w:styleId="18">
    <w:name w:val="批注框文本 Char"/>
    <w:basedOn w:val="12"/>
    <w:link w:val="5"/>
    <w:qFormat/>
    <w:uiPriority w:val="0"/>
    <w:rPr>
      <w:rFonts w:ascii="宋体" w:hAnsi="宋体"/>
      <w:sz w:val="18"/>
      <w:szCs w:val="18"/>
    </w:rPr>
  </w:style>
  <w:style w:type="paragraph" w:customStyle="1" w:styleId="19">
    <w:name w:val="List Paragraph"/>
    <w:basedOn w:val="1"/>
    <w:qFormat/>
    <w:uiPriority w:val="99"/>
    <w:pPr>
      <w:keepNext w:val="0"/>
      <w:keepLines w:val="0"/>
      <w:widowControl/>
      <w:suppressLineNumbers w:val="0"/>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bidi="ar"/>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1032"/>
    <customShpInfo spid="_x0000_s103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23</Pages>
  <Words>3935</Words>
  <Characters>22430</Characters>
  <Lines>186</Lines>
  <Paragraphs>52</Paragraphs>
  <TotalTime>7</TotalTime>
  <ScaleCrop>false</ScaleCrop>
  <LinksUpToDate>false</LinksUpToDate>
  <CharactersWithSpaces>26313</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2025-09-16T07:48:35Z</dcterms:modified>
  <cp:revision>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BB46EABDBB2749749395447164B066B3_12</vt:lpwstr>
  </property>
</Properties>
</file>