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丰都县统计局</w:t>
      </w:r>
      <w:r>
        <w:rPr>
          <w:rFonts w:hint="eastAsia" w:ascii="方正小标宋_GBK" w:hAnsi="方正小标宋_GBK" w:eastAsia="方正小标宋_GBK" w:cs="方正小标宋_GBK"/>
          <w:i w:val="0"/>
          <w:iCs w:val="0"/>
          <w:caps w:val="0"/>
          <w:color w:val="333333"/>
          <w:spacing w:val="0"/>
          <w:sz w:val="44"/>
          <w:szCs w:val="44"/>
          <w:shd w:val="clear" w:fill="FFFFFF"/>
        </w:rPr>
        <w:t>关于开展涉及不平等对待企业法律法规</w:t>
      </w:r>
      <w:bookmarkStart w:id="0" w:name="_GoBack"/>
      <w:bookmarkEnd w:id="0"/>
      <w:r>
        <w:rPr>
          <w:rFonts w:hint="eastAsia" w:ascii="方正小标宋_GBK" w:hAnsi="方正小标宋_GBK" w:eastAsia="方正小标宋_GBK" w:cs="方正小标宋_GBK"/>
          <w:i w:val="0"/>
          <w:iCs w:val="0"/>
          <w:caps w:val="0"/>
          <w:color w:val="333333"/>
          <w:spacing w:val="0"/>
          <w:sz w:val="44"/>
          <w:szCs w:val="44"/>
          <w:shd w:val="clear" w:fill="FFFFFF"/>
        </w:rPr>
        <w:t>政策清理工作的公告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（一）妨碍市场准入和退出。</w:t>
      </w:r>
      <w:r>
        <w:rPr>
          <w:rFonts w:hint="default" w:ascii="Times New Roman" w:hAnsi="Times New Roman" w:eastAsia="方正仿宋_GBK" w:cs="Times New Roman"/>
          <w:i w:val="0"/>
          <w:iCs w:val="0"/>
          <w:caps w:val="0"/>
          <w:color w:val="333333"/>
          <w:spacing w:val="0"/>
          <w:sz w:val="32"/>
          <w:szCs w:val="32"/>
          <w:shd w:val="clear" w:fill="FFFFFF"/>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（二）妨碍要素平等获取、自由流动和商品、服务自由流动。</w:t>
      </w:r>
      <w:r>
        <w:rPr>
          <w:rFonts w:hint="default" w:ascii="Times New Roman" w:hAnsi="Times New Roman" w:eastAsia="方正仿宋_GBK" w:cs="Times New Roman"/>
          <w:i w:val="0"/>
          <w:iCs w:val="0"/>
          <w:caps w:val="0"/>
          <w:color w:val="333333"/>
          <w:spacing w:val="0"/>
          <w:sz w:val="32"/>
          <w:szCs w:val="32"/>
          <w:shd w:val="clear" w:fill="FFFFFF"/>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（三）影响生产经营成本。</w:t>
      </w:r>
      <w:r>
        <w:rPr>
          <w:rFonts w:hint="default" w:ascii="Times New Roman" w:hAnsi="Times New Roman" w:eastAsia="方正仿宋_GBK" w:cs="Times New Roman"/>
          <w:i w:val="0"/>
          <w:iCs w:val="0"/>
          <w:caps w:val="0"/>
          <w:color w:val="333333"/>
          <w:spacing w:val="0"/>
          <w:sz w:val="32"/>
          <w:szCs w:val="32"/>
          <w:shd w:val="clear" w:fill="FFFFFF"/>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（四）影响企业生产经营。</w:t>
      </w:r>
      <w:r>
        <w:rPr>
          <w:rFonts w:hint="default" w:ascii="Times New Roman" w:hAnsi="Times New Roman" w:eastAsia="方正仿宋_GBK" w:cs="Times New Roman"/>
          <w:i w:val="0"/>
          <w:iCs w:val="0"/>
          <w:caps w:val="0"/>
          <w:color w:val="333333"/>
          <w:spacing w:val="0"/>
          <w:sz w:val="32"/>
          <w:szCs w:val="32"/>
          <w:shd w:val="clear" w:fill="FFFFFF"/>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（五）行政监管执法。</w:t>
      </w:r>
      <w:r>
        <w:rPr>
          <w:rFonts w:hint="default" w:ascii="Times New Roman" w:hAnsi="Times New Roman" w:eastAsia="方正仿宋_GBK" w:cs="Times New Roman"/>
          <w:i w:val="0"/>
          <w:iCs w:val="0"/>
          <w:caps w:val="0"/>
          <w:color w:val="333333"/>
          <w:spacing w:val="0"/>
          <w:sz w:val="32"/>
          <w:szCs w:val="32"/>
          <w:shd w:val="clear" w:fill="FFFFFF"/>
        </w:rPr>
        <w:t>违法对不同企业设置歧视性检查事项、检查频次；违法对不同企业区别设置行政自由裁量权基准，对特定企业作出明显具有歧视性的行政处罚、行政强制措施、行政强制执行决定。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问题线索请于2024年9月30日前发送至fgql@chinalaw.gov.cn，邮件须明确存在问题的法律法规政策名称、文号（如有）、发布时间以及不平等对待企业的具体内容及相关说明。</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GYxZDBjZDVjMzIyNmU4MzE0YjI3NDMyZTU4YmIifQ=="/>
  </w:docVars>
  <w:rsids>
    <w:rsidRoot w:val="3CF276E2"/>
    <w:rsid w:val="3695F87F"/>
    <w:rsid w:val="3CF2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2024-07-04T10:31:00Z</dcterms:created>
  <dc:creator>丬夕寸</dc:creator>
  <cp:lastModifiedBy>user</cp:lastModifiedBy>
  <dcterms:modified xsi:type="dcterms:W3CDTF">2024-10-21T12:13:25Z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20BB20E4ADBE4F5990422DD8DE2D39F8_11</vt:lpwstr>
  </property>
</Properties>
</file>