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12DD8">
      <w:pPr>
        <w:adjustRightInd w:val="0"/>
        <w:snapToGrid w:val="0"/>
        <w:spacing w:line="570" w:lineRule="exact"/>
        <w:ind w:firstLine="0" w:firstLineChars="0"/>
        <w:jc w:val="center"/>
        <w:textAlignment w:val="auto"/>
        <w:rPr>
          <w:rFonts w:eastAsia="方正小标宋_GBK"/>
          <w:bCs/>
          <w:color w:val="0C0C0C"/>
          <w:kern w:val="0"/>
          <w:sz w:val="44"/>
          <w:szCs w:val="44"/>
          <w:shd w:val="clear" w:color="auto" w:fill="FFFFFF"/>
        </w:rPr>
      </w:pPr>
      <w:r>
        <w:rPr>
          <w:rFonts w:eastAsia="方正小标宋_GBK"/>
          <w:bCs/>
          <w:color w:val="0C0C0C"/>
          <w:kern w:val="0"/>
          <w:sz w:val="44"/>
          <w:szCs w:val="44"/>
          <w:shd w:val="clear" w:color="auto" w:fill="FFFFFF"/>
        </w:rPr>
        <w:t>丰都县第五次全国经济普查公报（第五号）</w:t>
      </w:r>
    </w:p>
    <w:p w14:paraId="3D3873C9">
      <w:pPr>
        <w:adjustRightInd w:val="0"/>
        <w:snapToGrid w:val="0"/>
        <w:spacing w:line="570" w:lineRule="exact"/>
        <w:ind w:firstLine="0" w:firstLineChars="0"/>
        <w:jc w:val="center"/>
        <w:textAlignment w:val="auto"/>
        <w:rPr>
          <w:rFonts w:eastAsia="方正楷体_GBK"/>
          <w:bCs/>
          <w:color w:val="0C0C0C"/>
          <w:kern w:val="0"/>
          <w:sz w:val="32"/>
          <w:szCs w:val="32"/>
          <w:shd w:val="clear" w:color="auto" w:fill="FFFFFF"/>
        </w:rPr>
      </w:pPr>
      <w:r>
        <w:rPr>
          <w:rFonts w:eastAsia="方正楷体_GBK"/>
          <w:bCs/>
          <w:color w:val="0C0C0C"/>
          <w:kern w:val="0"/>
          <w:sz w:val="32"/>
          <w:szCs w:val="32"/>
          <w:shd w:val="clear" w:color="auto" w:fill="FFFFFF"/>
        </w:rPr>
        <w:t>——第三产业基本情况之二</w:t>
      </w:r>
    </w:p>
    <w:p w14:paraId="39BEC853">
      <w:pPr>
        <w:adjustRightInd w:val="0"/>
        <w:snapToGrid w:val="0"/>
        <w:spacing w:line="570" w:lineRule="exact"/>
        <w:ind w:firstLine="0" w:firstLineChars="0"/>
        <w:jc w:val="center"/>
        <w:textAlignment w:val="auto"/>
        <w:rPr>
          <w:rFonts w:eastAsia="方正楷体_GBK"/>
          <w:color w:val="0C0C0C"/>
          <w:sz w:val="32"/>
          <w:szCs w:val="32"/>
        </w:rPr>
      </w:pPr>
      <w:r>
        <w:rPr>
          <w:rFonts w:eastAsia="方正楷体_GBK"/>
          <w:color w:val="0C0C0C"/>
          <w:sz w:val="32"/>
          <w:szCs w:val="32"/>
        </w:rPr>
        <w:t>丰都县统计局</w:t>
      </w:r>
    </w:p>
    <w:p w14:paraId="6717FDFA">
      <w:pPr>
        <w:adjustRightInd w:val="0"/>
        <w:snapToGrid w:val="0"/>
        <w:spacing w:line="570" w:lineRule="exact"/>
        <w:ind w:firstLine="0" w:firstLineChars="0"/>
        <w:jc w:val="center"/>
        <w:textAlignment w:val="auto"/>
        <w:rPr>
          <w:rFonts w:eastAsia="方正楷体_GBK"/>
          <w:color w:val="0C0C0C"/>
          <w:sz w:val="32"/>
          <w:szCs w:val="32"/>
        </w:rPr>
      </w:pPr>
      <w:r>
        <w:rPr>
          <w:rFonts w:eastAsia="方正楷体_GBK"/>
          <w:color w:val="0C0C0C"/>
          <w:sz w:val="32"/>
          <w:szCs w:val="32"/>
        </w:rPr>
        <w:t>丰都县第五次全国经济普查领导小组办公室</w:t>
      </w:r>
    </w:p>
    <w:p w14:paraId="1E775A41">
      <w:pPr>
        <w:pStyle w:val="2"/>
        <w:spacing w:line="570" w:lineRule="exact"/>
        <w:ind w:firstLine="0" w:firstLineChars="0"/>
        <w:jc w:val="center"/>
        <w:textAlignment w:val="baseline"/>
        <w:rPr>
          <w:color w:val="0C0C0C"/>
          <w:sz w:val="32"/>
          <w:szCs w:val="32"/>
        </w:rPr>
      </w:pPr>
      <w:r>
        <w:rPr>
          <w:rFonts w:eastAsia="方正楷体_GBK"/>
          <w:color w:val="0C0C0C"/>
          <w:sz w:val="32"/>
          <w:szCs w:val="32"/>
        </w:rPr>
        <w:t>（2025年</w:t>
      </w:r>
      <w:r>
        <w:rPr>
          <w:rFonts w:hint="eastAsia" w:eastAsia="方正楷体_GBK"/>
          <w:color w:val="0C0C0C"/>
          <w:sz w:val="32"/>
          <w:szCs w:val="32"/>
          <w:lang w:val="en-US" w:eastAsia="zh-CN"/>
        </w:rPr>
        <w:t>6</w:t>
      </w:r>
      <w:r>
        <w:rPr>
          <w:rFonts w:eastAsia="方正楷体_GBK"/>
          <w:color w:val="0C0C0C"/>
          <w:sz w:val="32"/>
          <w:szCs w:val="32"/>
        </w:rPr>
        <w:t>月</w:t>
      </w:r>
      <w:r>
        <w:rPr>
          <w:rFonts w:hint="eastAsia" w:eastAsia="方正楷体_GBK"/>
          <w:color w:val="0C0C0C"/>
          <w:sz w:val="32"/>
          <w:szCs w:val="32"/>
          <w:lang w:val="en-US" w:eastAsia="zh-CN"/>
        </w:rPr>
        <w:t>5</w:t>
      </w:r>
      <w:bookmarkStart w:id="0" w:name="_GoBack"/>
      <w:bookmarkEnd w:id="0"/>
      <w:r>
        <w:rPr>
          <w:rFonts w:eastAsia="方正楷体_GBK"/>
          <w:color w:val="0C0C0C"/>
          <w:sz w:val="32"/>
          <w:szCs w:val="32"/>
        </w:rPr>
        <w:t>日）</w:t>
      </w:r>
    </w:p>
    <w:p w14:paraId="63CE41CF">
      <w:pPr>
        <w:widowControl/>
        <w:spacing w:line="570" w:lineRule="exact"/>
        <w:ind w:firstLine="0" w:firstLineChars="0"/>
        <w:textAlignment w:val="auto"/>
        <w:rPr>
          <w:color w:val="0C0C0C"/>
          <w:sz w:val="36"/>
          <w:szCs w:val="36"/>
        </w:rPr>
      </w:pPr>
    </w:p>
    <w:p w14:paraId="7ABF8600">
      <w:pPr>
        <w:pStyle w:val="2"/>
        <w:keepNext w:val="0"/>
        <w:keepLines w:val="0"/>
        <w:pageBreakBefore w:val="0"/>
        <w:kinsoku/>
        <w:wordWrap/>
        <w:overflowPunct/>
        <w:topLinePunct w:val="0"/>
        <w:autoSpaceDE/>
        <w:autoSpaceDN/>
        <w:bidi w:val="0"/>
        <w:adjustRightInd/>
        <w:snapToGrid/>
        <w:spacing w:line="570" w:lineRule="exact"/>
        <w:ind w:firstLine="616"/>
        <w:rPr>
          <w:color w:val="0C0C0C"/>
          <w:sz w:val="32"/>
          <w:szCs w:val="32"/>
        </w:rPr>
      </w:pPr>
      <w:r>
        <w:rPr>
          <w:color w:val="0C0C0C"/>
          <w:spacing w:val="-6"/>
          <w:sz w:val="32"/>
          <w:szCs w:val="32"/>
        </w:rPr>
        <w:t>根据第五次全国经济普查结果，现将我县第三产业中科学研究和技术服务业，水利、环境和公共设施管理业，居民服务、修理和其他服务业，教育，卫生和社会工作，文化、体育和娱乐业，公共管理、社会保障和社会组织的主要数据公布如下：</w:t>
      </w:r>
    </w:p>
    <w:p w14:paraId="2084AC1B">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方正黑体_GBK" w:hAnsi="方正黑体_GBK" w:eastAsia="方正黑体_GBK" w:cs="方正黑体_GBK"/>
          <w:color w:val="0C0C0C"/>
          <w:sz w:val="32"/>
          <w:szCs w:val="32"/>
        </w:rPr>
      </w:pPr>
      <w:r>
        <w:rPr>
          <w:rFonts w:eastAsia="黑体"/>
          <w:bCs/>
          <w:color w:val="0C0C0C"/>
          <w:kern w:val="0"/>
          <w:sz w:val="32"/>
          <w:szCs w:val="32"/>
        </w:rPr>
        <w:t xml:space="preserve">    </w:t>
      </w:r>
      <w:r>
        <w:rPr>
          <w:rFonts w:hint="eastAsia" w:ascii="方正黑体_GBK" w:hAnsi="方正黑体_GBK" w:eastAsia="方正黑体_GBK" w:cs="方正黑体_GBK"/>
          <w:bCs/>
          <w:color w:val="0C0C0C"/>
          <w:kern w:val="0"/>
          <w:sz w:val="32"/>
          <w:szCs w:val="32"/>
        </w:rPr>
        <w:t>一、科学研究和技术服务业</w:t>
      </w:r>
    </w:p>
    <w:p w14:paraId="1CCB5643">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方正楷体_GBK" w:hAnsi="方正楷体_GBK" w:eastAsia="方正楷体_GBK" w:cs="方正楷体_GBK"/>
          <w:color w:val="0C0C0C"/>
          <w:spacing w:val="-6"/>
          <w:sz w:val="32"/>
          <w:szCs w:val="32"/>
        </w:rPr>
      </w:pPr>
      <w:r>
        <w:rPr>
          <w:color w:val="0C0C0C"/>
          <w:kern w:val="0"/>
          <w:sz w:val="32"/>
          <w:szCs w:val="32"/>
        </w:rPr>
        <w:t xml:space="preserve">    </w:t>
      </w:r>
      <w:r>
        <w:rPr>
          <w:rFonts w:hint="eastAsia" w:ascii="方正楷体_GBK" w:hAnsi="方正楷体_GBK" w:eastAsia="方正楷体_GBK" w:cs="方正楷体_GBK"/>
          <w:color w:val="0C0C0C"/>
          <w:spacing w:val="-6"/>
          <w:sz w:val="32"/>
          <w:szCs w:val="32"/>
        </w:rPr>
        <w:t>（一）法人单位数和从业人员</w:t>
      </w:r>
    </w:p>
    <w:p w14:paraId="3FB902A2">
      <w:pPr>
        <w:keepNext w:val="0"/>
        <w:keepLines w:val="0"/>
        <w:pageBreakBefore w:val="0"/>
        <w:widowControl/>
        <w:kinsoku/>
        <w:wordWrap/>
        <w:overflowPunct/>
        <w:topLinePunct w:val="0"/>
        <w:autoSpaceDE/>
        <w:autoSpaceDN/>
        <w:bidi w:val="0"/>
        <w:adjustRightInd/>
        <w:snapToGrid/>
        <w:spacing w:line="570" w:lineRule="exact"/>
        <w:ind w:firstLine="640" w:firstLineChars="0"/>
        <w:textAlignment w:val="auto"/>
        <w:rPr>
          <w:color w:val="0C0C0C"/>
          <w:spacing w:val="-6"/>
          <w:sz w:val="32"/>
          <w:szCs w:val="32"/>
        </w:rPr>
      </w:pPr>
      <w:r>
        <w:rPr>
          <w:color w:val="0C0C0C"/>
          <w:spacing w:val="-6"/>
          <w:sz w:val="32"/>
          <w:szCs w:val="32"/>
        </w:rPr>
        <w:t>2023年末，全县共有科学研究和技术服务业法人单位</w:t>
      </w:r>
      <w:r>
        <w:rPr>
          <w:color w:val="0C0C0C"/>
          <w:sz w:val="32"/>
          <w:szCs w:val="32"/>
        </w:rPr>
        <w:t>405</w:t>
      </w:r>
      <w:r>
        <w:rPr>
          <w:color w:val="0C0C0C"/>
          <w:spacing w:val="-6"/>
          <w:sz w:val="32"/>
          <w:szCs w:val="32"/>
        </w:rPr>
        <w:t>个，从业人员</w:t>
      </w:r>
      <w:r>
        <w:rPr>
          <w:color w:val="0C0C0C"/>
          <w:sz w:val="32"/>
          <w:szCs w:val="32"/>
        </w:rPr>
        <w:t>3212</w:t>
      </w:r>
      <w:r>
        <w:rPr>
          <w:color w:val="0C0C0C"/>
          <w:spacing w:val="-6"/>
          <w:sz w:val="32"/>
          <w:szCs w:val="32"/>
        </w:rPr>
        <w:t>人，分别比2018年末增长</w:t>
      </w:r>
      <w:r>
        <w:rPr>
          <w:color w:val="0C0C0C"/>
          <w:sz w:val="32"/>
          <w:szCs w:val="32"/>
        </w:rPr>
        <w:t>173.6</w:t>
      </w:r>
      <w:r>
        <w:rPr>
          <w:color w:val="0C0C0C"/>
          <w:spacing w:val="-6"/>
          <w:sz w:val="32"/>
          <w:szCs w:val="32"/>
        </w:rPr>
        <w:t>%和</w:t>
      </w:r>
      <w:r>
        <w:rPr>
          <w:color w:val="0C0C0C"/>
          <w:sz w:val="32"/>
          <w:szCs w:val="32"/>
        </w:rPr>
        <w:t>128.0</w:t>
      </w:r>
      <w:r>
        <w:rPr>
          <w:color w:val="0C0C0C"/>
          <w:spacing w:val="-6"/>
          <w:sz w:val="32"/>
          <w:szCs w:val="32"/>
        </w:rPr>
        <w:t>%。其中，企业法人单位</w:t>
      </w:r>
      <w:r>
        <w:rPr>
          <w:color w:val="0C0C0C"/>
          <w:kern w:val="0"/>
          <w:sz w:val="32"/>
          <w:szCs w:val="32"/>
          <w:vertAlign w:val="superscript"/>
        </w:rPr>
        <w:footnoteReference w:id="0"/>
      </w:r>
      <w:r>
        <w:rPr>
          <w:color w:val="0C0C0C"/>
          <w:sz w:val="32"/>
          <w:szCs w:val="32"/>
        </w:rPr>
        <w:t>373</w:t>
      </w:r>
      <w:r>
        <w:rPr>
          <w:color w:val="0C0C0C"/>
          <w:spacing w:val="-6"/>
          <w:sz w:val="32"/>
          <w:szCs w:val="32"/>
        </w:rPr>
        <w:t>个，从业人员</w:t>
      </w:r>
      <w:r>
        <w:rPr>
          <w:color w:val="0C0C0C"/>
          <w:sz w:val="32"/>
          <w:szCs w:val="32"/>
        </w:rPr>
        <w:t>2849</w:t>
      </w:r>
      <w:r>
        <w:rPr>
          <w:color w:val="0C0C0C"/>
          <w:spacing w:val="-6"/>
          <w:sz w:val="32"/>
          <w:szCs w:val="32"/>
        </w:rPr>
        <w:t>人，分别比2018年末增长</w:t>
      </w:r>
      <w:r>
        <w:rPr>
          <w:color w:val="0C0C0C"/>
          <w:sz w:val="32"/>
          <w:szCs w:val="32"/>
        </w:rPr>
        <w:t>258.7</w:t>
      </w:r>
      <w:r>
        <w:rPr>
          <w:color w:val="0C0C0C"/>
          <w:spacing w:val="-6"/>
          <w:sz w:val="32"/>
          <w:szCs w:val="32"/>
        </w:rPr>
        <w:t>%和</w:t>
      </w:r>
      <w:r>
        <w:rPr>
          <w:color w:val="0C0C0C"/>
          <w:sz w:val="32"/>
          <w:szCs w:val="32"/>
        </w:rPr>
        <w:t>174.5</w:t>
      </w:r>
      <w:r>
        <w:rPr>
          <w:color w:val="0C0C0C"/>
          <w:spacing w:val="-6"/>
          <w:sz w:val="32"/>
          <w:szCs w:val="32"/>
        </w:rPr>
        <w:t>%（详见表5-1）。</w:t>
      </w:r>
    </w:p>
    <w:p w14:paraId="37A6E6D4">
      <w:pPr>
        <w:widowControl/>
        <w:spacing w:before="122" w:beforeLines="30"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表5-1　按行业大类分组的科学研究和技术服务业</w:t>
      </w:r>
    </w:p>
    <w:p w14:paraId="18F23506">
      <w:pPr>
        <w:widowControl/>
        <w:spacing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33"/>
        <w:gridCol w:w="2349"/>
        <w:gridCol w:w="2350"/>
      </w:tblGrid>
      <w:tr w14:paraId="19882A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33" w:type="dxa"/>
            <w:tcBorders>
              <w:top w:val="single" w:color="auto" w:sz="12" w:space="0"/>
              <w:left w:val="nil"/>
              <w:bottom w:val="single" w:color="auto" w:sz="4" w:space="0"/>
              <w:right w:val="single" w:color="auto" w:sz="4" w:space="0"/>
            </w:tcBorders>
            <w:vAlign w:val="center"/>
          </w:tcPr>
          <w:p w14:paraId="1EE8F123">
            <w:pPr>
              <w:widowControl/>
              <w:spacing w:line="300" w:lineRule="exact"/>
              <w:ind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2349" w:type="dxa"/>
            <w:tcBorders>
              <w:top w:val="single" w:color="auto" w:sz="12" w:space="0"/>
              <w:left w:val="single" w:color="auto" w:sz="4" w:space="0"/>
              <w:bottom w:val="single" w:color="auto" w:sz="4" w:space="0"/>
              <w:right w:val="single" w:color="auto" w:sz="4" w:space="0"/>
            </w:tcBorders>
            <w:vAlign w:val="center"/>
          </w:tcPr>
          <w:p w14:paraId="697789E7">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企业法人单位</w:t>
            </w:r>
          </w:p>
          <w:p w14:paraId="29F259FB">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（个）</w:t>
            </w:r>
          </w:p>
        </w:tc>
        <w:tc>
          <w:tcPr>
            <w:tcW w:w="2350" w:type="dxa"/>
            <w:tcBorders>
              <w:top w:val="single" w:color="auto" w:sz="12" w:space="0"/>
              <w:left w:val="single" w:color="auto" w:sz="4" w:space="0"/>
              <w:bottom w:val="single" w:color="auto" w:sz="4" w:space="0"/>
              <w:right w:val="nil"/>
            </w:tcBorders>
            <w:vAlign w:val="center"/>
          </w:tcPr>
          <w:p w14:paraId="5172BDB6">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从业人员</w:t>
            </w:r>
          </w:p>
          <w:p w14:paraId="39E4CC8E">
            <w:pPr>
              <w:widowControl/>
              <w:spacing w:line="30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r>
      <w:tr w14:paraId="587077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33" w:type="dxa"/>
            <w:tcBorders>
              <w:top w:val="single" w:color="auto" w:sz="4" w:space="0"/>
              <w:left w:val="nil"/>
              <w:bottom w:val="nil"/>
              <w:right w:val="single" w:color="auto" w:sz="4" w:space="0"/>
            </w:tcBorders>
            <w:vAlign w:val="center"/>
          </w:tcPr>
          <w:p w14:paraId="17D210FE">
            <w:pPr>
              <w:widowControl/>
              <w:spacing w:line="30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2349" w:type="dxa"/>
            <w:tcBorders>
              <w:top w:val="single" w:color="auto" w:sz="4" w:space="0"/>
              <w:left w:val="single" w:color="auto" w:sz="4" w:space="0"/>
              <w:bottom w:val="nil"/>
              <w:right w:val="single" w:color="auto" w:sz="4" w:space="0"/>
            </w:tcBorders>
            <w:vAlign w:val="center"/>
          </w:tcPr>
          <w:p w14:paraId="70E29A1E">
            <w:pPr>
              <w:widowControl/>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373</w:t>
            </w:r>
          </w:p>
        </w:tc>
        <w:tc>
          <w:tcPr>
            <w:tcW w:w="2350" w:type="dxa"/>
            <w:tcBorders>
              <w:top w:val="single" w:color="auto" w:sz="4" w:space="0"/>
              <w:left w:val="single" w:color="auto" w:sz="4" w:space="0"/>
              <w:bottom w:val="nil"/>
              <w:right w:val="nil"/>
            </w:tcBorders>
            <w:vAlign w:val="center"/>
          </w:tcPr>
          <w:p w14:paraId="403F536E">
            <w:pPr>
              <w:widowControl/>
              <w:spacing w:line="30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2849</w:t>
            </w:r>
          </w:p>
        </w:tc>
      </w:tr>
      <w:tr w14:paraId="7146FA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33" w:type="dxa"/>
            <w:tcBorders>
              <w:top w:val="nil"/>
              <w:left w:val="nil"/>
              <w:bottom w:val="nil"/>
              <w:right w:val="single" w:color="auto" w:sz="4" w:space="0"/>
            </w:tcBorders>
            <w:vAlign w:val="center"/>
          </w:tcPr>
          <w:p w14:paraId="6DA19F74">
            <w:pPr>
              <w:widowControl/>
              <w:spacing w:line="30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研究和试验发展</w:t>
            </w:r>
          </w:p>
        </w:tc>
        <w:tc>
          <w:tcPr>
            <w:tcW w:w="2349" w:type="dxa"/>
            <w:tcBorders>
              <w:top w:val="nil"/>
              <w:left w:val="single" w:color="auto" w:sz="4" w:space="0"/>
              <w:bottom w:val="nil"/>
              <w:right w:val="single" w:color="auto" w:sz="4" w:space="0"/>
            </w:tcBorders>
            <w:vAlign w:val="center"/>
          </w:tcPr>
          <w:p w14:paraId="6C6F1AB3">
            <w:pPr>
              <w:widowControl/>
              <w:spacing w:line="300" w:lineRule="exact"/>
              <w:ind w:firstLine="0" w:firstLineChars="0"/>
              <w:jc w:val="right"/>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13</w:t>
            </w:r>
          </w:p>
        </w:tc>
        <w:tc>
          <w:tcPr>
            <w:tcW w:w="2350" w:type="dxa"/>
            <w:tcBorders>
              <w:top w:val="nil"/>
              <w:left w:val="single" w:color="auto" w:sz="4" w:space="0"/>
              <w:bottom w:val="nil"/>
              <w:right w:val="nil"/>
            </w:tcBorders>
            <w:vAlign w:val="center"/>
          </w:tcPr>
          <w:p w14:paraId="7D604514">
            <w:pPr>
              <w:widowControl/>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86</w:t>
            </w:r>
          </w:p>
        </w:tc>
      </w:tr>
      <w:tr w14:paraId="12D46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33" w:type="dxa"/>
            <w:tcBorders>
              <w:top w:val="nil"/>
              <w:left w:val="nil"/>
              <w:bottom w:val="nil"/>
              <w:right w:val="single" w:color="auto" w:sz="4" w:space="0"/>
            </w:tcBorders>
            <w:vAlign w:val="center"/>
          </w:tcPr>
          <w:p w14:paraId="4B02835D">
            <w:pPr>
              <w:widowControl/>
              <w:spacing w:line="30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专业技术服务业</w:t>
            </w:r>
          </w:p>
        </w:tc>
        <w:tc>
          <w:tcPr>
            <w:tcW w:w="2349" w:type="dxa"/>
            <w:tcBorders>
              <w:top w:val="nil"/>
              <w:left w:val="single" w:color="auto" w:sz="4" w:space="0"/>
              <w:bottom w:val="nil"/>
              <w:right w:val="single" w:color="auto" w:sz="4" w:space="0"/>
            </w:tcBorders>
            <w:vAlign w:val="center"/>
          </w:tcPr>
          <w:p w14:paraId="3A76572F">
            <w:pPr>
              <w:widowControl/>
              <w:spacing w:line="300" w:lineRule="exact"/>
              <w:ind w:firstLine="0" w:firstLineChars="0"/>
              <w:jc w:val="right"/>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152</w:t>
            </w:r>
          </w:p>
        </w:tc>
        <w:tc>
          <w:tcPr>
            <w:tcW w:w="2350" w:type="dxa"/>
            <w:tcBorders>
              <w:top w:val="nil"/>
              <w:left w:val="single" w:color="auto" w:sz="4" w:space="0"/>
              <w:bottom w:val="nil"/>
              <w:right w:val="nil"/>
            </w:tcBorders>
            <w:vAlign w:val="center"/>
          </w:tcPr>
          <w:p w14:paraId="68FB7C17">
            <w:pPr>
              <w:widowControl/>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1439</w:t>
            </w:r>
          </w:p>
        </w:tc>
      </w:tr>
      <w:tr w14:paraId="2ED0C4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33" w:type="dxa"/>
            <w:tcBorders>
              <w:top w:val="nil"/>
              <w:left w:val="nil"/>
              <w:bottom w:val="single" w:color="auto" w:sz="12" w:space="0"/>
              <w:right w:val="single" w:color="auto" w:sz="4" w:space="0"/>
            </w:tcBorders>
            <w:vAlign w:val="center"/>
          </w:tcPr>
          <w:p w14:paraId="7A4AA52C">
            <w:pPr>
              <w:widowControl/>
              <w:spacing w:line="30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科技推广和应用服务业</w:t>
            </w:r>
          </w:p>
        </w:tc>
        <w:tc>
          <w:tcPr>
            <w:tcW w:w="2349" w:type="dxa"/>
            <w:tcBorders>
              <w:top w:val="nil"/>
              <w:left w:val="single" w:color="auto" w:sz="4" w:space="0"/>
              <w:bottom w:val="single" w:color="auto" w:sz="12" w:space="0"/>
              <w:right w:val="single" w:color="auto" w:sz="4" w:space="0"/>
            </w:tcBorders>
            <w:vAlign w:val="center"/>
          </w:tcPr>
          <w:p w14:paraId="1CAF90D5">
            <w:pPr>
              <w:widowControl/>
              <w:spacing w:line="300" w:lineRule="exact"/>
              <w:ind w:firstLine="0" w:firstLineChars="0"/>
              <w:jc w:val="right"/>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208</w:t>
            </w:r>
          </w:p>
        </w:tc>
        <w:tc>
          <w:tcPr>
            <w:tcW w:w="2350" w:type="dxa"/>
            <w:tcBorders>
              <w:top w:val="nil"/>
              <w:left w:val="single" w:color="auto" w:sz="4" w:space="0"/>
              <w:bottom w:val="single" w:color="auto" w:sz="12" w:space="0"/>
              <w:right w:val="nil"/>
            </w:tcBorders>
            <w:vAlign w:val="center"/>
          </w:tcPr>
          <w:p w14:paraId="1653FAFF">
            <w:pPr>
              <w:widowControl/>
              <w:spacing w:line="30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1324</w:t>
            </w:r>
          </w:p>
        </w:tc>
      </w:tr>
    </w:tbl>
    <w:p w14:paraId="1A06C81D">
      <w:pPr>
        <w:widowControl/>
        <w:spacing w:before="204" w:beforeLines="50" w:line="570" w:lineRule="exact"/>
        <w:ind w:firstLine="616"/>
        <w:textAlignment w:val="auto"/>
        <w:rPr>
          <w:color w:val="0C0C0C"/>
          <w:spacing w:val="-6"/>
          <w:sz w:val="32"/>
          <w:szCs w:val="32"/>
        </w:rPr>
      </w:pPr>
      <w:r>
        <w:rPr>
          <w:color w:val="0C0C0C"/>
          <w:spacing w:val="-6"/>
          <w:sz w:val="32"/>
          <w:szCs w:val="32"/>
        </w:rPr>
        <w:t>在科学研究和技术服务业企业法人单位中，内资企业占</w:t>
      </w:r>
      <w:r>
        <w:rPr>
          <w:color w:val="0C0C0C"/>
          <w:sz w:val="32"/>
          <w:szCs w:val="32"/>
        </w:rPr>
        <w:t>90.1</w:t>
      </w:r>
      <w:r>
        <w:rPr>
          <w:color w:val="0C0C0C"/>
          <w:spacing w:val="-6"/>
          <w:sz w:val="32"/>
          <w:szCs w:val="32"/>
        </w:rPr>
        <w:t>%。</w:t>
      </w:r>
    </w:p>
    <w:p w14:paraId="1137BEBB">
      <w:pPr>
        <w:widowControl/>
        <w:spacing w:line="570" w:lineRule="exact"/>
        <w:ind w:firstLine="0" w:firstLineChars="0"/>
        <w:textAlignment w:val="auto"/>
        <w:rPr>
          <w:color w:val="0C0C0C"/>
          <w:spacing w:val="-6"/>
          <w:sz w:val="32"/>
          <w:szCs w:val="32"/>
        </w:rPr>
      </w:pPr>
      <w:r>
        <w:rPr>
          <w:color w:val="0C0C0C"/>
          <w:spacing w:val="-6"/>
          <w:sz w:val="32"/>
          <w:szCs w:val="32"/>
        </w:rPr>
        <w:t xml:space="preserve">    在科学研究和技术服务业企业法人单位从业人员中，内资企业占</w:t>
      </w:r>
      <w:r>
        <w:rPr>
          <w:color w:val="0C0C0C"/>
          <w:sz w:val="32"/>
          <w:szCs w:val="32"/>
        </w:rPr>
        <w:t>91.1</w:t>
      </w:r>
      <w:r>
        <w:rPr>
          <w:color w:val="0C0C0C"/>
          <w:spacing w:val="-6"/>
          <w:sz w:val="32"/>
          <w:szCs w:val="32"/>
        </w:rPr>
        <w:t>%（详见表5-2）。</w:t>
      </w:r>
    </w:p>
    <w:p w14:paraId="229CB645">
      <w:pPr>
        <w:widowControl/>
        <w:spacing w:before="122" w:beforeLines="30"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表5-2　按登记注册统计类别分组的科学研究和技术服务业</w:t>
      </w:r>
    </w:p>
    <w:p w14:paraId="71094097">
      <w:pPr>
        <w:widowControl/>
        <w:spacing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企业法人单位数和从业人员</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73"/>
        <w:gridCol w:w="2383"/>
        <w:gridCol w:w="2384"/>
      </w:tblGrid>
      <w:tr w14:paraId="5685B6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single" w:color="auto" w:sz="12" w:space="0"/>
              <w:left w:val="nil"/>
              <w:bottom w:val="single" w:color="auto" w:sz="4" w:space="0"/>
              <w:right w:val="single" w:color="auto" w:sz="4" w:space="0"/>
            </w:tcBorders>
            <w:vAlign w:val="center"/>
          </w:tcPr>
          <w:p w14:paraId="0AFFE4A8">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347" w:type="pct"/>
            <w:tcBorders>
              <w:top w:val="single" w:color="auto" w:sz="12" w:space="0"/>
              <w:left w:val="single" w:color="auto" w:sz="4" w:space="0"/>
              <w:bottom w:val="single" w:color="auto" w:sz="4" w:space="0"/>
              <w:right w:val="single" w:color="auto" w:sz="4" w:space="0"/>
            </w:tcBorders>
            <w:vAlign w:val="center"/>
          </w:tcPr>
          <w:p w14:paraId="15F3C7FE">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企业法人单位</w:t>
            </w:r>
          </w:p>
          <w:p w14:paraId="444C0F46">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（个）</w:t>
            </w:r>
          </w:p>
        </w:tc>
        <w:tc>
          <w:tcPr>
            <w:tcW w:w="1348" w:type="pct"/>
            <w:tcBorders>
              <w:top w:val="single" w:color="auto" w:sz="12" w:space="0"/>
              <w:left w:val="single" w:color="auto" w:sz="4" w:space="0"/>
              <w:bottom w:val="single" w:color="auto" w:sz="4" w:space="0"/>
              <w:right w:val="nil"/>
            </w:tcBorders>
            <w:vAlign w:val="center"/>
          </w:tcPr>
          <w:p w14:paraId="34F2CC84">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从业人员</w:t>
            </w:r>
          </w:p>
          <w:p w14:paraId="619CC6DB">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r>
      <w:tr w14:paraId="1A285D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single" w:color="auto" w:sz="4" w:space="0"/>
              <w:left w:val="nil"/>
              <w:bottom w:val="nil"/>
              <w:right w:val="single" w:color="auto" w:sz="4" w:space="0"/>
            </w:tcBorders>
            <w:vAlign w:val="center"/>
          </w:tcPr>
          <w:p w14:paraId="62C17D07">
            <w:pPr>
              <w:widowControl/>
              <w:spacing w:line="32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347" w:type="pct"/>
            <w:tcBorders>
              <w:top w:val="single" w:color="auto" w:sz="4" w:space="0"/>
              <w:left w:val="single" w:color="auto" w:sz="4" w:space="0"/>
              <w:bottom w:val="nil"/>
              <w:right w:val="single" w:color="auto" w:sz="4" w:space="0"/>
            </w:tcBorders>
            <w:vAlign w:val="center"/>
          </w:tcPr>
          <w:p w14:paraId="33E6711A">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373</w:t>
            </w:r>
          </w:p>
        </w:tc>
        <w:tc>
          <w:tcPr>
            <w:tcW w:w="1348" w:type="pct"/>
            <w:tcBorders>
              <w:top w:val="single" w:color="auto" w:sz="4" w:space="0"/>
              <w:left w:val="single" w:color="auto" w:sz="4" w:space="0"/>
              <w:bottom w:val="nil"/>
              <w:right w:val="nil"/>
            </w:tcBorders>
            <w:vAlign w:val="center"/>
          </w:tcPr>
          <w:p w14:paraId="2A8DBA14">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2849</w:t>
            </w:r>
          </w:p>
        </w:tc>
      </w:tr>
      <w:tr w14:paraId="0E342E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nil"/>
              <w:left w:val="nil"/>
              <w:bottom w:val="nil"/>
              <w:right w:val="single" w:color="auto" w:sz="4" w:space="0"/>
            </w:tcBorders>
            <w:vAlign w:val="center"/>
          </w:tcPr>
          <w:p w14:paraId="199C53C3">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rPr>
            </w:pPr>
            <w:r>
              <w:rPr>
                <w:rFonts w:hint="default" w:ascii="Times New Roman" w:hAnsi="Times New Roman" w:eastAsia="方正仿宋_GBK" w:cs="Times New Roman"/>
                <w:bCs/>
                <w:color w:val="0C0C0C"/>
                <w:kern w:val="0"/>
                <w:sz w:val="21"/>
                <w:szCs w:val="21"/>
              </w:rPr>
              <w:t>内资企业</w:t>
            </w:r>
          </w:p>
        </w:tc>
        <w:tc>
          <w:tcPr>
            <w:tcW w:w="1347" w:type="pct"/>
            <w:tcBorders>
              <w:top w:val="nil"/>
              <w:left w:val="single" w:color="auto" w:sz="4" w:space="0"/>
              <w:bottom w:val="nil"/>
              <w:right w:val="single" w:color="auto" w:sz="4" w:space="0"/>
            </w:tcBorders>
            <w:vAlign w:val="center"/>
          </w:tcPr>
          <w:p w14:paraId="1D461FC2">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336</w:t>
            </w:r>
          </w:p>
        </w:tc>
        <w:tc>
          <w:tcPr>
            <w:tcW w:w="1348" w:type="pct"/>
            <w:tcBorders>
              <w:top w:val="nil"/>
              <w:left w:val="single" w:color="auto" w:sz="4" w:space="0"/>
              <w:bottom w:val="nil"/>
              <w:right w:val="nil"/>
            </w:tcBorders>
            <w:vAlign w:val="center"/>
          </w:tcPr>
          <w:p w14:paraId="263D06A2">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2766</w:t>
            </w:r>
          </w:p>
        </w:tc>
      </w:tr>
      <w:tr w14:paraId="5BE66B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nil"/>
              <w:left w:val="nil"/>
              <w:bottom w:val="nil"/>
              <w:right w:val="single" w:color="auto" w:sz="4" w:space="0"/>
            </w:tcBorders>
            <w:vAlign w:val="center"/>
          </w:tcPr>
          <w:p w14:paraId="02E1E5D8">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rPr>
            </w:pPr>
            <w:r>
              <w:rPr>
                <w:rFonts w:hint="default" w:ascii="Times New Roman" w:hAnsi="Times New Roman" w:eastAsia="方正仿宋_GBK" w:cs="Times New Roman"/>
                <w:bCs/>
                <w:color w:val="0C0C0C"/>
                <w:kern w:val="0"/>
                <w:sz w:val="21"/>
                <w:szCs w:val="21"/>
              </w:rPr>
              <w:t>港澳台投资企业</w:t>
            </w:r>
          </w:p>
        </w:tc>
        <w:tc>
          <w:tcPr>
            <w:tcW w:w="1347" w:type="pct"/>
            <w:tcBorders>
              <w:top w:val="nil"/>
              <w:left w:val="single" w:color="auto" w:sz="4" w:space="0"/>
              <w:bottom w:val="nil"/>
              <w:right w:val="single" w:color="auto" w:sz="4" w:space="0"/>
            </w:tcBorders>
            <w:vAlign w:val="center"/>
          </w:tcPr>
          <w:p w14:paraId="2F3B5215">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c>
          <w:tcPr>
            <w:tcW w:w="1348" w:type="pct"/>
            <w:tcBorders>
              <w:top w:val="nil"/>
              <w:left w:val="single" w:color="auto" w:sz="4" w:space="0"/>
              <w:bottom w:val="nil"/>
              <w:right w:val="nil"/>
            </w:tcBorders>
            <w:vAlign w:val="center"/>
          </w:tcPr>
          <w:p w14:paraId="11C8B578">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r>
      <w:tr w14:paraId="1FFD17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nil"/>
              <w:left w:val="nil"/>
              <w:bottom w:val="nil"/>
              <w:right w:val="single" w:color="auto" w:sz="4" w:space="0"/>
            </w:tcBorders>
            <w:vAlign w:val="center"/>
          </w:tcPr>
          <w:p w14:paraId="31C25B95">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rPr>
            </w:pPr>
            <w:r>
              <w:rPr>
                <w:rFonts w:hint="default" w:ascii="Times New Roman" w:hAnsi="Times New Roman" w:eastAsia="方正仿宋_GBK" w:cs="Times New Roman"/>
                <w:bCs/>
                <w:color w:val="0C0C0C"/>
                <w:kern w:val="0"/>
                <w:sz w:val="21"/>
                <w:szCs w:val="21"/>
              </w:rPr>
              <w:t>外商投资企业</w:t>
            </w:r>
          </w:p>
        </w:tc>
        <w:tc>
          <w:tcPr>
            <w:tcW w:w="1347" w:type="pct"/>
            <w:tcBorders>
              <w:top w:val="nil"/>
              <w:left w:val="single" w:color="auto" w:sz="4" w:space="0"/>
              <w:bottom w:val="nil"/>
              <w:right w:val="single" w:color="auto" w:sz="4" w:space="0"/>
            </w:tcBorders>
            <w:vAlign w:val="center"/>
          </w:tcPr>
          <w:p w14:paraId="0840413E">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c>
          <w:tcPr>
            <w:tcW w:w="1348" w:type="pct"/>
            <w:tcBorders>
              <w:top w:val="nil"/>
              <w:left w:val="single" w:color="auto" w:sz="4" w:space="0"/>
              <w:bottom w:val="nil"/>
              <w:right w:val="nil"/>
            </w:tcBorders>
            <w:vAlign w:val="center"/>
          </w:tcPr>
          <w:p w14:paraId="2413A065">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r>
      <w:tr w14:paraId="601945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03" w:type="pct"/>
            <w:tcBorders>
              <w:top w:val="nil"/>
              <w:left w:val="nil"/>
              <w:bottom w:val="single" w:color="auto" w:sz="12" w:space="0"/>
              <w:right w:val="single" w:color="auto" w:sz="4" w:space="0"/>
            </w:tcBorders>
            <w:vAlign w:val="center"/>
          </w:tcPr>
          <w:p w14:paraId="4B760800">
            <w:pPr>
              <w:widowControl/>
              <w:spacing w:line="320" w:lineRule="exact"/>
              <w:ind w:right="57" w:firstLine="0" w:firstLineChars="0"/>
              <w:jc w:val="left"/>
              <w:textAlignment w:val="auto"/>
              <w:rPr>
                <w:rFonts w:hint="default" w:ascii="Times New Roman" w:hAnsi="Times New Roman" w:eastAsia="方正仿宋_GBK" w:cs="Times New Roman"/>
                <w:bCs/>
                <w:color w:val="0C0C0C"/>
                <w:kern w:val="0"/>
                <w:sz w:val="21"/>
                <w:szCs w:val="21"/>
              </w:rPr>
            </w:pPr>
            <w:r>
              <w:rPr>
                <w:rFonts w:hint="default" w:ascii="Times New Roman" w:hAnsi="Times New Roman" w:eastAsia="方正仿宋_GBK" w:cs="Times New Roman"/>
                <w:bCs/>
                <w:color w:val="0C0C0C"/>
                <w:kern w:val="0"/>
                <w:sz w:val="21"/>
                <w:szCs w:val="21"/>
              </w:rPr>
              <w:t>其他统计类别</w:t>
            </w:r>
          </w:p>
        </w:tc>
        <w:tc>
          <w:tcPr>
            <w:tcW w:w="1347" w:type="pct"/>
            <w:tcBorders>
              <w:top w:val="nil"/>
              <w:left w:val="single" w:color="auto" w:sz="4" w:space="0"/>
              <w:bottom w:val="single" w:color="auto" w:sz="12" w:space="0"/>
              <w:right w:val="single" w:color="auto" w:sz="4" w:space="0"/>
            </w:tcBorders>
            <w:vAlign w:val="center"/>
          </w:tcPr>
          <w:p w14:paraId="0A1DD134">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37</w:t>
            </w:r>
          </w:p>
        </w:tc>
        <w:tc>
          <w:tcPr>
            <w:tcW w:w="1348" w:type="pct"/>
            <w:tcBorders>
              <w:top w:val="nil"/>
              <w:left w:val="single" w:color="auto" w:sz="4" w:space="0"/>
              <w:bottom w:val="single" w:color="auto" w:sz="12" w:space="0"/>
              <w:right w:val="nil"/>
            </w:tcBorders>
            <w:vAlign w:val="center"/>
          </w:tcPr>
          <w:p w14:paraId="34EF6C44">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83</w:t>
            </w:r>
          </w:p>
        </w:tc>
      </w:tr>
    </w:tbl>
    <w:p w14:paraId="4483365E">
      <w:pPr>
        <w:widowControl/>
        <w:spacing w:line="570" w:lineRule="exact"/>
        <w:ind w:firstLine="0" w:firstLineChars="0"/>
        <w:jc w:val="left"/>
        <w:textAlignment w:val="auto"/>
        <w:rPr>
          <w:rFonts w:hint="eastAsia" w:ascii="方正楷体_GBK" w:hAnsi="方正楷体_GBK" w:eastAsia="方正楷体_GBK" w:cs="方正楷体_GBK"/>
          <w:color w:val="0C0C0C"/>
          <w:spacing w:val="-6"/>
          <w:sz w:val="32"/>
          <w:szCs w:val="32"/>
        </w:rPr>
      </w:pPr>
      <w:r>
        <w:rPr>
          <w:rFonts w:eastAsia="楷体_GB2312"/>
          <w:color w:val="0C0C0C"/>
          <w:kern w:val="0"/>
          <w:sz w:val="36"/>
          <w:szCs w:val="36"/>
        </w:rPr>
        <w:t xml:space="preserve">    </w:t>
      </w:r>
      <w:r>
        <w:rPr>
          <w:rFonts w:hint="eastAsia" w:ascii="方正楷体_GBK" w:hAnsi="方正楷体_GBK" w:eastAsia="方正楷体_GBK" w:cs="方正楷体_GBK"/>
          <w:color w:val="0C0C0C"/>
          <w:spacing w:val="-6"/>
          <w:sz w:val="32"/>
          <w:szCs w:val="32"/>
        </w:rPr>
        <w:t>（二）主要经济指标</w:t>
      </w:r>
    </w:p>
    <w:p w14:paraId="78C986DE">
      <w:pPr>
        <w:widowControl/>
        <w:spacing w:line="570" w:lineRule="exact"/>
        <w:ind w:firstLine="0" w:firstLineChars="0"/>
        <w:textAlignment w:val="auto"/>
        <w:rPr>
          <w:color w:val="0C0C0C"/>
          <w:spacing w:val="-6"/>
          <w:sz w:val="32"/>
          <w:szCs w:val="32"/>
        </w:rPr>
      </w:pPr>
      <w:r>
        <w:rPr>
          <w:color w:val="0C0C0C"/>
          <w:spacing w:val="-6"/>
          <w:sz w:val="32"/>
          <w:szCs w:val="32"/>
        </w:rPr>
        <w:t xml:space="preserve">    2023年末，科学研究和技术服务业企业法人单位资产总计</w:t>
      </w:r>
      <w:r>
        <w:rPr>
          <w:color w:val="0C0C0C"/>
          <w:sz w:val="32"/>
          <w:szCs w:val="32"/>
        </w:rPr>
        <w:t>1462135万</w:t>
      </w:r>
      <w:r>
        <w:rPr>
          <w:color w:val="0C0C0C"/>
          <w:spacing w:val="-6"/>
          <w:sz w:val="32"/>
          <w:szCs w:val="32"/>
        </w:rPr>
        <w:t>元，比2018年末增长</w:t>
      </w:r>
      <w:r>
        <w:rPr>
          <w:color w:val="0C0C0C"/>
          <w:sz w:val="32"/>
          <w:szCs w:val="32"/>
        </w:rPr>
        <w:t>7514.6</w:t>
      </w:r>
      <w:r>
        <w:rPr>
          <w:color w:val="0C0C0C"/>
          <w:spacing w:val="-6"/>
          <w:sz w:val="32"/>
          <w:szCs w:val="32"/>
        </w:rPr>
        <w:t>%；负债合计</w:t>
      </w:r>
      <w:r>
        <w:rPr>
          <w:color w:val="0C0C0C"/>
          <w:sz w:val="32"/>
          <w:szCs w:val="32"/>
        </w:rPr>
        <w:t>455294万</w:t>
      </w:r>
      <w:r>
        <w:rPr>
          <w:color w:val="0C0C0C"/>
          <w:spacing w:val="-6"/>
          <w:sz w:val="32"/>
          <w:szCs w:val="32"/>
        </w:rPr>
        <w:t>元，比2018年末增长</w:t>
      </w:r>
      <w:r>
        <w:rPr>
          <w:color w:val="0C0C0C"/>
          <w:sz w:val="32"/>
          <w:szCs w:val="32"/>
        </w:rPr>
        <w:t>1795.8</w:t>
      </w:r>
      <w:r>
        <w:rPr>
          <w:color w:val="0C0C0C"/>
          <w:spacing w:val="-6"/>
          <w:sz w:val="32"/>
          <w:szCs w:val="32"/>
        </w:rPr>
        <w:t>%。</w:t>
      </w:r>
    </w:p>
    <w:p w14:paraId="6647E0DE">
      <w:pPr>
        <w:widowControl/>
        <w:spacing w:line="570" w:lineRule="exact"/>
        <w:ind w:firstLine="0" w:firstLineChars="0"/>
        <w:textAlignment w:val="auto"/>
        <w:rPr>
          <w:color w:val="0C0C0C"/>
          <w:spacing w:val="-6"/>
          <w:sz w:val="32"/>
          <w:szCs w:val="32"/>
        </w:rPr>
      </w:pPr>
      <w:r>
        <w:rPr>
          <w:color w:val="0C0C0C"/>
          <w:spacing w:val="-6"/>
          <w:sz w:val="32"/>
          <w:szCs w:val="32"/>
        </w:rPr>
        <w:t xml:space="preserve">    2023年，科学研究和技术服务业企业法人单位全年实现营业收入</w:t>
      </w:r>
      <w:r>
        <w:rPr>
          <w:color w:val="0C0C0C"/>
          <w:sz w:val="32"/>
          <w:szCs w:val="32"/>
        </w:rPr>
        <w:t>139484万</w:t>
      </w:r>
      <w:r>
        <w:rPr>
          <w:color w:val="0C0C0C"/>
          <w:spacing w:val="-6"/>
          <w:sz w:val="32"/>
          <w:szCs w:val="32"/>
        </w:rPr>
        <w:t>元，比2018年增长</w:t>
      </w:r>
      <w:r>
        <w:rPr>
          <w:color w:val="0C0C0C"/>
          <w:sz w:val="32"/>
          <w:szCs w:val="32"/>
        </w:rPr>
        <w:t>520.0</w:t>
      </w:r>
      <w:r>
        <w:rPr>
          <w:color w:val="0C0C0C"/>
          <w:spacing w:val="-6"/>
          <w:sz w:val="32"/>
          <w:szCs w:val="32"/>
        </w:rPr>
        <w:t>%（详见表5-3）。</w:t>
      </w:r>
    </w:p>
    <w:p w14:paraId="6E8A85FA">
      <w:pPr>
        <w:widowControl/>
        <w:spacing w:before="122" w:beforeLines="30"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表5-3　按行业大类分组的科学研究和技术服务业</w:t>
      </w:r>
    </w:p>
    <w:p w14:paraId="5342C626">
      <w:pPr>
        <w:widowControl/>
        <w:spacing w:line="32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41"/>
        <w:gridCol w:w="1563"/>
        <w:gridCol w:w="1563"/>
        <w:gridCol w:w="1565"/>
      </w:tblGrid>
      <w:tr w14:paraId="0B3BD2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12" w:space="0"/>
              <w:left w:val="nil"/>
              <w:bottom w:val="single" w:color="auto" w:sz="4" w:space="0"/>
              <w:right w:val="single" w:color="auto" w:sz="4" w:space="0"/>
            </w:tcBorders>
            <w:vAlign w:val="center"/>
          </w:tcPr>
          <w:p w14:paraId="43B8833C">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563" w:type="dxa"/>
            <w:tcBorders>
              <w:top w:val="single" w:color="auto" w:sz="12" w:space="0"/>
              <w:left w:val="single" w:color="auto" w:sz="4" w:space="0"/>
              <w:bottom w:val="single" w:color="auto" w:sz="4" w:space="0"/>
              <w:right w:val="single" w:color="auto" w:sz="4" w:space="0"/>
            </w:tcBorders>
            <w:vAlign w:val="center"/>
          </w:tcPr>
          <w:p w14:paraId="188F7010">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资产总计</w:t>
            </w:r>
          </w:p>
          <w:p w14:paraId="51CAD26E">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（万元）</w:t>
            </w:r>
          </w:p>
        </w:tc>
        <w:tc>
          <w:tcPr>
            <w:tcW w:w="1563" w:type="dxa"/>
            <w:tcBorders>
              <w:top w:val="single" w:color="auto" w:sz="12" w:space="0"/>
              <w:left w:val="single" w:color="auto" w:sz="4" w:space="0"/>
              <w:bottom w:val="single" w:color="auto" w:sz="4" w:space="0"/>
              <w:right w:val="single" w:color="auto" w:sz="4" w:space="0"/>
            </w:tcBorders>
            <w:vAlign w:val="center"/>
          </w:tcPr>
          <w:p w14:paraId="6CF79DC6">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负债合计</w:t>
            </w:r>
          </w:p>
          <w:p w14:paraId="726CB0A2">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（万元）</w:t>
            </w:r>
          </w:p>
        </w:tc>
        <w:tc>
          <w:tcPr>
            <w:tcW w:w="1565" w:type="dxa"/>
            <w:tcBorders>
              <w:top w:val="single" w:color="auto" w:sz="12" w:space="0"/>
              <w:left w:val="single" w:color="auto" w:sz="4" w:space="0"/>
              <w:bottom w:val="single" w:color="auto" w:sz="4" w:space="0"/>
              <w:right w:val="nil"/>
            </w:tcBorders>
            <w:vAlign w:val="center"/>
          </w:tcPr>
          <w:p w14:paraId="4EC132DB">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营业收入</w:t>
            </w:r>
          </w:p>
          <w:p w14:paraId="64C8ED13">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（万元）</w:t>
            </w:r>
          </w:p>
        </w:tc>
      </w:tr>
      <w:tr w14:paraId="4470CF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vAlign w:val="center"/>
          </w:tcPr>
          <w:p w14:paraId="11151D6A">
            <w:pPr>
              <w:widowControl/>
              <w:spacing w:line="32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563" w:type="dxa"/>
            <w:tcBorders>
              <w:top w:val="single" w:color="auto" w:sz="4" w:space="0"/>
              <w:left w:val="single" w:color="auto" w:sz="4" w:space="0"/>
              <w:bottom w:val="nil"/>
              <w:right w:val="single" w:color="auto" w:sz="4" w:space="0"/>
            </w:tcBorders>
            <w:vAlign w:val="center"/>
          </w:tcPr>
          <w:p w14:paraId="721616AA">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1462135 </w:t>
            </w:r>
          </w:p>
        </w:tc>
        <w:tc>
          <w:tcPr>
            <w:tcW w:w="1563" w:type="dxa"/>
            <w:tcBorders>
              <w:top w:val="single" w:color="auto" w:sz="4" w:space="0"/>
              <w:left w:val="single" w:color="auto" w:sz="4" w:space="0"/>
              <w:bottom w:val="nil"/>
              <w:right w:val="single" w:color="auto" w:sz="4" w:space="0"/>
            </w:tcBorders>
            <w:vAlign w:val="center"/>
          </w:tcPr>
          <w:p w14:paraId="54706993">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455294 </w:t>
            </w:r>
          </w:p>
        </w:tc>
        <w:tc>
          <w:tcPr>
            <w:tcW w:w="1565" w:type="dxa"/>
            <w:tcBorders>
              <w:top w:val="single" w:color="auto" w:sz="4" w:space="0"/>
              <w:left w:val="single" w:color="auto" w:sz="4" w:space="0"/>
              <w:bottom w:val="nil"/>
              <w:right w:val="nil"/>
            </w:tcBorders>
            <w:vAlign w:val="center"/>
          </w:tcPr>
          <w:p w14:paraId="778F02F1">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139484 </w:t>
            </w:r>
          </w:p>
        </w:tc>
      </w:tr>
      <w:tr w14:paraId="19C3A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vAlign w:val="center"/>
          </w:tcPr>
          <w:p w14:paraId="36E40684">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研究和试验发展</w:t>
            </w:r>
          </w:p>
        </w:tc>
        <w:tc>
          <w:tcPr>
            <w:tcW w:w="1563" w:type="dxa"/>
            <w:tcBorders>
              <w:top w:val="nil"/>
              <w:left w:val="single" w:color="auto" w:sz="4" w:space="0"/>
              <w:bottom w:val="nil"/>
              <w:right w:val="single" w:color="auto" w:sz="4" w:space="0"/>
            </w:tcBorders>
            <w:vAlign w:val="center"/>
          </w:tcPr>
          <w:p w14:paraId="64DAC1A1">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76219 </w:t>
            </w:r>
          </w:p>
        </w:tc>
        <w:tc>
          <w:tcPr>
            <w:tcW w:w="1563" w:type="dxa"/>
            <w:tcBorders>
              <w:top w:val="nil"/>
              <w:left w:val="single" w:color="auto" w:sz="4" w:space="0"/>
              <w:bottom w:val="nil"/>
              <w:right w:val="single" w:color="auto" w:sz="4" w:space="0"/>
            </w:tcBorders>
            <w:vAlign w:val="center"/>
          </w:tcPr>
          <w:p w14:paraId="374328DD">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52182 </w:t>
            </w:r>
          </w:p>
        </w:tc>
        <w:tc>
          <w:tcPr>
            <w:tcW w:w="1565" w:type="dxa"/>
            <w:tcBorders>
              <w:top w:val="nil"/>
              <w:left w:val="single" w:color="auto" w:sz="4" w:space="0"/>
              <w:bottom w:val="nil"/>
              <w:right w:val="nil"/>
            </w:tcBorders>
            <w:vAlign w:val="center"/>
          </w:tcPr>
          <w:p w14:paraId="268364ED">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3070 </w:t>
            </w:r>
          </w:p>
        </w:tc>
      </w:tr>
      <w:tr w14:paraId="546A8B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vAlign w:val="center"/>
          </w:tcPr>
          <w:p w14:paraId="02B39FB1">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专业技术服务业</w:t>
            </w:r>
          </w:p>
        </w:tc>
        <w:tc>
          <w:tcPr>
            <w:tcW w:w="1563" w:type="dxa"/>
            <w:tcBorders>
              <w:top w:val="nil"/>
              <w:left w:val="single" w:color="auto" w:sz="4" w:space="0"/>
              <w:bottom w:val="nil"/>
              <w:right w:val="single" w:color="auto" w:sz="4" w:space="0"/>
            </w:tcBorders>
            <w:vAlign w:val="center"/>
          </w:tcPr>
          <w:p w14:paraId="4002029F">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29560 </w:t>
            </w:r>
          </w:p>
        </w:tc>
        <w:tc>
          <w:tcPr>
            <w:tcW w:w="1563" w:type="dxa"/>
            <w:tcBorders>
              <w:top w:val="nil"/>
              <w:left w:val="single" w:color="auto" w:sz="4" w:space="0"/>
              <w:bottom w:val="nil"/>
              <w:right w:val="single" w:color="auto" w:sz="4" w:space="0"/>
            </w:tcBorders>
            <w:vAlign w:val="center"/>
          </w:tcPr>
          <w:p w14:paraId="282B65E2">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4232 </w:t>
            </w:r>
          </w:p>
        </w:tc>
        <w:tc>
          <w:tcPr>
            <w:tcW w:w="1565" w:type="dxa"/>
            <w:tcBorders>
              <w:top w:val="nil"/>
              <w:left w:val="single" w:color="auto" w:sz="4" w:space="0"/>
              <w:bottom w:val="nil"/>
              <w:right w:val="nil"/>
            </w:tcBorders>
            <w:vAlign w:val="center"/>
          </w:tcPr>
          <w:p w14:paraId="23F04A99">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48035 </w:t>
            </w:r>
          </w:p>
        </w:tc>
      </w:tr>
      <w:tr w14:paraId="5CF7D8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vAlign w:val="center"/>
          </w:tcPr>
          <w:p w14:paraId="167A5961">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科技推广和应用服务业</w:t>
            </w:r>
          </w:p>
        </w:tc>
        <w:tc>
          <w:tcPr>
            <w:tcW w:w="1563" w:type="dxa"/>
            <w:tcBorders>
              <w:top w:val="nil"/>
              <w:left w:val="single" w:color="auto" w:sz="4" w:space="0"/>
              <w:bottom w:val="single" w:color="auto" w:sz="12" w:space="0"/>
              <w:right w:val="single" w:color="auto" w:sz="4" w:space="0"/>
            </w:tcBorders>
            <w:vAlign w:val="center"/>
          </w:tcPr>
          <w:p w14:paraId="6EC3AE2F">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1356356 </w:t>
            </w:r>
          </w:p>
        </w:tc>
        <w:tc>
          <w:tcPr>
            <w:tcW w:w="1563" w:type="dxa"/>
            <w:tcBorders>
              <w:top w:val="nil"/>
              <w:left w:val="single" w:color="auto" w:sz="4" w:space="0"/>
              <w:bottom w:val="single" w:color="auto" w:sz="12" w:space="0"/>
              <w:right w:val="single" w:color="auto" w:sz="4" w:space="0"/>
            </w:tcBorders>
            <w:vAlign w:val="center"/>
          </w:tcPr>
          <w:p w14:paraId="63FE3A02">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398880 </w:t>
            </w:r>
          </w:p>
        </w:tc>
        <w:tc>
          <w:tcPr>
            <w:tcW w:w="1565" w:type="dxa"/>
            <w:tcBorders>
              <w:top w:val="nil"/>
              <w:left w:val="single" w:color="auto" w:sz="4" w:space="0"/>
              <w:bottom w:val="single" w:color="auto" w:sz="12" w:space="0"/>
              <w:right w:val="nil"/>
            </w:tcBorders>
            <w:vAlign w:val="center"/>
          </w:tcPr>
          <w:p w14:paraId="2B043F29">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88379 </w:t>
            </w:r>
          </w:p>
        </w:tc>
      </w:tr>
    </w:tbl>
    <w:p w14:paraId="2B4B6A1A">
      <w:pPr>
        <w:widowControl/>
        <w:spacing w:line="570" w:lineRule="exact"/>
        <w:ind w:firstLine="640" w:firstLineChars="200"/>
        <w:jc w:val="left"/>
        <w:textAlignment w:val="auto"/>
        <w:rPr>
          <w:rFonts w:hint="eastAsia" w:ascii="方正黑体_GBK" w:hAnsi="方正黑体_GBK" w:eastAsia="方正黑体_GBK" w:cs="方正黑体_GBK"/>
          <w:bCs/>
          <w:color w:val="0C0C0C"/>
          <w:kern w:val="0"/>
          <w:sz w:val="32"/>
          <w:szCs w:val="32"/>
        </w:rPr>
      </w:pPr>
      <w:r>
        <w:rPr>
          <w:rFonts w:hint="eastAsia" w:ascii="方正黑体_GBK" w:hAnsi="方正黑体_GBK" w:eastAsia="方正黑体_GBK" w:cs="方正黑体_GBK"/>
          <w:bCs/>
          <w:color w:val="0C0C0C"/>
          <w:kern w:val="0"/>
          <w:sz w:val="32"/>
          <w:szCs w:val="32"/>
        </w:rPr>
        <w:t>二、水利、环境和公共设施管理业</w:t>
      </w:r>
    </w:p>
    <w:p w14:paraId="07323048">
      <w:pPr>
        <w:widowControl/>
        <w:spacing w:line="570" w:lineRule="exact"/>
        <w:ind w:firstLine="0" w:firstLineChars="0"/>
        <w:jc w:val="left"/>
        <w:textAlignment w:val="auto"/>
        <w:rPr>
          <w:rFonts w:eastAsia="楷体_GB2312"/>
          <w:color w:val="0C0C0C"/>
          <w:kern w:val="0"/>
          <w:sz w:val="32"/>
          <w:szCs w:val="32"/>
        </w:rPr>
      </w:pPr>
      <w:r>
        <w:rPr>
          <w:rFonts w:eastAsia="楷体_GB2312"/>
          <w:color w:val="0C0C0C"/>
          <w:kern w:val="0"/>
          <w:sz w:val="32"/>
          <w:szCs w:val="32"/>
        </w:rPr>
        <w:t xml:space="preserve">    </w:t>
      </w:r>
      <w:r>
        <w:rPr>
          <w:rFonts w:hint="eastAsia" w:ascii="方正楷体_GBK" w:hAnsi="方正楷体_GBK" w:eastAsia="方正楷体_GBK" w:cs="方正楷体_GBK"/>
          <w:color w:val="0C0C0C"/>
          <w:spacing w:val="-6"/>
          <w:sz w:val="32"/>
          <w:szCs w:val="32"/>
        </w:rPr>
        <w:t>（一）法人单位数和从业人员</w:t>
      </w:r>
    </w:p>
    <w:p w14:paraId="2B72DC8D">
      <w:pPr>
        <w:widowControl/>
        <w:spacing w:line="570" w:lineRule="exact"/>
        <w:ind w:firstLine="0" w:firstLineChars="0"/>
        <w:textAlignment w:val="auto"/>
        <w:rPr>
          <w:color w:val="0C0C0C"/>
          <w:spacing w:val="-6"/>
          <w:sz w:val="32"/>
          <w:szCs w:val="32"/>
        </w:rPr>
      </w:pPr>
      <w:r>
        <w:rPr>
          <w:color w:val="0C0C0C"/>
          <w:spacing w:val="-6"/>
          <w:sz w:val="32"/>
          <w:szCs w:val="32"/>
        </w:rPr>
        <w:t xml:space="preserve">    2023年末，全县共有水利、环境和公共设施管理业法人单位</w:t>
      </w:r>
      <w:r>
        <w:rPr>
          <w:color w:val="0C0C0C"/>
          <w:sz w:val="32"/>
          <w:szCs w:val="32"/>
        </w:rPr>
        <w:t>66</w:t>
      </w:r>
      <w:r>
        <w:rPr>
          <w:color w:val="0C0C0C"/>
          <w:spacing w:val="-6"/>
          <w:sz w:val="32"/>
          <w:szCs w:val="32"/>
        </w:rPr>
        <w:t>个，比2018年末下降17.5%，从业人员</w:t>
      </w:r>
      <w:r>
        <w:rPr>
          <w:color w:val="0C0C0C"/>
          <w:sz w:val="32"/>
          <w:szCs w:val="32"/>
        </w:rPr>
        <w:t>2359</w:t>
      </w:r>
      <w:r>
        <w:rPr>
          <w:color w:val="0C0C0C"/>
          <w:spacing w:val="-6"/>
          <w:sz w:val="32"/>
          <w:szCs w:val="32"/>
        </w:rPr>
        <w:t>人，比2018年末增长56.%。其中，行政事业及非企业法人单位</w:t>
      </w:r>
      <w:r>
        <w:rPr>
          <w:color w:val="0C0C0C"/>
          <w:sz w:val="32"/>
          <w:szCs w:val="32"/>
        </w:rPr>
        <w:t>9</w:t>
      </w:r>
      <w:r>
        <w:rPr>
          <w:color w:val="0C0C0C"/>
          <w:spacing w:val="-6"/>
          <w:sz w:val="32"/>
          <w:szCs w:val="32"/>
        </w:rPr>
        <w:t>个；从业人员</w:t>
      </w:r>
      <w:r>
        <w:rPr>
          <w:color w:val="0C0C0C"/>
          <w:sz w:val="32"/>
          <w:szCs w:val="32"/>
        </w:rPr>
        <w:t>251</w:t>
      </w:r>
      <w:r>
        <w:rPr>
          <w:color w:val="0C0C0C"/>
          <w:spacing w:val="-6"/>
          <w:sz w:val="32"/>
          <w:szCs w:val="32"/>
        </w:rPr>
        <w:t>人。</w:t>
      </w:r>
    </w:p>
    <w:p w14:paraId="7083CF02">
      <w:pPr>
        <w:widowControl/>
        <w:spacing w:line="570" w:lineRule="exact"/>
        <w:ind w:firstLine="0" w:firstLineChars="0"/>
        <w:jc w:val="left"/>
        <w:textAlignment w:val="auto"/>
        <w:rPr>
          <w:rFonts w:hint="eastAsia" w:ascii="方正楷体_GBK" w:hAnsi="方正楷体_GBK" w:eastAsia="方正楷体_GBK" w:cs="方正楷体_GBK"/>
          <w:color w:val="0C0C0C"/>
          <w:spacing w:val="-6"/>
          <w:sz w:val="32"/>
          <w:szCs w:val="32"/>
        </w:rPr>
      </w:pPr>
      <w:r>
        <w:rPr>
          <w:rFonts w:eastAsia="楷体_GB2312"/>
          <w:color w:val="0C0C0C"/>
          <w:kern w:val="0"/>
          <w:sz w:val="32"/>
          <w:szCs w:val="32"/>
        </w:rPr>
        <w:t xml:space="preserve">    </w:t>
      </w:r>
      <w:r>
        <w:rPr>
          <w:rFonts w:hint="eastAsia" w:ascii="方正楷体_GBK" w:hAnsi="方正楷体_GBK" w:eastAsia="方正楷体_GBK" w:cs="方正楷体_GBK"/>
          <w:color w:val="0C0C0C"/>
          <w:spacing w:val="-6"/>
          <w:sz w:val="32"/>
          <w:szCs w:val="32"/>
        </w:rPr>
        <w:t>（二）主要经济指标</w:t>
      </w:r>
    </w:p>
    <w:p w14:paraId="0BA96C00">
      <w:pPr>
        <w:widowControl/>
        <w:spacing w:line="570" w:lineRule="exact"/>
        <w:ind w:firstLine="0" w:firstLineChars="0"/>
        <w:textAlignment w:val="auto"/>
        <w:rPr>
          <w:color w:val="0C0C0C"/>
          <w:spacing w:val="-6"/>
          <w:sz w:val="32"/>
          <w:szCs w:val="32"/>
        </w:rPr>
      </w:pPr>
      <w:r>
        <w:rPr>
          <w:color w:val="0C0C0C"/>
          <w:spacing w:val="-6"/>
          <w:sz w:val="32"/>
          <w:szCs w:val="32"/>
        </w:rPr>
        <w:t xml:space="preserve">    2023年末，水利、环境和公共设施管理业企业法人单位资产总计</w:t>
      </w:r>
      <w:r>
        <w:rPr>
          <w:color w:val="0C0C0C"/>
          <w:sz w:val="32"/>
          <w:szCs w:val="32"/>
        </w:rPr>
        <w:t>1523297万</w:t>
      </w:r>
      <w:r>
        <w:rPr>
          <w:color w:val="0C0C0C"/>
          <w:spacing w:val="-6"/>
          <w:sz w:val="32"/>
          <w:szCs w:val="32"/>
        </w:rPr>
        <w:t>元，比2018年末增长</w:t>
      </w:r>
      <w:r>
        <w:rPr>
          <w:color w:val="0C0C0C"/>
          <w:sz w:val="32"/>
          <w:szCs w:val="32"/>
        </w:rPr>
        <w:t>575.1</w:t>
      </w:r>
      <w:r>
        <w:rPr>
          <w:color w:val="0C0C0C"/>
          <w:spacing w:val="-6"/>
          <w:sz w:val="32"/>
          <w:szCs w:val="32"/>
        </w:rPr>
        <w:t>%；负债合计</w:t>
      </w:r>
      <w:r>
        <w:rPr>
          <w:color w:val="0C0C0C"/>
          <w:sz w:val="32"/>
          <w:szCs w:val="32"/>
        </w:rPr>
        <w:t>640376万</w:t>
      </w:r>
      <w:r>
        <w:rPr>
          <w:color w:val="0C0C0C"/>
          <w:spacing w:val="-6"/>
          <w:sz w:val="32"/>
          <w:szCs w:val="32"/>
        </w:rPr>
        <w:t>元，比2018年末增长</w:t>
      </w:r>
      <w:r>
        <w:rPr>
          <w:color w:val="0C0C0C"/>
          <w:sz w:val="32"/>
          <w:szCs w:val="32"/>
        </w:rPr>
        <w:t>351.6</w:t>
      </w:r>
      <w:r>
        <w:rPr>
          <w:color w:val="0C0C0C"/>
          <w:spacing w:val="-6"/>
          <w:sz w:val="32"/>
          <w:szCs w:val="32"/>
        </w:rPr>
        <w:t>%。全年实现营业收入</w:t>
      </w:r>
      <w:r>
        <w:rPr>
          <w:color w:val="0C0C0C"/>
          <w:sz w:val="32"/>
          <w:szCs w:val="32"/>
        </w:rPr>
        <w:t>47275万</w:t>
      </w:r>
      <w:r>
        <w:rPr>
          <w:color w:val="0C0C0C"/>
          <w:spacing w:val="-6"/>
          <w:sz w:val="32"/>
          <w:szCs w:val="32"/>
        </w:rPr>
        <w:t>元，比2018年增长</w:t>
      </w:r>
      <w:r>
        <w:rPr>
          <w:color w:val="0C0C0C"/>
          <w:sz w:val="32"/>
          <w:szCs w:val="32"/>
        </w:rPr>
        <w:t>93.4</w:t>
      </w:r>
      <w:r>
        <w:rPr>
          <w:color w:val="0C0C0C"/>
          <w:spacing w:val="-6"/>
          <w:sz w:val="32"/>
          <w:szCs w:val="32"/>
        </w:rPr>
        <w:t>%。</w:t>
      </w:r>
    </w:p>
    <w:p w14:paraId="7DA1019B">
      <w:pPr>
        <w:widowControl/>
        <w:spacing w:line="570" w:lineRule="exact"/>
        <w:ind w:firstLine="0" w:firstLineChars="0"/>
        <w:textAlignment w:val="auto"/>
        <w:rPr>
          <w:color w:val="0C0C0C"/>
          <w:spacing w:val="-6"/>
          <w:sz w:val="32"/>
          <w:szCs w:val="32"/>
        </w:rPr>
      </w:pPr>
      <w:r>
        <w:rPr>
          <w:color w:val="0C0C0C"/>
          <w:spacing w:val="-6"/>
          <w:sz w:val="32"/>
          <w:szCs w:val="32"/>
        </w:rPr>
        <w:t xml:space="preserve">    行政事业及非企业法人单位年末资产10000万元。本年支出（费用）合计</w:t>
      </w:r>
      <w:r>
        <w:rPr>
          <w:color w:val="0C0C0C"/>
          <w:sz w:val="32"/>
          <w:szCs w:val="32"/>
        </w:rPr>
        <w:t>6000万</w:t>
      </w:r>
      <w:r>
        <w:rPr>
          <w:color w:val="0C0C0C"/>
          <w:spacing w:val="-6"/>
          <w:sz w:val="32"/>
          <w:szCs w:val="32"/>
        </w:rPr>
        <w:t>元。</w:t>
      </w:r>
    </w:p>
    <w:p w14:paraId="24C78DB3">
      <w:pPr>
        <w:widowControl/>
        <w:spacing w:line="570" w:lineRule="exact"/>
        <w:ind w:firstLine="640" w:firstLineChars="200"/>
        <w:jc w:val="left"/>
        <w:textAlignment w:val="auto"/>
        <w:rPr>
          <w:rFonts w:eastAsia="黑体"/>
          <w:bCs/>
          <w:color w:val="0C0C0C"/>
          <w:sz w:val="32"/>
          <w:szCs w:val="32"/>
        </w:rPr>
      </w:pPr>
      <w:r>
        <w:rPr>
          <w:rFonts w:hint="eastAsia" w:ascii="方正黑体_GBK" w:hAnsi="方正黑体_GBK" w:eastAsia="方正黑体_GBK" w:cs="方正黑体_GBK"/>
          <w:bCs/>
          <w:color w:val="0C0C0C"/>
          <w:kern w:val="0"/>
          <w:sz w:val="32"/>
          <w:szCs w:val="32"/>
        </w:rPr>
        <w:t>三、居民服务、修理和其他服务业</w:t>
      </w:r>
    </w:p>
    <w:p w14:paraId="1693BF35">
      <w:pPr>
        <w:widowControl/>
        <w:spacing w:line="570" w:lineRule="exact"/>
        <w:ind w:firstLine="0" w:firstLineChars="0"/>
        <w:jc w:val="left"/>
        <w:textAlignment w:val="auto"/>
        <w:rPr>
          <w:rFonts w:hint="eastAsia" w:ascii="方正楷体_GBK" w:hAnsi="方正楷体_GBK" w:eastAsia="方正楷体_GBK" w:cs="方正楷体_GBK"/>
          <w:color w:val="0C0C0C"/>
          <w:spacing w:val="-6"/>
          <w:sz w:val="32"/>
          <w:szCs w:val="32"/>
        </w:rPr>
      </w:pPr>
      <w:r>
        <w:rPr>
          <w:rFonts w:eastAsia="楷体_GB2312"/>
          <w:color w:val="0C0C0C"/>
          <w:kern w:val="0"/>
          <w:sz w:val="32"/>
          <w:szCs w:val="32"/>
        </w:rPr>
        <w:t xml:space="preserve">    </w:t>
      </w:r>
      <w:r>
        <w:rPr>
          <w:rFonts w:hint="eastAsia" w:ascii="方正楷体_GBK" w:hAnsi="方正楷体_GBK" w:eastAsia="方正楷体_GBK" w:cs="方正楷体_GBK"/>
          <w:color w:val="0C0C0C"/>
          <w:spacing w:val="-6"/>
          <w:sz w:val="32"/>
          <w:szCs w:val="32"/>
        </w:rPr>
        <w:t>（一）企业法人单位数和从业人员</w:t>
      </w:r>
    </w:p>
    <w:p w14:paraId="3D1B0A0E">
      <w:pPr>
        <w:widowControl/>
        <w:spacing w:line="570" w:lineRule="exact"/>
        <w:ind w:firstLine="616"/>
        <w:textAlignment w:val="auto"/>
      </w:pPr>
      <w:r>
        <w:rPr>
          <w:color w:val="0C0C0C"/>
          <w:spacing w:val="-6"/>
          <w:sz w:val="32"/>
          <w:szCs w:val="32"/>
        </w:rPr>
        <w:t>2023年末，全县共有居民服务、修理和其他服务业企业法人单位</w:t>
      </w:r>
      <w:r>
        <w:rPr>
          <w:color w:val="0C0C0C"/>
          <w:sz w:val="32"/>
          <w:szCs w:val="32"/>
        </w:rPr>
        <w:t>229</w:t>
      </w:r>
      <w:r>
        <w:rPr>
          <w:color w:val="0C0C0C"/>
          <w:spacing w:val="-6"/>
          <w:sz w:val="32"/>
          <w:szCs w:val="32"/>
        </w:rPr>
        <w:t>个，比2018年末增长</w:t>
      </w:r>
      <w:r>
        <w:rPr>
          <w:color w:val="0C0C0C"/>
          <w:sz w:val="32"/>
          <w:szCs w:val="32"/>
        </w:rPr>
        <w:t>2.7</w:t>
      </w:r>
      <w:r>
        <w:rPr>
          <w:color w:val="0C0C0C"/>
          <w:spacing w:val="-6"/>
          <w:sz w:val="32"/>
          <w:szCs w:val="32"/>
        </w:rPr>
        <w:t>%，从业人员</w:t>
      </w:r>
      <w:r>
        <w:rPr>
          <w:color w:val="0C0C0C"/>
          <w:sz w:val="32"/>
          <w:szCs w:val="32"/>
        </w:rPr>
        <w:t>1470</w:t>
      </w:r>
      <w:r>
        <w:rPr>
          <w:color w:val="0C0C0C"/>
          <w:spacing w:val="-6"/>
          <w:sz w:val="32"/>
          <w:szCs w:val="32"/>
        </w:rPr>
        <w:t>人，比2018年末下降1</w:t>
      </w:r>
      <w:r>
        <w:rPr>
          <w:color w:val="0C0C0C"/>
          <w:sz w:val="32"/>
          <w:szCs w:val="32"/>
        </w:rPr>
        <w:t>8.5</w:t>
      </w:r>
      <w:r>
        <w:rPr>
          <w:color w:val="0C0C0C"/>
          <w:spacing w:val="-6"/>
          <w:sz w:val="32"/>
          <w:szCs w:val="32"/>
        </w:rPr>
        <w:t>%（详见表5-4）。</w:t>
      </w:r>
    </w:p>
    <w:p w14:paraId="515D7E98">
      <w:pPr>
        <w:widowControl/>
        <w:spacing w:line="4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表5-4　按行业大类分组的居民服务、修理和其他服务业</w:t>
      </w:r>
    </w:p>
    <w:p w14:paraId="0ACE8050">
      <w:pPr>
        <w:widowControl/>
        <w:spacing w:line="400" w:lineRule="exact"/>
        <w:ind w:firstLine="0" w:firstLineChars="0"/>
        <w:jc w:val="center"/>
        <w:textAlignment w:val="auto"/>
        <w:rPr>
          <w:rFonts w:eastAsia="宋体"/>
          <w:b/>
          <w:color w:val="0C0C0C"/>
          <w:kern w:val="0"/>
          <w:sz w:val="24"/>
          <w:szCs w:val="24"/>
        </w:rPr>
      </w:pPr>
      <w:r>
        <w:rPr>
          <w:rFonts w:hint="default" w:ascii="Times New Roman" w:hAnsi="Times New Roman" w:eastAsia="方正小标宋_GBK" w:cs="Times New Roman"/>
          <w:b w:val="0"/>
          <w:bCs/>
          <w:color w:val="0C0C0C"/>
          <w:kern w:val="0"/>
          <w:sz w:val="24"/>
          <w:szCs w:val="24"/>
        </w:rPr>
        <w:t>企业法人单位数和从业人员</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12"/>
        <w:gridCol w:w="2214"/>
        <w:gridCol w:w="2214"/>
      </w:tblGrid>
      <w:tr w14:paraId="72D33C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95" w:type="pct"/>
            <w:tcBorders>
              <w:top w:val="single" w:color="auto" w:sz="12" w:space="0"/>
              <w:left w:val="nil"/>
              <w:bottom w:val="single" w:color="auto" w:sz="4" w:space="0"/>
              <w:right w:val="single" w:color="auto" w:sz="4" w:space="0"/>
            </w:tcBorders>
            <w:vAlign w:val="center"/>
          </w:tcPr>
          <w:p w14:paraId="2F1D308A">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252" w:type="pct"/>
            <w:tcBorders>
              <w:top w:val="single" w:color="auto" w:sz="12" w:space="0"/>
              <w:left w:val="single" w:color="auto" w:sz="4" w:space="0"/>
              <w:bottom w:val="single" w:color="auto" w:sz="4" w:space="0"/>
              <w:right w:val="single" w:color="auto" w:sz="4" w:space="0"/>
            </w:tcBorders>
            <w:vAlign w:val="center"/>
          </w:tcPr>
          <w:p w14:paraId="0DDBEFCF">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企业法人单位</w:t>
            </w:r>
          </w:p>
          <w:p w14:paraId="498B8B3A">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（个）</w:t>
            </w:r>
          </w:p>
        </w:tc>
        <w:tc>
          <w:tcPr>
            <w:tcW w:w="1252" w:type="pct"/>
            <w:tcBorders>
              <w:top w:val="single" w:color="auto" w:sz="12" w:space="0"/>
              <w:left w:val="single" w:color="auto" w:sz="4" w:space="0"/>
              <w:bottom w:val="single" w:color="auto" w:sz="4" w:space="0"/>
              <w:right w:val="nil"/>
            </w:tcBorders>
            <w:vAlign w:val="center"/>
          </w:tcPr>
          <w:p w14:paraId="0968FE4D">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从业人员</w:t>
            </w:r>
          </w:p>
          <w:p w14:paraId="1BF0755D">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r>
      <w:tr w14:paraId="29E561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95" w:type="pct"/>
            <w:tcBorders>
              <w:top w:val="single" w:color="auto" w:sz="4" w:space="0"/>
              <w:left w:val="nil"/>
              <w:bottom w:val="nil"/>
              <w:right w:val="single" w:color="auto" w:sz="4" w:space="0"/>
            </w:tcBorders>
            <w:vAlign w:val="center"/>
          </w:tcPr>
          <w:p w14:paraId="2CCEE5B9">
            <w:pPr>
              <w:widowControl/>
              <w:spacing w:line="32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252" w:type="pct"/>
            <w:tcBorders>
              <w:top w:val="single" w:color="auto" w:sz="4" w:space="0"/>
              <w:left w:val="single" w:color="auto" w:sz="4" w:space="0"/>
              <w:bottom w:val="nil"/>
              <w:right w:val="single" w:color="auto" w:sz="4" w:space="0"/>
            </w:tcBorders>
            <w:vAlign w:val="center"/>
          </w:tcPr>
          <w:p w14:paraId="184FBECE">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229</w:t>
            </w:r>
          </w:p>
        </w:tc>
        <w:tc>
          <w:tcPr>
            <w:tcW w:w="1252" w:type="pct"/>
            <w:tcBorders>
              <w:top w:val="single" w:color="auto" w:sz="4" w:space="0"/>
              <w:left w:val="single" w:color="auto" w:sz="4" w:space="0"/>
              <w:bottom w:val="nil"/>
              <w:right w:val="nil"/>
            </w:tcBorders>
            <w:vAlign w:val="center"/>
          </w:tcPr>
          <w:p w14:paraId="46579B15">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1470</w:t>
            </w:r>
          </w:p>
        </w:tc>
      </w:tr>
      <w:tr w14:paraId="1D7662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95" w:type="pct"/>
            <w:tcBorders>
              <w:top w:val="nil"/>
              <w:left w:val="nil"/>
              <w:bottom w:val="nil"/>
              <w:right w:val="single" w:color="auto" w:sz="4" w:space="0"/>
            </w:tcBorders>
            <w:vAlign w:val="center"/>
          </w:tcPr>
          <w:p w14:paraId="5FEB81A4">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居民服务业</w:t>
            </w:r>
          </w:p>
        </w:tc>
        <w:tc>
          <w:tcPr>
            <w:tcW w:w="1252" w:type="pct"/>
            <w:tcBorders>
              <w:top w:val="nil"/>
              <w:left w:val="single" w:color="auto" w:sz="4" w:space="0"/>
              <w:bottom w:val="nil"/>
              <w:right w:val="single" w:color="auto" w:sz="4" w:space="0"/>
            </w:tcBorders>
            <w:vAlign w:val="center"/>
          </w:tcPr>
          <w:p w14:paraId="68D94CAA">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128</w:t>
            </w:r>
          </w:p>
        </w:tc>
        <w:tc>
          <w:tcPr>
            <w:tcW w:w="1252" w:type="pct"/>
            <w:tcBorders>
              <w:top w:val="nil"/>
              <w:left w:val="single" w:color="auto" w:sz="4" w:space="0"/>
              <w:bottom w:val="nil"/>
              <w:right w:val="nil"/>
            </w:tcBorders>
            <w:vAlign w:val="center"/>
          </w:tcPr>
          <w:p w14:paraId="735EF8A9">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751</w:t>
            </w:r>
          </w:p>
        </w:tc>
      </w:tr>
      <w:tr w14:paraId="52D411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95" w:type="pct"/>
            <w:tcBorders>
              <w:top w:val="nil"/>
              <w:left w:val="nil"/>
              <w:bottom w:val="nil"/>
              <w:right w:val="single" w:color="auto" w:sz="4" w:space="0"/>
            </w:tcBorders>
            <w:vAlign w:val="center"/>
          </w:tcPr>
          <w:p w14:paraId="61B1ADD9">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机动车、电子产品和日用产品修理业</w:t>
            </w:r>
          </w:p>
        </w:tc>
        <w:tc>
          <w:tcPr>
            <w:tcW w:w="1252" w:type="pct"/>
            <w:tcBorders>
              <w:top w:val="nil"/>
              <w:left w:val="single" w:color="auto" w:sz="4" w:space="0"/>
              <w:bottom w:val="nil"/>
              <w:right w:val="single" w:color="auto" w:sz="4" w:space="0"/>
            </w:tcBorders>
            <w:vAlign w:val="center"/>
          </w:tcPr>
          <w:p w14:paraId="786739FE">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75</w:t>
            </w:r>
          </w:p>
        </w:tc>
        <w:tc>
          <w:tcPr>
            <w:tcW w:w="1252" w:type="pct"/>
            <w:tcBorders>
              <w:top w:val="nil"/>
              <w:left w:val="single" w:color="auto" w:sz="4" w:space="0"/>
              <w:bottom w:val="nil"/>
              <w:right w:val="nil"/>
            </w:tcBorders>
            <w:vAlign w:val="center"/>
          </w:tcPr>
          <w:p w14:paraId="2B28AF26">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518</w:t>
            </w:r>
          </w:p>
        </w:tc>
      </w:tr>
      <w:tr w14:paraId="35A354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95" w:type="pct"/>
            <w:tcBorders>
              <w:top w:val="nil"/>
              <w:left w:val="nil"/>
              <w:bottom w:val="single" w:color="auto" w:sz="12" w:space="0"/>
              <w:right w:val="single" w:color="auto" w:sz="4" w:space="0"/>
            </w:tcBorders>
            <w:vAlign w:val="center"/>
          </w:tcPr>
          <w:p w14:paraId="2CB4481E">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其他服务业</w:t>
            </w:r>
          </w:p>
        </w:tc>
        <w:tc>
          <w:tcPr>
            <w:tcW w:w="1252" w:type="pct"/>
            <w:tcBorders>
              <w:top w:val="nil"/>
              <w:left w:val="single" w:color="auto" w:sz="4" w:space="0"/>
              <w:bottom w:val="single" w:color="auto" w:sz="12" w:space="0"/>
              <w:right w:val="single" w:color="auto" w:sz="4" w:space="0"/>
            </w:tcBorders>
            <w:vAlign w:val="center"/>
          </w:tcPr>
          <w:p w14:paraId="1B3F7474">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26</w:t>
            </w:r>
          </w:p>
        </w:tc>
        <w:tc>
          <w:tcPr>
            <w:tcW w:w="1252" w:type="pct"/>
            <w:tcBorders>
              <w:top w:val="nil"/>
              <w:left w:val="single" w:color="auto" w:sz="4" w:space="0"/>
              <w:bottom w:val="single" w:color="auto" w:sz="12" w:space="0"/>
              <w:right w:val="nil"/>
            </w:tcBorders>
            <w:vAlign w:val="center"/>
          </w:tcPr>
          <w:p w14:paraId="6C63398A">
            <w:pPr>
              <w:widowControl/>
              <w:spacing w:line="320" w:lineRule="exact"/>
              <w:ind w:firstLine="0" w:firstLineChars="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201</w:t>
            </w:r>
          </w:p>
        </w:tc>
      </w:tr>
    </w:tbl>
    <w:p w14:paraId="55E2061D">
      <w:pPr>
        <w:widowControl/>
        <w:spacing w:line="570" w:lineRule="exact"/>
        <w:ind w:firstLine="0" w:firstLineChars="0"/>
        <w:textAlignment w:val="auto"/>
        <w:rPr>
          <w:color w:val="0C0C0C"/>
          <w:spacing w:val="-6"/>
          <w:sz w:val="32"/>
          <w:szCs w:val="32"/>
        </w:rPr>
      </w:pPr>
      <w:r>
        <w:rPr>
          <w:color w:val="0C0C0C"/>
          <w:spacing w:val="-6"/>
          <w:sz w:val="32"/>
          <w:szCs w:val="32"/>
        </w:rPr>
        <w:t xml:space="preserve">    在居民服务、修理和其他服务业企业法人单位中，内资企业占</w:t>
      </w:r>
      <w:r>
        <w:rPr>
          <w:color w:val="0C0C0C"/>
          <w:sz w:val="32"/>
          <w:szCs w:val="32"/>
        </w:rPr>
        <w:t>99.6</w:t>
      </w:r>
      <w:r>
        <w:rPr>
          <w:color w:val="0C0C0C"/>
          <w:spacing w:val="-6"/>
          <w:sz w:val="32"/>
          <w:szCs w:val="32"/>
        </w:rPr>
        <w:t>%。</w:t>
      </w:r>
    </w:p>
    <w:p w14:paraId="5B115B5A">
      <w:pPr>
        <w:widowControl/>
        <w:spacing w:line="570" w:lineRule="exact"/>
        <w:ind w:firstLine="0" w:firstLineChars="0"/>
        <w:textAlignment w:val="auto"/>
        <w:rPr>
          <w:color w:val="0C0C0C"/>
          <w:spacing w:val="-6"/>
          <w:sz w:val="32"/>
          <w:szCs w:val="32"/>
        </w:rPr>
      </w:pPr>
      <w:r>
        <w:rPr>
          <w:color w:val="0C0C0C"/>
          <w:spacing w:val="-6"/>
          <w:sz w:val="32"/>
          <w:szCs w:val="32"/>
        </w:rPr>
        <w:t xml:space="preserve">    在居民服务、修理和其他服务业企业法人单位从业人员中，内资企业占</w:t>
      </w:r>
      <w:r>
        <w:rPr>
          <w:color w:val="0C0C0C"/>
          <w:sz w:val="32"/>
          <w:szCs w:val="32"/>
        </w:rPr>
        <w:t>100</w:t>
      </w:r>
      <w:r>
        <w:rPr>
          <w:color w:val="0C0C0C"/>
          <w:spacing w:val="-6"/>
          <w:sz w:val="32"/>
          <w:szCs w:val="32"/>
        </w:rPr>
        <w:t>%（详见表5-5）。</w:t>
      </w:r>
    </w:p>
    <w:p w14:paraId="43EA7D36">
      <w:pPr>
        <w:widowControl/>
        <w:spacing w:line="4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表5-5　按登记注册统计类别分组的居民服务、修理和其他服务业</w:t>
      </w:r>
    </w:p>
    <w:p w14:paraId="15D26194">
      <w:pPr>
        <w:widowControl/>
        <w:spacing w:line="4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企业法人单位数和从业人员</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32"/>
        <w:gridCol w:w="2204"/>
        <w:gridCol w:w="2204"/>
      </w:tblGrid>
      <w:tr w14:paraId="0C9FA6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single" w:color="auto" w:sz="12" w:space="0"/>
              <w:left w:val="nil"/>
              <w:bottom w:val="single" w:color="auto" w:sz="4" w:space="0"/>
              <w:right w:val="single" w:color="auto" w:sz="4" w:space="0"/>
            </w:tcBorders>
            <w:vAlign w:val="center"/>
          </w:tcPr>
          <w:p w14:paraId="42F61FE4">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p>
        </w:tc>
        <w:tc>
          <w:tcPr>
            <w:tcW w:w="1246" w:type="pct"/>
            <w:tcBorders>
              <w:top w:val="single" w:color="auto" w:sz="12" w:space="0"/>
              <w:left w:val="single" w:color="auto" w:sz="4" w:space="0"/>
              <w:bottom w:val="single" w:color="auto" w:sz="4" w:space="0"/>
              <w:right w:val="single" w:color="auto" w:sz="4" w:space="0"/>
            </w:tcBorders>
            <w:vAlign w:val="center"/>
          </w:tcPr>
          <w:p w14:paraId="77323F59">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企业法人单位</w:t>
            </w:r>
          </w:p>
          <w:p w14:paraId="5DB52B26">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（个）</w:t>
            </w:r>
          </w:p>
        </w:tc>
        <w:tc>
          <w:tcPr>
            <w:tcW w:w="1246" w:type="pct"/>
            <w:tcBorders>
              <w:top w:val="single" w:color="auto" w:sz="12" w:space="0"/>
              <w:left w:val="single" w:color="auto" w:sz="4" w:space="0"/>
              <w:bottom w:val="single" w:color="auto" w:sz="4" w:space="0"/>
              <w:right w:val="nil"/>
            </w:tcBorders>
            <w:vAlign w:val="center"/>
          </w:tcPr>
          <w:p w14:paraId="0A45275A">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从业人员</w:t>
            </w:r>
          </w:p>
          <w:p w14:paraId="1A03534E">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r>
      <w:tr w14:paraId="5B623B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single" w:color="auto" w:sz="4" w:space="0"/>
              <w:left w:val="nil"/>
              <w:bottom w:val="nil"/>
              <w:right w:val="single" w:color="auto" w:sz="4" w:space="0"/>
            </w:tcBorders>
            <w:vAlign w:val="center"/>
          </w:tcPr>
          <w:p w14:paraId="63B92FE6">
            <w:pPr>
              <w:widowControl/>
              <w:spacing w:line="32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246" w:type="pct"/>
            <w:tcBorders>
              <w:top w:val="single" w:color="auto" w:sz="4" w:space="0"/>
              <w:left w:val="single" w:color="auto" w:sz="4" w:space="0"/>
              <w:bottom w:val="nil"/>
              <w:right w:val="single" w:color="auto" w:sz="4" w:space="0"/>
            </w:tcBorders>
            <w:vAlign w:val="center"/>
          </w:tcPr>
          <w:p w14:paraId="526F7E2B">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229</w:t>
            </w:r>
          </w:p>
        </w:tc>
        <w:tc>
          <w:tcPr>
            <w:tcW w:w="1246" w:type="pct"/>
            <w:tcBorders>
              <w:top w:val="single" w:color="auto" w:sz="4" w:space="0"/>
              <w:left w:val="single" w:color="auto" w:sz="4" w:space="0"/>
              <w:bottom w:val="nil"/>
              <w:right w:val="nil"/>
            </w:tcBorders>
            <w:vAlign w:val="center"/>
          </w:tcPr>
          <w:p w14:paraId="1A481BE1">
            <w:pPr>
              <w:widowControl/>
              <w:spacing w:line="320" w:lineRule="exact"/>
              <w:ind w:firstLine="0" w:firstLineChars="0"/>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1470</w:t>
            </w:r>
          </w:p>
        </w:tc>
      </w:tr>
      <w:tr w14:paraId="42A11B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nil"/>
              <w:left w:val="nil"/>
              <w:bottom w:val="nil"/>
              <w:right w:val="single" w:color="auto" w:sz="4" w:space="0"/>
            </w:tcBorders>
            <w:vAlign w:val="center"/>
          </w:tcPr>
          <w:p w14:paraId="6293DF53">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highlight w:val="none"/>
              </w:rPr>
            </w:pPr>
            <w:r>
              <w:rPr>
                <w:rFonts w:hint="default" w:ascii="Times New Roman" w:hAnsi="Times New Roman" w:eastAsia="方正仿宋_GBK" w:cs="Times New Roman"/>
                <w:bCs/>
                <w:color w:val="0C0C0C"/>
                <w:kern w:val="0"/>
                <w:sz w:val="21"/>
                <w:szCs w:val="21"/>
                <w:highlight w:val="none"/>
              </w:rPr>
              <w:t>内资企业</w:t>
            </w:r>
          </w:p>
        </w:tc>
        <w:tc>
          <w:tcPr>
            <w:tcW w:w="1246" w:type="pct"/>
            <w:tcBorders>
              <w:top w:val="nil"/>
              <w:left w:val="single" w:color="auto" w:sz="4" w:space="0"/>
              <w:bottom w:val="nil"/>
              <w:right w:val="single" w:color="auto" w:sz="4" w:space="0"/>
            </w:tcBorders>
            <w:vAlign w:val="center"/>
          </w:tcPr>
          <w:p w14:paraId="5DEB4F16">
            <w:pPr>
              <w:widowControl/>
              <w:spacing w:line="320" w:lineRule="exact"/>
              <w:ind w:firstLine="0" w:firstLineChars="0"/>
              <w:jc w:val="right"/>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229</w:t>
            </w:r>
          </w:p>
        </w:tc>
        <w:tc>
          <w:tcPr>
            <w:tcW w:w="1246" w:type="pct"/>
            <w:tcBorders>
              <w:top w:val="nil"/>
              <w:left w:val="single" w:color="auto" w:sz="4" w:space="0"/>
              <w:bottom w:val="nil"/>
              <w:right w:val="nil"/>
            </w:tcBorders>
            <w:vAlign w:val="center"/>
          </w:tcPr>
          <w:p w14:paraId="2745FA53">
            <w:pPr>
              <w:widowControl/>
              <w:spacing w:line="320" w:lineRule="exact"/>
              <w:ind w:firstLine="0" w:firstLineChars="0"/>
              <w:jc w:val="right"/>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sz w:val="21"/>
                <w:szCs w:val="21"/>
                <w:highlight w:val="none"/>
              </w:rPr>
              <w:t>1470</w:t>
            </w:r>
          </w:p>
        </w:tc>
      </w:tr>
      <w:tr w14:paraId="6496F1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nil"/>
              <w:left w:val="nil"/>
              <w:bottom w:val="nil"/>
              <w:right w:val="single" w:color="auto" w:sz="4" w:space="0"/>
            </w:tcBorders>
            <w:vAlign w:val="center"/>
          </w:tcPr>
          <w:p w14:paraId="399EF23D">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rPr>
            </w:pPr>
            <w:r>
              <w:rPr>
                <w:rFonts w:hint="default" w:ascii="Times New Roman" w:hAnsi="Times New Roman" w:eastAsia="方正仿宋_GBK" w:cs="Times New Roman"/>
                <w:bCs/>
                <w:color w:val="0C0C0C"/>
                <w:kern w:val="0"/>
                <w:sz w:val="21"/>
                <w:szCs w:val="21"/>
              </w:rPr>
              <w:t>港澳台投资企业</w:t>
            </w:r>
          </w:p>
        </w:tc>
        <w:tc>
          <w:tcPr>
            <w:tcW w:w="1246" w:type="pct"/>
            <w:tcBorders>
              <w:top w:val="nil"/>
              <w:left w:val="single" w:color="auto" w:sz="4" w:space="0"/>
              <w:bottom w:val="nil"/>
              <w:right w:val="single" w:color="auto" w:sz="4" w:space="0"/>
            </w:tcBorders>
            <w:vAlign w:val="center"/>
          </w:tcPr>
          <w:p w14:paraId="21BFEA66">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c>
          <w:tcPr>
            <w:tcW w:w="1246" w:type="pct"/>
            <w:tcBorders>
              <w:top w:val="nil"/>
              <w:left w:val="single" w:color="auto" w:sz="4" w:space="0"/>
              <w:bottom w:val="nil"/>
              <w:right w:val="nil"/>
            </w:tcBorders>
            <w:vAlign w:val="center"/>
          </w:tcPr>
          <w:p w14:paraId="5A901588">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r>
      <w:tr w14:paraId="4EA8B5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nil"/>
              <w:left w:val="nil"/>
              <w:bottom w:val="nil"/>
              <w:right w:val="single" w:color="auto" w:sz="4" w:space="0"/>
            </w:tcBorders>
            <w:vAlign w:val="center"/>
          </w:tcPr>
          <w:p w14:paraId="0DB6CA18">
            <w:pPr>
              <w:widowControl/>
              <w:spacing w:line="320" w:lineRule="exact"/>
              <w:ind w:right="57" w:firstLine="0" w:firstLineChars="0"/>
              <w:jc w:val="left"/>
              <w:textAlignment w:val="auto"/>
              <w:rPr>
                <w:rFonts w:hint="default" w:ascii="Times New Roman" w:hAnsi="Times New Roman" w:eastAsia="方正仿宋_GBK" w:cs="Times New Roman"/>
                <w:bCs/>
                <w:color w:val="0C0C0C"/>
                <w:sz w:val="21"/>
                <w:szCs w:val="21"/>
              </w:rPr>
            </w:pPr>
            <w:r>
              <w:rPr>
                <w:rFonts w:hint="default" w:ascii="Times New Roman" w:hAnsi="Times New Roman" w:eastAsia="方正仿宋_GBK" w:cs="Times New Roman"/>
                <w:bCs/>
                <w:color w:val="0C0C0C"/>
                <w:kern w:val="0"/>
                <w:sz w:val="21"/>
                <w:szCs w:val="21"/>
              </w:rPr>
              <w:t>外商投资企业</w:t>
            </w:r>
          </w:p>
        </w:tc>
        <w:tc>
          <w:tcPr>
            <w:tcW w:w="1246" w:type="pct"/>
            <w:tcBorders>
              <w:top w:val="nil"/>
              <w:left w:val="single" w:color="auto" w:sz="4" w:space="0"/>
              <w:bottom w:val="nil"/>
              <w:right w:val="single" w:color="auto" w:sz="4" w:space="0"/>
            </w:tcBorders>
            <w:vAlign w:val="center"/>
          </w:tcPr>
          <w:p w14:paraId="3873A282">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c>
          <w:tcPr>
            <w:tcW w:w="1246" w:type="pct"/>
            <w:tcBorders>
              <w:top w:val="nil"/>
              <w:left w:val="single" w:color="auto" w:sz="4" w:space="0"/>
              <w:bottom w:val="nil"/>
              <w:right w:val="nil"/>
            </w:tcBorders>
            <w:vAlign w:val="center"/>
          </w:tcPr>
          <w:p w14:paraId="472E1A03">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w:t>
            </w:r>
          </w:p>
        </w:tc>
      </w:tr>
      <w:tr w14:paraId="03FC93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06" w:type="pct"/>
            <w:tcBorders>
              <w:top w:val="nil"/>
              <w:left w:val="nil"/>
              <w:bottom w:val="single" w:color="auto" w:sz="12" w:space="0"/>
              <w:right w:val="single" w:color="auto" w:sz="4" w:space="0"/>
            </w:tcBorders>
            <w:vAlign w:val="center"/>
          </w:tcPr>
          <w:p w14:paraId="393BD2F2">
            <w:pPr>
              <w:widowControl/>
              <w:spacing w:line="320" w:lineRule="exact"/>
              <w:ind w:right="57" w:firstLine="0" w:firstLineChars="0"/>
              <w:jc w:val="left"/>
              <w:textAlignment w:val="auto"/>
              <w:rPr>
                <w:rFonts w:hint="default" w:ascii="Times New Roman" w:hAnsi="Times New Roman" w:eastAsia="方正仿宋_GBK" w:cs="Times New Roman"/>
                <w:bCs/>
                <w:color w:val="0C0C0C"/>
                <w:kern w:val="0"/>
                <w:sz w:val="21"/>
                <w:szCs w:val="21"/>
                <w:highlight w:val="none"/>
              </w:rPr>
            </w:pPr>
            <w:r>
              <w:rPr>
                <w:rFonts w:hint="default" w:ascii="Times New Roman" w:hAnsi="Times New Roman" w:eastAsia="方正仿宋_GBK" w:cs="Times New Roman"/>
                <w:bCs/>
                <w:color w:val="0C0C0C"/>
                <w:kern w:val="0"/>
                <w:sz w:val="21"/>
                <w:szCs w:val="21"/>
                <w:highlight w:val="none"/>
              </w:rPr>
              <w:t>其他统计类别</w:t>
            </w:r>
          </w:p>
        </w:tc>
        <w:tc>
          <w:tcPr>
            <w:tcW w:w="1246" w:type="pct"/>
            <w:tcBorders>
              <w:top w:val="nil"/>
              <w:left w:val="single" w:color="auto" w:sz="4" w:space="0"/>
              <w:bottom w:val="single" w:color="auto" w:sz="12" w:space="0"/>
              <w:right w:val="single" w:color="auto" w:sz="4" w:space="0"/>
            </w:tcBorders>
            <w:vAlign w:val="center"/>
          </w:tcPr>
          <w:p w14:paraId="471865F4">
            <w:pPr>
              <w:widowControl/>
              <w:spacing w:line="320" w:lineRule="exact"/>
              <w:ind w:firstLine="0" w:firstLineChars="0"/>
              <w:jc w:val="right"/>
              <w:rPr>
                <w:rFonts w:hint="default" w:ascii="Times New Roman" w:hAnsi="Times New Roman" w:eastAsia="方正仿宋_GBK" w:cs="Times New Roman"/>
                <w:color w:val="0C0C0C"/>
                <w:kern w:val="0"/>
                <w:sz w:val="21"/>
                <w:szCs w:val="21"/>
                <w:highlight w:val="none"/>
              </w:rPr>
            </w:pPr>
            <w:r>
              <w:rPr>
                <w:rFonts w:hint="default" w:ascii="Times New Roman" w:hAnsi="Times New Roman" w:eastAsia="方正仿宋_GBK" w:cs="Times New Roman"/>
                <w:color w:val="000000"/>
                <w:kern w:val="0"/>
                <w:sz w:val="21"/>
                <w:szCs w:val="21"/>
                <w:highlight w:val="none"/>
              </w:rPr>
              <w:t>-</w:t>
            </w:r>
          </w:p>
        </w:tc>
        <w:tc>
          <w:tcPr>
            <w:tcW w:w="1246" w:type="pct"/>
            <w:tcBorders>
              <w:top w:val="nil"/>
              <w:left w:val="single" w:color="auto" w:sz="4" w:space="0"/>
              <w:bottom w:val="single" w:color="auto" w:sz="12" w:space="0"/>
              <w:right w:val="nil"/>
            </w:tcBorders>
            <w:vAlign w:val="center"/>
          </w:tcPr>
          <w:p w14:paraId="0E0C2BE4">
            <w:pPr>
              <w:widowControl/>
              <w:spacing w:line="320" w:lineRule="exact"/>
              <w:ind w:firstLine="420"/>
              <w:jc w:val="right"/>
              <w:rPr>
                <w:rFonts w:hint="eastAsia" w:ascii="Times New Roman" w:hAnsi="Times New Roman" w:eastAsia="方正仿宋_GBK" w:cs="Times New Roman"/>
                <w:color w:val="0C0C0C"/>
                <w:kern w:val="0"/>
                <w:sz w:val="21"/>
                <w:szCs w:val="21"/>
                <w:highlight w:val="none"/>
                <w:lang w:val="en-US" w:eastAsia="zh-CN"/>
              </w:rPr>
            </w:pPr>
            <w:r>
              <w:rPr>
                <w:rFonts w:hint="eastAsia" w:cs="Times New Roman"/>
                <w:color w:val="0C0C0C"/>
                <w:kern w:val="0"/>
                <w:sz w:val="21"/>
                <w:szCs w:val="21"/>
                <w:highlight w:val="none"/>
                <w:lang w:val="en-US" w:eastAsia="zh-CN"/>
              </w:rPr>
              <w:t>-</w:t>
            </w:r>
          </w:p>
        </w:tc>
      </w:tr>
    </w:tbl>
    <w:p w14:paraId="0BA18582">
      <w:pPr>
        <w:spacing w:line="570" w:lineRule="exact"/>
        <w:ind w:firstLine="616"/>
        <w:rPr>
          <w:rFonts w:hint="eastAsia" w:ascii="方正楷体_GBK" w:hAnsi="方正楷体_GBK" w:eastAsia="方正楷体_GBK" w:cs="方正楷体_GBK"/>
          <w:color w:val="0C0C0C"/>
          <w:spacing w:val="-6"/>
          <w:sz w:val="32"/>
          <w:szCs w:val="32"/>
        </w:rPr>
      </w:pPr>
      <w:r>
        <w:rPr>
          <w:rFonts w:hint="eastAsia" w:ascii="方正楷体_GBK" w:hAnsi="方正楷体_GBK" w:eastAsia="方正楷体_GBK" w:cs="方正楷体_GBK"/>
          <w:color w:val="0C0C0C"/>
          <w:spacing w:val="-6"/>
          <w:sz w:val="32"/>
          <w:szCs w:val="32"/>
        </w:rPr>
        <w:t>（二）主要经济指标</w:t>
      </w:r>
    </w:p>
    <w:p w14:paraId="4E8B7968">
      <w:pPr>
        <w:pStyle w:val="2"/>
        <w:spacing w:line="570" w:lineRule="exact"/>
        <w:ind w:firstLine="616"/>
        <w:rPr>
          <w:rFonts w:eastAsia="宋体"/>
          <w:b/>
          <w:color w:val="0C0C0C"/>
          <w:kern w:val="0"/>
          <w:sz w:val="24"/>
          <w:szCs w:val="24"/>
        </w:rPr>
      </w:pPr>
      <w:r>
        <w:rPr>
          <w:color w:val="0C0C0C"/>
          <w:spacing w:val="-6"/>
          <w:sz w:val="32"/>
          <w:szCs w:val="32"/>
        </w:rPr>
        <w:t>2023年末，居民服务、修理和其他服务业企业法人单位资产总计</w:t>
      </w:r>
      <w:r>
        <w:rPr>
          <w:color w:val="0C0C0C"/>
          <w:sz w:val="32"/>
          <w:szCs w:val="32"/>
        </w:rPr>
        <w:t>22609万</w:t>
      </w:r>
      <w:r>
        <w:rPr>
          <w:color w:val="0C0C0C"/>
          <w:spacing w:val="-6"/>
          <w:sz w:val="32"/>
          <w:szCs w:val="32"/>
        </w:rPr>
        <w:t>元，比2018年末增长</w:t>
      </w:r>
      <w:r>
        <w:rPr>
          <w:color w:val="0C0C0C"/>
          <w:sz w:val="32"/>
          <w:szCs w:val="32"/>
        </w:rPr>
        <w:t>29.1</w:t>
      </w:r>
      <w:r>
        <w:rPr>
          <w:color w:val="0C0C0C"/>
          <w:spacing w:val="-6"/>
          <w:sz w:val="32"/>
          <w:szCs w:val="32"/>
        </w:rPr>
        <w:t>%；负债合计</w:t>
      </w:r>
      <w:r>
        <w:rPr>
          <w:color w:val="0C0C0C"/>
          <w:sz w:val="32"/>
          <w:szCs w:val="32"/>
        </w:rPr>
        <w:t>984万</w:t>
      </w:r>
      <w:r>
        <w:rPr>
          <w:color w:val="0C0C0C"/>
          <w:spacing w:val="-6"/>
          <w:sz w:val="32"/>
          <w:szCs w:val="32"/>
        </w:rPr>
        <w:t>元，比2018年末增长</w:t>
      </w:r>
      <w:r>
        <w:rPr>
          <w:color w:val="0C0C0C"/>
          <w:sz w:val="32"/>
          <w:szCs w:val="32"/>
        </w:rPr>
        <w:t>42.9</w:t>
      </w:r>
      <w:r>
        <w:rPr>
          <w:color w:val="0C0C0C"/>
          <w:spacing w:val="-6"/>
          <w:sz w:val="32"/>
          <w:szCs w:val="32"/>
        </w:rPr>
        <w:t>%。全年实现营业收入</w:t>
      </w:r>
      <w:r>
        <w:rPr>
          <w:color w:val="0C0C0C"/>
          <w:sz w:val="32"/>
          <w:szCs w:val="32"/>
        </w:rPr>
        <w:t>42588万</w:t>
      </w:r>
      <w:r>
        <w:rPr>
          <w:color w:val="0C0C0C"/>
          <w:spacing w:val="-6"/>
          <w:sz w:val="32"/>
          <w:szCs w:val="32"/>
        </w:rPr>
        <w:t>元，比2018年增长</w:t>
      </w:r>
      <w:r>
        <w:rPr>
          <w:color w:val="0C0C0C"/>
          <w:sz w:val="32"/>
          <w:szCs w:val="32"/>
        </w:rPr>
        <w:t>16.4</w:t>
      </w:r>
      <w:r>
        <w:rPr>
          <w:color w:val="0C0C0C"/>
          <w:spacing w:val="-6"/>
          <w:sz w:val="32"/>
          <w:szCs w:val="32"/>
        </w:rPr>
        <w:t>%（详见表5-6）。</w:t>
      </w:r>
    </w:p>
    <w:p w14:paraId="57BD78ED">
      <w:pPr>
        <w:widowControl/>
        <w:spacing w:line="4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表5-6　按行业大类分组的居民服务、修理和其他服务业</w:t>
      </w:r>
    </w:p>
    <w:p w14:paraId="1AD4F664">
      <w:pPr>
        <w:widowControl/>
        <w:spacing w:line="400" w:lineRule="exact"/>
        <w:ind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企业法人单位主要经济指标</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87"/>
        <w:gridCol w:w="1484"/>
        <w:gridCol w:w="1484"/>
        <w:gridCol w:w="1485"/>
      </w:tblGrid>
      <w:tr w14:paraId="687F96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80" w:type="pct"/>
            <w:tcBorders>
              <w:top w:val="single" w:color="auto" w:sz="12" w:space="0"/>
              <w:left w:val="nil"/>
              <w:bottom w:val="single" w:color="auto" w:sz="4" w:space="0"/>
              <w:right w:val="single" w:color="auto" w:sz="4" w:space="0"/>
            </w:tcBorders>
            <w:vAlign w:val="center"/>
          </w:tcPr>
          <w:p w14:paraId="76FD0915">
            <w:pPr>
              <w:widowControl/>
              <w:spacing w:line="320" w:lineRule="exact"/>
              <w:ind w:left="57" w:right="57" w:firstLine="50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　</w:t>
            </w:r>
          </w:p>
        </w:tc>
        <w:tc>
          <w:tcPr>
            <w:tcW w:w="839" w:type="pct"/>
            <w:tcBorders>
              <w:top w:val="single" w:color="auto" w:sz="12" w:space="0"/>
              <w:left w:val="single" w:color="auto" w:sz="4" w:space="0"/>
              <w:bottom w:val="single" w:color="auto" w:sz="4" w:space="0"/>
              <w:right w:val="single" w:color="auto" w:sz="4" w:space="0"/>
            </w:tcBorders>
            <w:vAlign w:val="center"/>
          </w:tcPr>
          <w:p w14:paraId="645251A7">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资产总计</w:t>
            </w:r>
          </w:p>
          <w:p w14:paraId="45136A94">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4"/>
              </w:rPr>
            </w:pPr>
            <w:r>
              <w:rPr>
                <w:rFonts w:hint="default" w:ascii="Times New Roman" w:hAnsi="Times New Roman" w:eastAsia="方正黑体_GBK" w:cs="Times New Roman"/>
                <w:b w:val="0"/>
                <w:bCs w:val="0"/>
                <w:color w:val="0C0C0C"/>
                <w:kern w:val="0"/>
                <w:sz w:val="21"/>
                <w:szCs w:val="21"/>
              </w:rPr>
              <w:t>（万元）</w:t>
            </w:r>
          </w:p>
        </w:tc>
        <w:tc>
          <w:tcPr>
            <w:tcW w:w="839" w:type="pct"/>
            <w:tcBorders>
              <w:top w:val="single" w:color="auto" w:sz="12" w:space="0"/>
              <w:left w:val="single" w:color="auto" w:sz="4" w:space="0"/>
              <w:bottom w:val="single" w:color="auto" w:sz="4" w:space="0"/>
              <w:right w:val="single" w:color="auto" w:sz="4" w:space="0"/>
            </w:tcBorders>
            <w:vAlign w:val="center"/>
          </w:tcPr>
          <w:p w14:paraId="14EC93B9">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负债合计</w:t>
            </w:r>
          </w:p>
          <w:p w14:paraId="52EBDF85">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（万元）</w:t>
            </w:r>
          </w:p>
        </w:tc>
        <w:tc>
          <w:tcPr>
            <w:tcW w:w="839" w:type="pct"/>
            <w:tcBorders>
              <w:top w:val="single" w:color="auto" w:sz="12" w:space="0"/>
              <w:left w:val="single" w:color="auto" w:sz="4" w:space="0"/>
              <w:bottom w:val="single" w:color="auto" w:sz="4" w:space="0"/>
              <w:right w:val="nil"/>
            </w:tcBorders>
            <w:vAlign w:val="center"/>
          </w:tcPr>
          <w:p w14:paraId="3DEADDD0">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营业收入</w:t>
            </w:r>
          </w:p>
          <w:p w14:paraId="764C4EFF">
            <w:pPr>
              <w:widowControl/>
              <w:spacing w:line="320" w:lineRule="exact"/>
              <w:ind w:left="57" w:right="57"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（万元）</w:t>
            </w:r>
          </w:p>
        </w:tc>
      </w:tr>
      <w:tr w14:paraId="71D788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80" w:type="pct"/>
            <w:tcBorders>
              <w:top w:val="single" w:color="auto" w:sz="4" w:space="0"/>
              <w:left w:val="nil"/>
              <w:bottom w:val="nil"/>
              <w:right w:val="single" w:color="auto" w:sz="4" w:space="0"/>
            </w:tcBorders>
            <w:vAlign w:val="center"/>
          </w:tcPr>
          <w:p w14:paraId="01AC7606">
            <w:pPr>
              <w:widowControl/>
              <w:spacing w:line="320" w:lineRule="exact"/>
              <w:ind w:right="57"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839" w:type="pct"/>
            <w:tcBorders>
              <w:top w:val="single" w:color="auto" w:sz="4" w:space="0"/>
              <w:left w:val="single" w:color="auto" w:sz="4" w:space="0"/>
              <w:bottom w:val="nil"/>
              <w:right w:val="single" w:color="auto" w:sz="4" w:space="0"/>
            </w:tcBorders>
            <w:vAlign w:val="center"/>
          </w:tcPr>
          <w:p w14:paraId="50387CFA">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22609 </w:t>
            </w:r>
          </w:p>
        </w:tc>
        <w:tc>
          <w:tcPr>
            <w:tcW w:w="839" w:type="pct"/>
            <w:tcBorders>
              <w:top w:val="single" w:color="auto" w:sz="4" w:space="0"/>
              <w:left w:val="single" w:color="auto" w:sz="4" w:space="0"/>
              <w:bottom w:val="nil"/>
              <w:right w:val="single" w:color="auto" w:sz="4" w:space="0"/>
            </w:tcBorders>
            <w:vAlign w:val="center"/>
          </w:tcPr>
          <w:p w14:paraId="221F5087">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984 </w:t>
            </w:r>
          </w:p>
        </w:tc>
        <w:tc>
          <w:tcPr>
            <w:tcW w:w="839" w:type="pct"/>
            <w:tcBorders>
              <w:top w:val="single" w:color="auto" w:sz="4" w:space="0"/>
              <w:left w:val="single" w:color="auto" w:sz="4" w:space="0"/>
              <w:bottom w:val="nil"/>
              <w:right w:val="nil"/>
            </w:tcBorders>
            <w:vAlign w:val="center"/>
          </w:tcPr>
          <w:p w14:paraId="2660FD06">
            <w:pPr>
              <w:widowControl/>
              <w:spacing w:line="320" w:lineRule="exact"/>
              <w:ind w:firstLine="422"/>
              <w:jc w:val="right"/>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00000"/>
                <w:kern w:val="0"/>
                <w:sz w:val="21"/>
                <w:szCs w:val="21"/>
              </w:rPr>
              <w:t xml:space="preserve">42588 </w:t>
            </w:r>
          </w:p>
        </w:tc>
      </w:tr>
      <w:tr w14:paraId="4524AA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80" w:type="pct"/>
            <w:tcBorders>
              <w:top w:val="nil"/>
              <w:left w:val="nil"/>
              <w:bottom w:val="nil"/>
              <w:right w:val="single" w:color="auto" w:sz="4" w:space="0"/>
            </w:tcBorders>
            <w:vAlign w:val="center"/>
          </w:tcPr>
          <w:p w14:paraId="749F4E7C">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rPr>
              <w:t>居民服务业</w:t>
            </w:r>
          </w:p>
        </w:tc>
        <w:tc>
          <w:tcPr>
            <w:tcW w:w="839" w:type="pct"/>
            <w:tcBorders>
              <w:top w:val="nil"/>
              <w:left w:val="single" w:color="auto" w:sz="4" w:space="0"/>
              <w:bottom w:val="nil"/>
              <w:right w:val="single" w:color="auto" w:sz="4" w:space="0"/>
            </w:tcBorders>
            <w:vAlign w:val="center"/>
          </w:tcPr>
          <w:p w14:paraId="1E92D838">
            <w:pPr>
              <w:widowControl/>
              <w:spacing w:line="320" w:lineRule="exact"/>
              <w:ind w:firstLine="420"/>
              <w:jc w:val="right"/>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00000"/>
                <w:kern w:val="0"/>
                <w:sz w:val="21"/>
                <w:szCs w:val="21"/>
                <w:highlight w:val="none"/>
              </w:rPr>
              <w:t xml:space="preserve">15769 </w:t>
            </w:r>
          </w:p>
        </w:tc>
        <w:tc>
          <w:tcPr>
            <w:tcW w:w="839" w:type="pct"/>
            <w:tcBorders>
              <w:top w:val="nil"/>
              <w:left w:val="single" w:color="auto" w:sz="4" w:space="0"/>
              <w:bottom w:val="nil"/>
              <w:right w:val="single" w:color="auto" w:sz="4" w:space="0"/>
            </w:tcBorders>
            <w:vAlign w:val="center"/>
          </w:tcPr>
          <w:p w14:paraId="027DA8DA">
            <w:pPr>
              <w:widowControl/>
              <w:spacing w:line="320" w:lineRule="exact"/>
              <w:ind w:firstLine="420"/>
              <w:jc w:val="right"/>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00000"/>
                <w:kern w:val="0"/>
                <w:sz w:val="21"/>
                <w:szCs w:val="21"/>
                <w:highlight w:val="none"/>
              </w:rPr>
              <w:t xml:space="preserve">250 </w:t>
            </w:r>
          </w:p>
        </w:tc>
        <w:tc>
          <w:tcPr>
            <w:tcW w:w="839" w:type="pct"/>
            <w:tcBorders>
              <w:top w:val="nil"/>
              <w:left w:val="single" w:color="auto" w:sz="4" w:space="0"/>
              <w:bottom w:val="nil"/>
              <w:right w:val="nil"/>
            </w:tcBorders>
            <w:vAlign w:val="center"/>
          </w:tcPr>
          <w:p w14:paraId="29C351C5">
            <w:pPr>
              <w:widowControl/>
              <w:spacing w:line="320" w:lineRule="exact"/>
              <w:ind w:firstLine="420"/>
              <w:jc w:val="right"/>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00000"/>
                <w:kern w:val="0"/>
                <w:sz w:val="21"/>
                <w:szCs w:val="21"/>
                <w:highlight w:val="none"/>
              </w:rPr>
              <w:t xml:space="preserve">21583 </w:t>
            </w:r>
          </w:p>
        </w:tc>
      </w:tr>
      <w:tr w14:paraId="39F4AA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80" w:type="pct"/>
            <w:tcBorders>
              <w:top w:val="nil"/>
              <w:left w:val="nil"/>
              <w:bottom w:val="nil"/>
              <w:right w:val="single" w:color="auto" w:sz="4" w:space="0"/>
            </w:tcBorders>
            <w:vAlign w:val="center"/>
          </w:tcPr>
          <w:p w14:paraId="2AA3D56E">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机动车、电子产品和日用产品修理业</w:t>
            </w:r>
          </w:p>
        </w:tc>
        <w:tc>
          <w:tcPr>
            <w:tcW w:w="839" w:type="pct"/>
            <w:tcBorders>
              <w:top w:val="nil"/>
              <w:left w:val="single" w:color="auto" w:sz="4" w:space="0"/>
              <w:bottom w:val="nil"/>
              <w:right w:val="single" w:color="auto" w:sz="4" w:space="0"/>
            </w:tcBorders>
            <w:vAlign w:val="center"/>
          </w:tcPr>
          <w:p w14:paraId="6A3FACAF">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5539 </w:t>
            </w:r>
          </w:p>
        </w:tc>
        <w:tc>
          <w:tcPr>
            <w:tcW w:w="839" w:type="pct"/>
            <w:tcBorders>
              <w:top w:val="nil"/>
              <w:left w:val="single" w:color="auto" w:sz="4" w:space="0"/>
              <w:bottom w:val="nil"/>
              <w:right w:val="single" w:color="auto" w:sz="4" w:space="0"/>
            </w:tcBorders>
            <w:vAlign w:val="center"/>
          </w:tcPr>
          <w:p w14:paraId="27D0999B">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645 </w:t>
            </w:r>
          </w:p>
        </w:tc>
        <w:tc>
          <w:tcPr>
            <w:tcW w:w="839" w:type="pct"/>
            <w:tcBorders>
              <w:top w:val="nil"/>
              <w:left w:val="single" w:color="auto" w:sz="4" w:space="0"/>
              <w:bottom w:val="nil"/>
              <w:right w:val="nil"/>
            </w:tcBorders>
            <w:vAlign w:val="center"/>
          </w:tcPr>
          <w:p w14:paraId="08A19598">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16361 </w:t>
            </w:r>
          </w:p>
        </w:tc>
      </w:tr>
      <w:tr w14:paraId="77E7EE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80" w:type="pct"/>
            <w:tcBorders>
              <w:top w:val="nil"/>
              <w:left w:val="nil"/>
              <w:bottom w:val="single" w:color="auto" w:sz="12" w:space="0"/>
              <w:right w:val="single" w:color="auto" w:sz="4" w:space="0"/>
            </w:tcBorders>
            <w:vAlign w:val="center"/>
          </w:tcPr>
          <w:p w14:paraId="7A33743E">
            <w:pPr>
              <w:widowControl/>
              <w:spacing w:line="320" w:lineRule="exact"/>
              <w:ind w:right="57"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其他服务业</w:t>
            </w:r>
          </w:p>
        </w:tc>
        <w:tc>
          <w:tcPr>
            <w:tcW w:w="839" w:type="pct"/>
            <w:tcBorders>
              <w:top w:val="nil"/>
              <w:left w:val="single" w:color="auto" w:sz="4" w:space="0"/>
              <w:bottom w:val="single" w:color="auto" w:sz="12" w:space="0"/>
              <w:right w:val="single" w:color="auto" w:sz="4" w:space="0"/>
            </w:tcBorders>
            <w:vAlign w:val="center"/>
          </w:tcPr>
          <w:p w14:paraId="22FF746C">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1301 </w:t>
            </w:r>
          </w:p>
        </w:tc>
        <w:tc>
          <w:tcPr>
            <w:tcW w:w="839" w:type="pct"/>
            <w:tcBorders>
              <w:top w:val="nil"/>
              <w:left w:val="single" w:color="auto" w:sz="4" w:space="0"/>
              <w:bottom w:val="single" w:color="auto" w:sz="12" w:space="0"/>
              <w:right w:val="single" w:color="auto" w:sz="4" w:space="0"/>
            </w:tcBorders>
            <w:vAlign w:val="center"/>
          </w:tcPr>
          <w:p w14:paraId="3D221D7D">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89 </w:t>
            </w:r>
          </w:p>
        </w:tc>
        <w:tc>
          <w:tcPr>
            <w:tcW w:w="839" w:type="pct"/>
            <w:tcBorders>
              <w:top w:val="nil"/>
              <w:left w:val="single" w:color="auto" w:sz="4" w:space="0"/>
              <w:bottom w:val="single" w:color="auto" w:sz="12" w:space="0"/>
              <w:right w:val="nil"/>
            </w:tcBorders>
            <w:vAlign w:val="center"/>
          </w:tcPr>
          <w:p w14:paraId="60D21E79">
            <w:pPr>
              <w:widowControl/>
              <w:spacing w:line="320" w:lineRule="exact"/>
              <w:ind w:firstLine="420"/>
              <w:jc w:val="right"/>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00000"/>
                <w:kern w:val="0"/>
                <w:sz w:val="21"/>
                <w:szCs w:val="21"/>
              </w:rPr>
              <w:t xml:space="preserve">4644 </w:t>
            </w:r>
          </w:p>
        </w:tc>
      </w:tr>
    </w:tbl>
    <w:p w14:paraId="17B6CACC">
      <w:pPr>
        <w:widowControl/>
        <w:spacing w:line="570" w:lineRule="exact"/>
        <w:ind w:firstLine="640" w:firstLineChars="200"/>
        <w:jc w:val="left"/>
        <w:textAlignment w:val="auto"/>
        <w:rPr>
          <w:rFonts w:hint="eastAsia" w:ascii="方正黑体_GBK" w:hAnsi="方正黑体_GBK" w:eastAsia="方正黑体_GBK" w:cs="方正黑体_GBK"/>
          <w:bCs/>
          <w:color w:val="0C0C0C"/>
          <w:kern w:val="0"/>
          <w:sz w:val="32"/>
          <w:szCs w:val="32"/>
        </w:rPr>
      </w:pPr>
      <w:r>
        <w:rPr>
          <w:rFonts w:hint="eastAsia" w:ascii="方正黑体_GBK" w:hAnsi="方正黑体_GBK" w:eastAsia="方正黑体_GBK" w:cs="方正黑体_GBK"/>
          <w:bCs/>
          <w:color w:val="0C0C0C"/>
          <w:kern w:val="0"/>
          <w:sz w:val="32"/>
          <w:szCs w:val="32"/>
        </w:rPr>
        <w:t>四、教育</w:t>
      </w:r>
    </w:p>
    <w:p w14:paraId="5A8EC375">
      <w:pPr>
        <w:widowControl/>
        <w:spacing w:line="570" w:lineRule="exact"/>
        <w:ind w:firstLine="0" w:firstLineChars="0"/>
        <w:jc w:val="left"/>
        <w:textAlignment w:val="auto"/>
        <w:rPr>
          <w:rFonts w:hint="eastAsia" w:ascii="方正楷体_GBK" w:hAnsi="方正楷体_GBK" w:eastAsia="方正楷体_GBK" w:cs="方正楷体_GBK"/>
          <w:color w:val="0C0C0C"/>
          <w:spacing w:val="-6"/>
          <w:sz w:val="32"/>
          <w:szCs w:val="32"/>
        </w:rPr>
      </w:pPr>
      <w:r>
        <w:rPr>
          <w:rFonts w:eastAsia="楷体_GB2312"/>
          <w:color w:val="0C0C0C"/>
          <w:kern w:val="0"/>
          <w:sz w:val="32"/>
          <w:szCs w:val="32"/>
        </w:rPr>
        <w:t xml:space="preserve">    </w:t>
      </w:r>
      <w:r>
        <w:rPr>
          <w:rFonts w:hint="eastAsia" w:ascii="方正楷体_GBK" w:hAnsi="方正楷体_GBK" w:eastAsia="方正楷体_GBK" w:cs="方正楷体_GBK"/>
          <w:color w:val="0C0C0C"/>
          <w:spacing w:val="-6"/>
          <w:sz w:val="32"/>
          <w:szCs w:val="32"/>
        </w:rPr>
        <w:t>（一）法人单位数和从业人员</w:t>
      </w:r>
    </w:p>
    <w:p w14:paraId="31ED470E">
      <w:pPr>
        <w:pStyle w:val="2"/>
        <w:snapToGrid w:val="0"/>
        <w:spacing w:line="570" w:lineRule="exact"/>
        <w:ind w:firstLine="616"/>
        <w:rPr>
          <w:color w:val="0C0C0C"/>
          <w:spacing w:val="-6"/>
          <w:sz w:val="32"/>
          <w:szCs w:val="32"/>
        </w:rPr>
      </w:pPr>
      <w:r>
        <w:rPr>
          <w:color w:val="0C0C0C"/>
          <w:spacing w:val="-6"/>
          <w:sz w:val="32"/>
          <w:szCs w:val="32"/>
        </w:rPr>
        <w:t>2023年末，全县共有教育法人单位</w:t>
      </w:r>
      <w:r>
        <w:rPr>
          <w:color w:val="0C0C0C"/>
          <w:sz w:val="32"/>
          <w:szCs w:val="32"/>
        </w:rPr>
        <w:t>276</w:t>
      </w:r>
      <w:r>
        <w:rPr>
          <w:color w:val="0C0C0C"/>
          <w:spacing w:val="-6"/>
          <w:sz w:val="32"/>
          <w:szCs w:val="32"/>
        </w:rPr>
        <w:t>个，从业人员</w:t>
      </w:r>
      <w:r>
        <w:rPr>
          <w:color w:val="0C0C0C"/>
          <w:sz w:val="32"/>
          <w:szCs w:val="32"/>
        </w:rPr>
        <w:t>9754</w:t>
      </w:r>
      <w:r>
        <w:rPr>
          <w:color w:val="0C0C0C"/>
          <w:spacing w:val="-6"/>
          <w:sz w:val="32"/>
          <w:szCs w:val="32"/>
        </w:rPr>
        <w:t>人，分别比2018年末增长</w:t>
      </w:r>
      <w:r>
        <w:rPr>
          <w:color w:val="0C0C0C"/>
          <w:sz w:val="32"/>
          <w:szCs w:val="32"/>
        </w:rPr>
        <w:t>15.5</w:t>
      </w:r>
      <w:r>
        <w:rPr>
          <w:color w:val="0C0C0C"/>
          <w:spacing w:val="-6"/>
          <w:sz w:val="32"/>
          <w:szCs w:val="32"/>
        </w:rPr>
        <w:t>%和</w:t>
      </w:r>
      <w:r>
        <w:rPr>
          <w:color w:val="0C0C0C"/>
          <w:sz w:val="32"/>
          <w:szCs w:val="32"/>
        </w:rPr>
        <w:t>5.1</w:t>
      </w:r>
      <w:r>
        <w:rPr>
          <w:color w:val="0C0C0C"/>
          <w:spacing w:val="-6"/>
          <w:sz w:val="32"/>
          <w:szCs w:val="32"/>
        </w:rPr>
        <w:t>%。其中，行政事业及非企业法人单位</w:t>
      </w:r>
      <w:r>
        <w:rPr>
          <w:color w:val="0C0C0C"/>
          <w:sz w:val="32"/>
          <w:szCs w:val="32"/>
        </w:rPr>
        <w:t>149</w:t>
      </w:r>
      <w:r>
        <w:rPr>
          <w:color w:val="0C0C0C"/>
          <w:spacing w:val="-6"/>
          <w:sz w:val="32"/>
          <w:szCs w:val="32"/>
        </w:rPr>
        <w:t>个，比2018年末下降</w:t>
      </w:r>
      <w:r>
        <w:rPr>
          <w:color w:val="0C0C0C"/>
          <w:sz w:val="32"/>
          <w:szCs w:val="32"/>
        </w:rPr>
        <w:t>4.5</w:t>
      </w:r>
      <w:r>
        <w:rPr>
          <w:color w:val="0C0C0C"/>
          <w:spacing w:val="-6"/>
          <w:sz w:val="32"/>
          <w:szCs w:val="32"/>
        </w:rPr>
        <w:t>%；从业人员</w:t>
      </w:r>
      <w:r>
        <w:rPr>
          <w:color w:val="0C0C0C"/>
          <w:sz w:val="32"/>
          <w:szCs w:val="32"/>
        </w:rPr>
        <w:t>8408</w:t>
      </w:r>
      <w:r>
        <w:rPr>
          <w:color w:val="0C0C0C"/>
          <w:spacing w:val="-6"/>
          <w:sz w:val="32"/>
          <w:szCs w:val="32"/>
        </w:rPr>
        <w:t>人，比2018年末增长</w:t>
      </w:r>
      <w:r>
        <w:rPr>
          <w:color w:val="0C0C0C"/>
          <w:sz w:val="32"/>
          <w:szCs w:val="32"/>
        </w:rPr>
        <w:t>16.8</w:t>
      </w:r>
      <w:r>
        <w:rPr>
          <w:color w:val="0C0C0C"/>
          <w:spacing w:val="-6"/>
          <w:sz w:val="32"/>
          <w:szCs w:val="32"/>
        </w:rPr>
        <w:t>%。</w:t>
      </w:r>
    </w:p>
    <w:p w14:paraId="76CBBEF9">
      <w:pPr>
        <w:spacing w:line="570" w:lineRule="exact"/>
        <w:ind w:firstLine="0" w:firstLineChars="0"/>
        <w:rPr>
          <w:rFonts w:hint="eastAsia" w:ascii="方正楷体_GBK" w:hAnsi="方正楷体_GBK" w:eastAsia="方正楷体_GBK" w:cs="方正楷体_GBK"/>
          <w:color w:val="0C0C0C"/>
          <w:spacing w:val="-6"/>
          <w:sz w:val="32"/>
          <w:szCs w:val="32"/>
        </w:rPr>
      </w:pPr>
      <w:r>
        <w:rPr>
          <w:rFonts w:eastAsia="楷体_GB2312"/>
          <w:color w:val="0C0C0C"/>
          <w:spacing w:val="-6"/>
          <w:sz w:val="32"/>
          <w:szCs w:val="32"/>
        </w:rPr>
        <w:t xml:space="preserve">    </w:t>
      </w:r>
      <w:r>
        <w:rPr>
          <w:rFonts w:hint="eastAsia" w:ascii="方正楷体_GBK" w:hAnsi="方正楷体_GBK" w:eastAsia="方正楷体_GBK" w:cs="方正楷体_GBK"/>
          <w:color w:val="0C0C0C"/>
          <w:spacing w:val="-6"/>
          <w:sz w:val="32"/>
          <w:szCs w:val="32"/>
        </w:rPr>
        <w:t>（二）主要经济指标</w:t>
      </w:r>
    </w:p>
    <w:p w14:paraId="016A3CF7">
      <w:pPr>
        <w:pStyle w:val="2"/>
        <w:spacing w:line="570" w:lineRule="exact"/>
        <w:ind w:firstLine="0" w:firstLineChars="0"/>
        <w:rPr>
          <w:color w:val="0C0C0C"/>
          <w:spacing w:val="-6"/>
          <w:sz w:val="32"/>
          <w:szCs w:val="32"/>
        </w:rPr>
      </w:pPr>
      <w:r>
        <w:rPr>
          <w:color w:val="0C0C0C"/>
          <w:spacing w:val="-6"/>
          <w:sz w:val="32"/>
          <w:szCs w:val="32"/>
        </w:rPr>
        <w:t xml:space="preserve">    2023年末，教育企业法人单位资产总计</w:t>
      </w:r>
      <w:r>
        <w:rPr>
          <w:color w:val="0C0C0C"/>
          <w:sz w:val="32"/>
          <w:szCs w:val="32"/>
        </w:rPr>
        <w:t>26294万</w:t>
      </w:r>
      <w:r>
        <w:rPr>
          <w:color w:val="0C0C0C"/>
          <w:spacing w:val="-6"/>
          <w:sz w:val="32"/>
          <w:szCs w:val="32"/>
        </w:rPr>
        <w:t>元，比2018年末下降</w:t>
      </w:r>
      <w:r>
        <w:rPr>
          <w:color w:val="0C0C0C"/>
          <w:sz w:val="32"/>
          <w:szCs w:val="32"/>
        </w:rPr>
        <w:t>38.4</w:t>
      </w:r>
      <w:r>
        <w:rPr>
          <w:color w:val="0C0C0C"/>
          <w:spacing w:val="-6"/>
          <w:sz w:val="32"/>
          <w:szCs w:val="32"/>
        </w:rPr>
        <w:t>%；负债合计</w:t>
      </w:r>
      <w:r>
        <w:rPr>
          <w:color w:val="0C0C0C"/>
          <w:sz w:val="32"/>
          <w:szCs w:val="32"/>
        </w:rPr>
        <w:t>8165万</w:t>
      </w:r>
      <w:r>
        <w:rPr>
          <w:color w:val="0C0C0C"/>
          <w:spacing w:val="-6"/>
          <w:sz w:val="32"/>
          <w:szCs w:val="32"/>
        </w:rPr>
        <w:t>元，比2018年末下降</w:t>
      </w:r>
      <w:r>
        <w:rPr>
          <w:color w:val="0C0C0C"/>
          <w:sz w:val="32"/>
          <w:szCs w:val="32"/>
        </w:rPr>
        <w:t>38</w:t>
      </w:r>
      <w:r>
        <w:rPr>
          <w:color w:val="0C0C0C"/>
          <w:spacing w:val="-6"/>
          <w:sz w:val="32"/>
          <w:szCs w:val="32"/>
        </w:rPr>
        <w:t>%。全年实现营业收入</w:t>
      </w:r>
      <w:r>
        <w:rPr>
          <w:color w:val="0C0C0C"/>
          <w:sz w:val="32"/>
          <w:szCs w:val="32"/>
        </w:rPr>
        <w:t>27946万</w:t>
      </w:r>
      <w:r>
        <w:rPr>
          <w:color w:val="0C0C0C"/>
          <w:spacing w:val="-6"/>
          <w:sz w:val="32"/>
          <w:szCs w:val="32"/>
        </w:rPr>
        <w:t>元，比2018年下降</w:t>
      </w:r>
      <w:r>
        <w:rPr>
          <w:color w:val="0C0C0C"/>
          <w:sz w:val="32"/>
          <w:szCs w:val="32"/>
        </w:rPr>
        <w:t>84.6</w:t>
      </w:r>
      <w:r>
        <w:rPr>
          <w:color w:val="0C0C0C"/>
          <w:spacing w:val="-6"/>
          <w:sz w:val="32"/>
          <w:szCs w:val="32"/>
        </w:rPr>
        <w:t>%。</w:t>
      </w:r>
    </w:p>
    <w:p w14:paraId="63B16F6C">
      <w:pPr>
        <w:pStyle w:val="2"/>
        <w:spacing w:line="570" w:lineRule="exact"/>
        <w:ind w:firstLine="616"/>
        <w:rPr>
          <w:color w:val="0C0C0C"/>
          <w:spacing w:val="-6"/>
          <w:sz w:val="32"/>
          <w:szCs w:val="32"/>
          <w:highlight w:val="none"/>
        </w:rPr>
      </w:pPr>
      <w:r>
        <w:rPr>
          <w:color w:val="0C0C0C"/>
          <w:spacing w:val="-6"/>
          <w:sz w:val="32"/>
          <w:szCs w:val="32"/>
          <w:highlight w:val="none"/>
        </w:rPr>
        <w:t>行政事业及非企业法人单位年末资产</w:t>
      </w:r>
      <w:r>
        <w:rPr>
          <w:color w:val="0C0C0C"/>
          <w:sz w:val="32"/>
          <w:szCs w:val="32"/>
          <w:highlight w:val="none"/>
        </w:rPr>
        <w:t>176143万</w:t>
      </w:r>
      <w:r>
        <w:rPr>
          <w:color w:val="0C0C0C"/>
          <w:spacing w:val="-6"/>
          <w:sz w:val="32"/>
          <w:szCs w:val="32"/>
          <w:highlight w:val="none"/>
        </w:rPr>
        <w:t>元，比2018年末下降</w:t>
      </w:r>
      <w:r>
        <w:rPr>
          <w:color w:val="0C0C0C"/>
          <w:sz w:val="32"/>
          <w:szCs w:val="32"/>
          <w:highlight w:val="none"/>
        </w:rPr>
        <w:t>2.8</w:t>
      </w:r>
      <w:r>
        <w:rPr>
          <w:color w:val="0C0C0C"/>
          <w:spacing w:val="-6"/>
          <w:sz w:val="32"/>
          <w:szCs w:val="32"/>
          <w:highlight w:val="none"/>
        </w:rPr>
        <w:t>%。本年支出（费用）合计</w:t>
      </w:r>
      <w:r>
        <w:rPr>
          <w:color w:val="0C0C0C"/>
          <w:sz w:val="32"/>
          <w:szCs w:val="32"/>
          <w:highlight w:val="none"/>
        </w:rPr>
        <w:t>211493万</w:t>
      </w:r>
      <w:r>
        <w:rPr>
          <w:color w:val="0C0C0C"/>
          <w:spacing w:val="-6"/>
          <w:sz w:val="32"/>
          <w:szCs w:val="32"/>
          <w:highlight w:val="none"/>
        </w:rPr>
        <w:t>元，比2018年增长</w:t>
      </w:r>
      <w:r>
        <w:rPr>
          <w:color w:val="0C0C0C"/>
          <w:sz w:val="32"/>
          <w:szCs w:val="32"/>
          <w:highlight w:val="none"/>
        </w:rPr>
        <w:t>40.7</w:t>
      </w:r>
      <w:r>
        <w:rPr>
          <w:color w:val="0C0C0C"/>
          <w:spacing w:val="-6"/>
          <w:sz w:val="32"/>
          <w:szCs w:val="32"/>
          <w:highlight w:val="none"/>
        </w:rPr>
        <w:t>%。</w:t>
      </w:r>
    </w:p>
    <w:p w14:paraId="290C7C12">
      <w:pPr>
        <w:widowControl/>
        <w:spacing w:line="570" w:lineRule="exact"/>
        <w:ind w:firstLine="640" w:firstLineChars="200"/>
        <w:jc w:val="left"/>
        <w:textAlignment w:val="auto"/>
        <w:rPr>
          <w:rFonts w:hint="eastAsia" w:ascii="方正黑体_GBK" w:hAnsi="方正黑体_GBK" w:eastAsia="方正黑体_GBK" w:cs="方正黑体_GBK"/>
          <w:bCs/>
          <w:color w:val="0C0C0C"/>
          <w:kern w:val="0"/>
          <w:sz w:val="32"/>
          <w:szCs w:val="32"/>
        </w:rPr>
      </w:pPr>
      <w:r>
        <w:rPr>
          <w:rFonts w:hint="eastAsia" w:ascii="方正黑体_GBK" w:hAnsi="方正黑体_GBK" w:eastAsia="方正黑体_GBK" w:cs="方正黑体_GBK"/>
          <w:bCs/>
          <w:color w:val="0C0C0C"/>
          <w:kern w:val="0"/>
          <w:sz w:val="32"/>
          <w:szCs w:val="32"/>
        </w:rPr>
        <w:t>五、卫生和社会工作</w:t>
      </w:r>
    </w:p>
    <w:p w14:paraId="5F008AD1">
      <w:pPr>
        <w:spacing w:line="570" w:lineRule="exact"/>
        <w:ind w:firstLine="616"/>
        <w:rPr>
          <w:rFonts w:eastAsia="楷体_GB2312"/>
          <w:color w:val="0C0C0C"/>
          <w:kern w:val="0"/>
          <w:sz w:val="32"/>
          <w:szCs w:val="32"/>
        </w:rPr>
      </w:pPr>
      <w:r>
        <w:rPr>
          <w:rFonts w:hint="eastAsia" w:ascii="方正楷体_GBK" w:hAnsi="方正楷体_GBK" w:eastAsia="方正楷体_GBK" w:cs="方正楷体_GBK"/>
          <w:color w:val="0C0C0C"/>
          <w:spacing w:val="-6"/>
          <w:sz w:val="32"/>
          <w:szCs w:val="32"/>
        </w:rPr>
        <w:t>（一）法人单位数和从业人员</w:t>
      </w:r>
    </w:p>
    <w:p w14:paraId="32DA4A52">
      <w:pPr>
        <w:pStyle w:val="2"/>
        <w:spacing w:line="570" w:lineRule="exact"/>
        <w:ind w:firstLine="616"/>
        <w:rPr>
          <w:color w:val="0C0C0C"/>
          <w:spacing w:val="-6"/>
          <w:sz w:val="32"/>
          <w:szCs w:val="32"/>
        </w:rPr>
      </w:pPr>
      <w:r>
        <w:rPr>
          <w:color w:val="0C0C0C"/>
          <w:spacing w:val="-6"/>
          <w:sz w:val="32"/>
          <w:szCs w:val="32"/>
        </w:rPr>
        <w:t>2023年末，全县共有卫生和社会工作法人单位</w:t>
      </w:r>
      <w:r>
        <w:rPr>
          <w:color w:val="0C0C0C"/>
          <w:sz w:val="32"/>
          <w:szCs w:val="32"/>
        </w:rPr>
        <w:t>144</w:t>
      </w:r>
      <w:r>
        <w:rPr>
          <w:color w:val="0C0C0C"/>
          <w:spacing w:val="-6"/>
          <w:sz w:val="32"/>
          <w:szCs w:val="32"/>
        </w:rPr>
        <w:t>个，从业人员</w:t>
      </w:r>
      <w:r>
        <w:rPr>
          <w:color w:val="0C0C0C"/>
          <w:sz w:val="32"/>
          <w:szCs w:val="32"/>
        </w:rPr>
        <w:t>4795</w:t>
      </w:r>
      <w:r>
        <w:rPr>
          <w:color w:val="0C0C0C"/>
          <w:spacing w:val="-6"/>
          <w:sz w:val="32"/>
          <w:szCs w:val="32"/>
        </w:rPr>
        <w:t>人，分别比2018年末增长</w:t>
      </w:r>
      <w:r>
        <w:rPr>
          <w:color w:val="0C0C0C"/>
          <w:sz w:val="32"/>
          <w:szCs w:val="32"/>
        </w:rPr>
        <w:t>5.1</w:t>
      </w:r>
      <w:r>
        <w:rPr>
          <w:color w:val="0C0C0C"/>
          <w:spacing w:val="-6"/>
          <w:sz w:val="32"/>
          <w:szCs w:val="32"/>
        </w:rPr>
        <w:t>%和</w:t>
      </w:r>
      <w:r>
        <w:rPr>
          <w:color w:val="0C0C0C"/>
          <w:sz w:val="32"/>
          <w:szCs w:val="32"/>
        </w:rPr>
        <w:t>13.1</w:t>
      </w:r>
      <w:r>
        <w:rPr>
          <w:color w:val="0C0C0C"/>
          <w:spacing w:val="-6"/>
          <w:sz w:val="32"/>
          <w:szCs w:val="32"/>
        </w:rPr>
        <w:t>%。其中，行政事业及非企业法人单位</w:t>
      </w:r>
      <w:r>
        <w:rPr>
          <w:color w:val="0C0C0C"/>
          <w:sz w:val="32"/>
          <w:szCs w:val="32"/>
        </w:rPr>
        <w:t>42</w:t>
      </w:r>
      <w:r>
        <w:rPr>
          <w:color w:val="0C0C0C"/>
          <w:spacing w:val="-6"/>
          <w:sz w:val="32"/>
          <w:szCs w:val="32"/>
        </w:rPr>
        <w:t>个，比2018年末下降</w:t>
      </w:r>
      <w:r>
        <w:rPr>
          <w:color w:val="0C0C0C"/>
          <w:sz w:val="32"/>
          <w:szCs w:val="32"/>
        </w:rPr>
        <w:t>45.5</w:t>
      </w:r>
      <w:r>
        <w:rPr>
          <w:color w:val="0C0C0C"/>
          <w:spacing w:val="-6"/>
          <w:sz w:val="32"/>
          <w:szCs w:val="32"/>
        </w:rPr>
        <w:t>%；从业人员</w:t>
      </w:r>
      <w:r>
        <w:rPr>
          <w:color w:val="0C0C0C"/>
          <w:sz w:val="32"/>
          <w:szCs w:val="32"/>
        </w:rPr>
        <w:t>3733</w:t>
      </w:r>
      <w:r>
        <w:rPr>
          <w:color w:val="0C0C0C"/>
          <w:spacing w:val="-6"/>
          <w:sz w:val="32"/>
          <w:szCs w:val="32"/>
        </w:rPr>
        <w:t>人，比2018年末增长</w:t>
      </w:r>
      <w:r>
        <w:rPr>
          <w:color w:val="0C0C0C"/>
          <w:sz w:val="32"/>
          <w:szCs w:val="32"/>
        </w:rPr>
        <w:t>21.0</w:t>
      </w:r>
      <w:r>
        <w:rPr>
          <w:color w:val="0C0C0C"/>
          <w:spacing w:val="-6"/>
          <w:sz w:val="32"/>
          <w:szCs w:val="32"/>
        </w:rPr>
        <w:t>%。</w:t>
      </w:r>
    </w:p>
    <w:p w14:paraId="7B61EFD2">
      <w:pPr>
        <w:spacing w:line="570" w:lineRule="exact"/>
        <w:ind w:firstLine="616"/>
        <w:rPr>
          <w:rFonts w:hint="eastAsia" w:ascii="方正楷体_GBK" w:hAnsi="方正楷体_GBK" w:eastAsia="方正楷体_GBK" w:cs="方正楷体_GBK"/>
          <w:color w:val="0C0C0C"/>
          <w:spacing w:val="-6"/>
          <w:sz w:val="32"/>
          <w:szCs w:val="32"/>
        </w:rPr>
      </w:pPr>
      <w:r>
        <w:rPr>
          <w:rFonts w:hint="eastAsia" w:ascii="方正楷体_GBK" w:hAnsi="方正楷体_GBK" w:eastAsia="方正楷体_GBK" w:cs="方正楷体_GBK"/>
          <w:color w:val="0C0C0C"/>
          <w:spacing w:val="-6"/>
          <w:sz w:val="32"/>
          <w:szCs w:val="32"/>
        </w:rPr>
        <w:t>（二）主要经济指标</w:t>
      </w:r>
    </w:p>
    <w:p w14:paraId="773A48CA">
      <w:pPr>
        <w:pStyle w:val="2"/>
        <w:spacing w:line="570" w:lineRule="exact"/>
        <w:ind w:firstLine="616"/>
        <w:rPr>
          <w:color w:val="0C0C0C"/>
          <w:spacing w:val="-6"/>
          <w:sz w:val="32"/>
          <w:szCs w:val="32"/>
        </w:rPr>
      </w:pPr>
      <w:r>
        <w:rPr>
          <w:color w:val="0C0C0C"/>
          <w:spacing w:val="-6"/>
          <w:sz w:val="32"/>
          <w:szCs w:val="32"/>
        </w:rPr>
        <w:t>2023年末，卫生和社会工作企业法人单位资产总计</w:t>
      </w:r>
      <w:r>
        <w:rPr>
          <w:color w:val="0C0C0C"/>
          <w:sz w:val="32"/>
          <w:szCs w:val="32"/>
        </w:rPr>
        <w:t>40333万</w:t>
      </w:r>
      <w:r>
        <w:rPr>
          <w:color w:val="0C0C0C"/>
          <w:spacing w:val="-6"/>
          <w:sz w:val="32"/>
          <w:szCs w:val="32"/>
        </w:rPr>
        <w:t>元，比2018年末增长</w:t>
      </w:r>
      <w:r>
        <w:rPr>
          <w:color w:val="0C0C0C"/>
          <w:sz w:val="32"/>
          <w:szCs w:val="32"/>
        </w:rPr>
        <w:t>42.9</w:t>
      </w:r>
      <w:r>
        <w:rPr>
          <w:color w:val="0C0C0C"/>
          <w:spacing w:val="-6"/>
          <w:sz w:val="32"/>
          <w:szCs w:val="32"/>
        </w:rPr>
        <w:t>%；负债合计</w:t>
      </w:r>
      <w:r>
        <w:rPr>
          <w:color w:val="0C0C0C"/>
          <w:sz w:val="32"/>
          <w:szCs w:val="32"/>
        </w:rPr>
        <w:t>13879万</w:t>
      </w:r>
      <w:r>
        <w:rPr>
          <w:color w:val="0C0C0C"/>
          <w:spacing w:val="-6"/>
          <w:sz w:val="32"/>
          <w:szCs w:val="32"/>
        </w:rPr>
        <w:t>元，比2018年末下降</w:t>
      </w:r>
      <w:r>
        <w:rPr>
          <w:color w:val="0C0C0C"/>
          <w:sz w:val="32"/>
          <w:szCs w:val="32"/>
        </w:rPr>
        <w:t>8.5</w:t>
      </w:r>
      <w:r>
        <w:rPr>
          <w:color w:val="0C0C0C"/>
          <w:spacing w:val="-6"/>
          <w:sz w:val="32"/>
          <w:szCs w:val="32"/>
        </w:rPr>
        <w:t>%。全年实现营业收入</w:t>
      </w:r>
      <w:r>
        <w:rPr>
          <w:color w:val="0C0C0C"/>
          <w:sz w:val="32"/>
          <w:szCs w:val="32"/>
        </w:rPr>
        <w:t>35717万</w:t>
      </w:r>
      <w:r>
        <w:rPr>
          <w:color w:val="0C0C0C"/>
          <w:spacing w:val="-6"/>
          <w:sz w:val="32"/>
          <w:szCs w:val="32"/>
        </w:rPr>
        <w:t>元，比2018年增长</w:t>
      </w:r>
      <w:r>
        <w:rPr>
          <w:color w:val="0C0C0C"/>
          <w:sz w:val="32"/>
          <w:szCs w:val="32"/>
        </w:rPr>
        <w:t>60.1</w:t>
      </w:r>
      <w:r>
        <w:rPr>
          <w:color w:val="0C0C0C"/>
          <w:spacing w:val="-6"/>
          <w:sz w:val="32"/>
          <w:szCs w:val="32"/>
        </w:rPr>
        <w:t>%。</w:t>
      </w:r>
    </w:p>
    <w:p w14:paraId="1207772E">
      <w:pPr>
        <w:pStyle w:val="2"/>
        <w:spacing w:line="570" w:lineRule="exact"/>
        <w:ind w:firstLine="616"/>
        <w:rPr>
          <w:color w:val="0C0C0C"/>
          <w:spacing w:val="-6"/>
          <w:sz w:val="32"/>
          <w:szCs w:val="32"/>
          <w:highlight w:val="none"/>
        </w:rPr>
      </w:pPr>
      <w:r>
        <w:rPr>
          <w:color w:val="0C0C0C"/>
          <w:spacing w:val="-6"/>
          <w:sz w:val="32"/>
          <w:szCs w:val="32"/>
          <w:highlight w:val="none"/>
        </w:rPr>
        <w:t>行政事业及非企业法人单位年末资产</w:t>
      </w:r>
      <w:r>
        <w:rPr>
          <w:color w:val="0C0C0C"/>
          <w:sz w:val="32"/>
          <w:szCs w:val="32"/>
          <w:highlight w:val="none"/>
        </w:rPr>
        <w:t>237773万</w:t>
      </w:r>
      <w:r>
        <w:rPr>
          <w:color w:val="0C0C0C"/>
          <w:spacing w:val="-6"/>
          <w:sz w:val="32"/>
          <w:szCs w:val="32"/>
          <w:highlight w:val="none"/>
        </w:rPr>
        <w:t>元，比2018年末增长</w:t>
      </w:r>
      <w:r>
        <w:rPr>
          <w:color w:val="0C0C0C"/>
          <w:sz w:val="32"/>
          <w:szCs w:val="32"/>
          <w:highlight w:val="none"/>
        </w:rPr>
        <w:t>80.8</w:t>
      </w:r>
      <w:r>
        <w:rPr>
          <w:color w:val="0C0C0C"/>
          <w:spacing w:val="-6"/>
          <w:sz w:val="32"/>
          <w:szCs w:val="32"/>
          <w:highlight w:val="none"/>
        </w:rPr>
        <w:t>%。本年支出（费用）合计</w:t>
      </w:r>
      <w:r>
        <w:rPr>
          <w:color w:val="0C0C0C"/>
          <w:sz w:val="32"/>
          <w:szCs w:val="32"/>
          <w:highlight w:val="none"/>
        </w:rPr>
        <w:t>140144万</w:t>
      </w:r>
      <w:r>
        <w:rPr>
          <w:color w:val="0C0C0C"/>
          <w:spacing w:val="-6"/>
          <w:sz w:val="32"/>
          <w:szCs w:val="32"/>
          <w:highlight w:val="none"/>
        </w:rPr>
        <w:t>元，比2018年增长</w:t>
      </w:r>
      <w:r>
        <w:rPr>
          <w:color w:val="0C0C0C"/>
          <w:sz w:val="32"/>
          <w:szCs w:val="32"/>
          <w:highlight w:val="none"/>
        </w:rPr>
        <w:t>41.7</w:t>
      </w:r>
      <w:r>
        <w:rPr>
          <w:color w:val="0C0C0C"/>
          <w:spacing w:val="-6"/>
          <w:sz w:val="32"/>
          <w:szCs w:val="32"/>
          <w:highlight w:val="none"/>
        </w:rPr>
        <w:t>%。</w:t>
      </w:r>
    </w:p>
    <w:p w14:paraId="4373D4AF">
      <w:pPr>
        <w:widowControl/>
        <w:spacing w:line="570" w:lineRule="exact"/>
        <w:ind w:firstLine="640" w:firstLineChars="200"/>
        <w:jc w:val="left"/>
        <w:textAlignment w:val="auto"/>
        <w:rPr>
          <w:color w:val="0C0C0C"/>
          <w:sz w:val="32"/>
          <w:szCs w:val="32"/>
        </w:rPr>
      </w:pPr>
      <w:r>
        <w:rPr>
          <w:rFonts w:hint="eastAsia" w:ascii="方正黑体_GBK" w:hAnsi="方正黑体_GBK" w:eastAsia="方正黑体_GBK" w:cs="方正黑体_GBK"/>
          <w:bCs/>
          <w:color w:val="0C0C0C"/>
          <w:kern w:val="0"/>
          <w:sz w:val="32"/>
          <w:szCs w:val="32"/>
        </w:rPr>
        <w:t>六、文化、体育和娱乐业</w:t>
      </w:r>
    </w:p>
    <w:p w14:paraId="4DB32786">
      <w:pPr>
        <w:spacing w:line="570" w:lineRule="exact"/>
        <w:ind w:firstLine="616"/>
        <w:rPr>
          <w:rFonts w:eastAsia="楷体_GB2312"/>
          <w:color w:val="0C0C0C"/>
          <w:kern w:val="0"/>
          <w:sz w:val="32"/>
          <w:szCs w:val="32"/>
        </w:rPr>
      </w:pPr>
      <w:r>
        <w:rPr>
          <w:rFonts w:hint="eastAsia" w:ascii="方正楷体_GBK" w:hAnsi="方正楷体_GBK" w:eastAsia="方正楷体_GBK" w:cs="方正楷体_GBK"/>
          <w:color w:val="0C0C0C"/>
          <w:spacing w:val="-6"/>
          <w:sz w:val="32"/>
          <w:szCs w:val="32"/>
        </w:rPr>
        <w:t>（一）法人单位数和从业人员</w:t>
      </w:r>
    </w:p>
    <w:p w14:paraId="6D00135F">
      <w:pPr>
        <w:pStyle w:val="2"/>
        <w:spacing w:line="570" w:lineRule="exact"/>
        <w:ind w:firstLine="616"/>
        <w:rPr>
          <w:color w:val="0C0C0C"/>
          <w:spacing w:val="-6"/>
          <w:sz w:val="32"/>
          <w:szCs w:val="32"/>
        </w:rPr>
      </w:pPr>
      <w:r>
        <w:rPr>
          <w:color w:val="0C0C0C"/>
          <w:spacing w:val="-6"/>
          <w:sz w:val="32"/>
          <w:szCs w:val="32"/>
        </w:rPr>
        <w:t>2023年末，全县共有文化、体育和娱乐业法人单位</w:t>
      </w:r>
      <w:r>
        <w:rPr>
          <w:color w:val="0C0C0C"/>
          <w:sz w:val="32"/>
          <w:szCs w:val="32"/>
        </w:rPr>
        <w:t>846</w:t>
      </w:r>
      <w:r>
        <w:rPr>
          <w:color w:val="0C0C0C"/>
          <w:spacing w:val="-6"/>
          <w:sz w:val="32"/>
          <w:szCs w:val="32"/>
        </w:rPr>
        <w:t>个，从业人员</w:t>
      </w:r>
      <w:r>
        <w:rPr>
          <w:color w:val="0C0C0C"/>
          <w:sz w:val="32"/>
          <w:szCs w:val="32"/>
        </w:rPr>
        <w:t>5135</w:t>
      </w:r>
      <w:r>
        <w:rPr>
          <w:color w:val="0C0C0C"/>
          <w:spacing w:val="-6"/>
          <w:sz w:val="32"/>
          <w:szCs w:val="32"/>
        </w:rPr>
        <w:t>人，分别比2018年末增长</w:t>
      </w:r>
      <w:r>
        <w:rPr>
          <w:color w:val="0C0C0C"/>
          <w:sz w:val="32"/>
          <w:szCs w:val="32"/>
        </w:rPr>
        <w:t>68.2</w:t>
      </w:r>
      <w:r>
        <w:rPr>
          <w:color w:val="0C0C0C"/>
          <w:spacing w:val="-6"/>
          <w:sz w:val="32"/>
          <w:szCs w:val="32"/>
        </w:rPr>
        <w:t>%和</w:t>
      </w:r>
      <w:r>
        <w:rPr>
          <w:color w:val="0C0C0C"/>
          <w:sz w:val="32"/>
          <w:szCs w:val="32"/>
        </w:rPr>
        <w:t>32.4</w:t>
      </w:r>
      <w:r>
        <w:rPr>
          <w:color w:val="0C0C0C"/>
          <w:spacing w:val="-6"/>
          <w:sz w:val="32"/>
          <w:szCs w:val="32"/>
        </w:rPr>
        <w:t>%。其中，企业法人单位</w:t>
      </w:r>
      <w:r>
        <w:rPr>
          <w:color w:val="0C0C0C"/>
          <w:sz w:val="32"/>
          <w:szCs w:val="32"/>
        </w:rPr>
        <w:t>807</w:t>
      </w:r>
      <w:r>
        <w:rPr>
          <w:color w:val="0C0C0C"/>
          <w:spacing w:val="-6"/>
          <w:sz w:val="32"/>
          <w:szCs w:val="32"/>
        </w:rPr>
        <w:t>个，从业人员</w:t>
      </w:r>
      <w:r>
        <w:rPr>
          <w:color w:val="0C0C0C"/>
          <w:sz w:val="32"/>
          <w:szCs w:val="32"/>
        </w:rPr>
        <w:t>4840</w:t>
      </w:r>
      <w:r>
        <w:rPr>
          <w:color w:val="0C0C0C"/>
          <w:spacing w:val="-6"/>
          <w:sz w:val="32"/>
          <w:szCs w:val="32"/>
        </w:rPr>
        <w:t>人，分别比2018年末增长</w:t>
      </w:r>
      <w:r>
        <w:rPr>
          <w:color w:val="0C0C0C"/>
          <w:sz w:val="32"/>
          <w:szCs w:val="32"/>
        </w:rPr>
        <w:t>73.5</w:t>
      </w:r>
      <w:r>
        <w:rPr>
          <w:color w:val="0C0C0C"/>
          <w:spacing w:val="-6"/>
          <w:sz w:val="32"/>
          <w:szCs w:val="32"/>
        </w:rPr>
        <w:t>%和</w:t>
      </w:r>
      <w:r>
        <w:rPr>
          <w:color w:val="0C0C0C"/>
          <w:sz w:val="32"/>
          <w:szCs w:val="32"/>
        </w:rPr>
        <w:t>36.5</w:t>
      </w:r>
      <w:r>
        <w:rPr>
          <w:color w:val="0C0C0C"/>
          <w:spacing w:val="-6"/>
          <w:sz w:val="32"/>
          <w:szCs w:val="32"/>
        </w:rPr>
        <w:t>%。</w:t>
      </w:r>
    </w:p>
    <w:p w14:paraId="36F41F98">
      <w:pPr>
        <w:spacing w:line="570" w:lineRule="exact"/>
        <w:ind w:firstLine="616"/>
        <w:rPr>
          <w:rFonts w:hint="eastAsia" w:ascii="方正楷体_GBK" w:hAnsi="方正楷体_GBK" w:eastAsia="方正楷体_GBK" w:cs="方正楷体_GBK"/>
          <w:color w:val="0C0C0C"/>
          <w:sz w:val="32"/>
          <w:szCs w:val="32"/>
        </w:rPr>
      </w:pPr>
      <w:r>
        <w:rPr>
          <w:rFonts w:hint="eastAsia" w:ascii="方正楷体_GBK" w:hAnsi="方正楷体_GBK" w:eastAsia="方正楷体_GBK" w:cs="方正楷体_GBK"/>
          <w:color w:val="0C0C0C"/>
          <w:spacing w:val="-6"/>
          <w:sz w:val="32"/>
          <w:szCs w:val="32"/>
        </w:rPr>
        <w:t>（二）主要经济指标</w:t>
      </w:r>
    </w:p>
    <w:p w14:paraId="4E6CDC44">
      <w:pPr>
        <w:pStyle w:val="2"/>
        <w:spacing w:line="570" w:lineRule="exact"/>
        <w:ind w:firstLine="616"/>
        <w:rPr>
          <w:color w:val="0C0C0C"/>
          <w:spacing w:val="-6"/>
          <w:sz w:val="32"/>
          <w:szCs w:val="32"/>
        </w:rPr>
      </w:pPr>
      <w:r>
        <w:rPr>
          <w:color w:val="0C0C0C"/>
          <w:spacing w:val="-6"/>
          <w:sz w:val="32"/>
          <w:szCs w:val="32"/>
        </w:rPr>
        <w:t>2023年末，文化、体育和娱乐业企业法人单位资产总计</w:t>
      </w:r>
      <w:r>
        <w:rPr>
          <w:color w:val="0C0C0C"/>
          <w:sz w:val="32"/>
          <w:szCs w:val="32"/>
        </w:rPr>
        <w:t>152853万</w:t>
      </w:r>
      <w:r>
        <w:rPr>
          <w:color w:val="0C0C0C"/>
          <w:spacing w:val="-6"/>
          <w:sz w:val="32"/>
          <w:szCs w:val="32"/>
        </w:rPr>
        <w:t>元，比2018年末增长</w:t>
      </w:r>
      <w:r>
        <w:rPr>
          <w:color w:val="0C0C0C"/>
          <w:sz w:val="32"/>
          <w:szCs w:val="32"/>
        </w:rPr>
        <w:t>267.5</w:t>
      </w:r>
      <w:r>
        <w:rPr>
          <w:color w:val="0C0C0C"/>
          <w:spacing w:val="-6"/>
          <w:sz w:val="32"/>
          <w:szCs w:val="32"/>
        </w:rPr>
        <w:t>%；负债合计</w:t>
      </w:r>
      <w:r>
        <w:rPr>
          <w:color w:val="0C0C0C"/>
          <w:sz w:val="32"/>
          <w:szCs w:val="32"/>
        </w:rPr>
        <w:t>29417万</w:t>
      </w:r>
      <w:r>
        <w:rPr>
          <w:color w:val="0C0C0C"/>
          <w:spacing w:val="-6"/>
          <w:sz w:val="32"/>
          <w:szCs w:val="32"/>
        </w:rPr>
        <w:t>元，比2018年末增长</w:t>
      </w:r>
      <w:r>
        <w:rPr>
          <w:color w:val="0C0C0C"/>
          <w:sz w:val="32"/>
          <w:szCs w:val="32"/>
        </w:rPr>
        <w:t>818.8</w:t>
      </w:r>
      <w:r>
        <w:rPr>
          <w:color w:val="0C0C0C"/>
          <w:spacing w:val="-6"/>
          <w:sz w:val="32"/>
          <w:szCs w:val="32"/>
        </w:rPr>
        <w:t>%。全年实现营业收入</w:t>
      </w:r>
      <w:r>
        <w:rPr>
          <w:color w:val="0C0C0C"/>
          <w:sz w:val="32"/>
          <w:szCs w:val="32"/>
        </w:rPr>
        <w:t>153964万</w:t>
      </w:r>
      <w:r>
        <w:rPr>
          <w:color w:val="0C0C0C"/>
          <w:spacing w:val="-6"/>
          <w:sz w:val="32"/>
          <w:szCs w:val="32"/>
        </w:rPr>
        <w:t>元，比2018年增长</w:t>
      </w:r>
      <w:r>
        <w:rPr>
          <w:color w:val="0C0C0C"/>
          <w:sz w:val="32"/>
          <w:szCs w:val="32"/>
        </w:rPr>
        <w:t>104.2</w:t>
      </w:r>
      <w:r>
        <w:rPr>
          <w:color w:val="0C0C0C"/>
          <w:spacing w:val="-6"/>
          <w:sz w:val="32"/>
          <w:szCs w:val="32"/>
        </w:rPr>
        <w:t>%。</w:t>
      </w:r>
    </w:p>
    <w:p w14:paraId="414AF292">
      <w:pPr>
        <w:pStyle w:val="2"/>
        <w:spacing w:line="570" w:lineRule="exact"/>
        <w:ind w:firstLine="616"/>
        <w:rPr>
          <w:color w:val="0C0C0C"/>
          <w:spacing w:val="-6"/>
          <w:sz w:val="32"/>
          <w:szCs w:val="32"/>
          <w:highlight w:val="none"/>
        </w:rPr>
      </w:pPr>
      <w:r>
        <w:rPr>
          <w:color w:val="0C0C0C"/>
          <w:spacing w:val="-6"/>
          <w:sz w:val="32"/>
          <w:szCs w:val="32"/>
          <w:highlight w:val="none"/>
        </w:rPr>
        <w:t>行政事业及非企业法人单位年末资产</w:t>
      </w:r>
      <w:r>
        <w:rPr>
          <w:color w:val="0C0C0C"/>
          <w:sz w:val="32"/>
          <w:szCs w:val="32"/>
          <w:highlight w:val="none"/>
        </w:rPr>
        <w:t>7141万</w:t>
      </w:r>
      <w:r>
        <w:rPr>
          <w:color w:val="0C0C0C"/>
          <w:spacing w:val="-6"/>
          <w:sz w:val="32"/>
          <w:szCs w:val="32"/>
          <w:highlight w:val="none"/>
        </w:rPr>
        <w:t>元，比2018年末下降</w:t>
      </w:r>
      <w:r>
        <w:rPr>
          <w:color w:val="0C0C0C"/>
          <w:sz w:val="32"/>
          <w:szCs w:val="32"/>
          <w:highlight w:val="none"/>
        </w:rPr>
        <w:t>16.4</w:t>
      </w:r>
      <w:r>
        <w:rPr>
          <w:color w:val="0C0C0C"/>
          <w:spacing w:val="-6"/>
          <w:sz w:val="32"/>
          <w:szCs w:val="32"/>
          <w:highlight w:val="none"/>
        </w:rPr>
        <w:t>%。本年支出（费用）合计</w:t>
      </w:r>
      <w:r>
        <w:rPr>
          <w:color w:val="0C0C0C"/>
          <w:sz w:val="32"/>
          <w:szCs w:val="32"/>
          <w:highlight w:val="none"/>
        </w:rPr>
        <w:t>4027万</w:t>
      </w:r>
      <w:r>
        <w:rPr>
          <w:color w:val="0C0C0C"/>
          <w:spacing w:val="-6"/>
          <w:sz w:val="32"/>
          <w:szCs w:val="32"/>
          <w:highlight w:val="none"/>
        </w:rPr>
        <w:t>元，比2018年下降</w:t>
      </w:r>
      <w:r>
        <w:rPr>
          <w:color w:val="0C0C0C"/>
          <w:sz w:val="32"/>
          <w:szCs w:val="32"/>
          <w:highlight w:val="none"/>
        </w:rPr>
        <w:t>29.5</w:t>
      </w:r>
      <w:r>
        <w:rPr>
          <w:color w:val="0C0C0C"/>
          <w:spacing w:val="-6"/>
          <w:sz w:val="32"/>
          <w:szCs w:val="32"/>
          <w:highlight w:val="none"/>
        </w:rPr>
        <w:t>%。</w:t>
      </w:r>
    </w:p>
    <w:p w14:paraId="7348AB05">
      <w:pPr>
        <w:widowControl/>
        <w:spacing w:line="570" w:lineRule="exact"/>
        <w:ind w:firstLine="640" w:firstLineChars="200"/>
        <w:jc w:val="left"/>
        <w:textAlignment w:val="auto"/>
        <w:rPr>
          <w:rFonts w:eastAsia="黑体"/>
          <w:bCs/>
          <w:color w:val="0C0C0C"/>
          <w:sz w:val="32"/>
          <w:szCs w:val="32"/>
        </w:rPr>
      </w:pPr>
      <w:r>
        <w:rPr>
          <w:rFonts w:hint="eastAsia" w:ascii="方正黑体_GBK" w:hAnsi="方正黑体_GBK" w:eastAsia="方正黑体_GBK" w:cs="方正黑体_GBK"/>
          <w:bCs/>
          <w:color w:val="0C0C0C"/>
          <w:kern w:val="0"/>
          <w:sz w:val="32"/>
          <w:szCs w:val="32"/>
        </w:rPr>
        <w:t>七、公共管理、社会保障和社会组织</w:t>
      </w:r>
    </w:p>
    <w:p w14:paraId="45D5D2CE">
      <w:pPr>
        <w:pStyle w:val="2"/>
        <w:spacing w:line="570" w:lineRule="exact"/>
        <w:ind w:firstLine="616"/>
        <w:rPr>
          <w:color w:val="0C0C0C"/>
          <w:spacing w:val="-6"/>
          <w:sz w:val="32"/>
          <w:szCs w:val="32"/>
        </w:rPr>
      </w:pPr>
      <w:r>
        <w:rPr>
          <w:color w:val="0C0C0C"/>
          <w:spacing w:val="-6"/>
          <w:sz w:val="32"/>
          <w:szCs w:val="32"/>
        </w:rPr>
        <w:t>2023年末，全县共有公共管理、社会保障和社会组织法人单位</w:t>
      </w:r>
      <w:r>
        <w:rPr>
          <w:color w:val="0C0C0C"/>
          <w:sz w:val="32"/>
          <w:szCs w:val="32"/>
        </w:rPr>
        <w:t>856</w:t>
      </w:r>
      <w:r>
        <w:rPr>
          <w:color w:val="0C0C0C"/>
          <w:spacing w:val="-6"/>
          <w:sz w:val="32"/>
          <w:szCs w:val="32"/>
        </w:rPr>
        <w:t>个，比2018年末增长</w:t>
      </w:r>
      <w:r>
        <w:rPr>
          <w:color w:val="0C0C0C"/>
          <w:sz w:val="32"/>
          <w:szCs w:val="32"/>
        </w:rPr>
        <w:t>4.3</w:t>
      </w:r>
      <w:r>
        <w:rPr>
          <w:color w:val="0C0C0C"/>
          <w:spacing w:val="-6"/>
          <w:sz w:val="32"/>
          <w:szCs w:val="32"/>
        </w:rPr>
        <w:t>%；从业人员</w:t>
      </w:r>
      <w:r>
        <w:rPr>
          <w:color w:val="0C0C0C"/>
          <w:sz w:val="32"/>
          <w:szCs w:val="32"/>
        </w:rPr>
        <w:t>10306</w:t>
      </w:r>
      <w:r>
        <w:rPr>
          <w:color w:val="0C0C0C"/>
          <w:spacing w:val="-6"/>
          <w:sz w:val="32"/>
          <w:szCs w:val="32"/>
        </w:rPr>
        <w:t>人，增长</w:t>
      </w:r>
      <w:r>
        <w:rPr>
          <w:color w:val="0C0C0C"/>
          <w:sz w:val="32"/>
          <w:szCs w:val="32"/>
        </w:rPr>
        <w:t>6.3</w:t>
      </w:r>
      <w:r>
        <w:rPr>
          <w:color w:val="0C0C0C"/>
          <w:spacing w:val="-6"/>
          <w:sz w:val="32"/>
          <w:szCs w:val="32"/>
        </w:rPr>
        <w:t>%。行政事业及非企业法人单位本年支出（费用）合计</w:t>
      </w:r>
      <w:r>
        <w:rPr>
          <w:color w:val="0C0C0C"/>
          <w:sz w:val="32"/>
          <w:szCs w:val="32"/>
        </w:rPr>
        <w:t>664000万</w:t>
      </w:r>
      <w:r>
        <w:rPr>
          <w:color w:val="0C0C0C"/>
          <w:spacing w:val="-6"/>
          <w:sz w:val="32"/>
          <w:szCs w:val="32"/>
        </w:rPr>
        <w:t>元，比2018年增长</w:t>
      </w:r>
      <w:r>
        <w:rPr>
          <w:color w:val="0C0C0C"/>
          <w:sz w:val="32"/>
          <w:szCs w:val="32"/>
        </w:rPr>
        <w:t>27.2</w:t>
      </w:r>
      <w:r>
        <w:rPr>
          <w:color w:val="0C0C0C"/>
          <w:spacing w:val="-6"/>
          <w:sz w:val="32"/>
          <w:szCs w:val="32"/>
        </w:rPr>
        <w:t>%。</w:t>
      </w:r>
    </w:p>
    <w:p w14:paraId="37050992">
      <w:pPr>
        <w:spacing w:line="570" w:lineRule="exact"/>
        <w:ind w:firstLine="600"/>
      </w:pPr>
    </w:p>
    <w:p w14:paraId="574CEC9F">
      <w:pPr>
        <w:widowControl/>
        <w:spacing w:line="570" w:lineRule="exact"/>
        <w:ind w:firstLine="560"/>
        <w:jc w:val="left"/>
        <w:textAlignment w:val="auto"/>
        <w:rPr>
          <w:rFonts w:eastAsia="黑体"/>
          <w:bCs/>
          <w:color w:val="0C0C0C"/>
          <w:kern w:val="0"/>
          <w:sz w:val="28"/>
          <w:szCs w:val="28"/>
        </w:rPr>
      </w:pPr>
    </w:p>
    <w:p w14:paraId="3D1E6DA6">
      <w:pPr>
        <w:widowControl/>
        <w:spacing w:line="570" w:lineRule="exact"/>
        <w:ind w:firstLine="560"/>
        <w:jc w:val="left"/>
        <w:textAlignment w:val="auto"/>
        <w:rPr>
          <w:rFonts w:hint="eastAsia" w:ascii="方正黑体_GBK" w:hAnsi="方正黑体_GBK" w:eastAsia="方正黑体_GBK" w:cs="方正黑体_GBK"/>
          <w:color w:val="0C0C0C"/>
          <w:sz w:val="28"/>
          <w:szCs w:val="28"/>
        </w:rPr>
      </w:pPr>
      <w:r>
        <w:rPr>
          <w:rFonts w:hint="eastAsia" w:ascii="方正黑体_GBK" w:hAnsi="方正黑体_GBK" w:eastAsia="方正黑体_GBK" w:cs="方正黑体_GBK"/>
          <w:bCs/>
          <w:color w:val="0C0C0C"/>
          <w:kern w:val="0"/>
          <w:sz w:val="28"/>
          <w:szCs w:val="28"/>
        </w:rPr>
        <w:t>注释：</w:t>
      </w:r>
    </w:p>
    <w:p w14:paraId="536143A2">
      <w:pPr>
        <w:widowControl/>
        <w:spacing w:line="570" w:lineRule="exact"/>
        <w:ind w:firstLine="56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556C7EE2">
      <w:pPr>
        <w:widowControl/>
        <w:spacing w:line="570" w:lineRule="exact"/>
        <w:ind w:firstLine="56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3E4C868F">
      <w:pPr>
        <w:widowControl/>
        <w:spacing w:line="570" w:lineRule="exact"/>
        <w:ind w:firstLine="56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[3]表中的合计数和部分计算数据因小数取舍而产生的误差，均未作机械调整。</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647E">
    <w:pPr>
      <w:pStyle w:val="4"/>
      <w:ind w:firstLine="0" w:firstLineChars="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p w14:paraId="683B026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D931">
    <w:pPr>
      <w:pStyle w:val="4"/>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p w14:paraId="0C32F6FC">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27EE">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67996FDB">
      <w:pPr>
        <w:pStyle w:val="6"/>
        <w:keepNext w:val="0"/>
        <w:keepLines w:val="0"/>
        <w:pageBreakBefore w:val="0"/>
        <w:widowControl w:val="0"/>
        <w:kinsoku/>
        <w:wordWrap/>
        <w:overflowPunct/>
        <w:topLinePunct w:val="0"/>
        <w:bidi w:val="0"/>
        <w:adjustRightInd/>
        <w:snapToGrid w:val="0"/>
        <w:spacing w:line="200" w:lineRule="exact"/>
        <w:ind w:firstLine="0" w:firstLineChars="0"/>
        <w:jc w:val="both"/>
        <w:textAlignment w:val="auto"/>
        <w:rPr>
          <w:rStyle w:val="10"/>
          <w:rFonts w:hint="default" w:ascii="Times New Roman" w:hAnsi="Times New Roman" w:eastAsia="方正仿宋_GBK" w:cs="Times New Roman"/>
          <w:szCs w:val="18"/>
        </w:rPr>
      </w:pPr>
      <w:r>
        <w:rPr>
          <w:rStyle w:val="10"/>
          <w:rFonts w:hint="default" w:ascii="Times New Roman" w:hAnsi="Times New Roman" w:eastAsia="方正仿宋_GBK" w:cs="Times New Roman"/>
        </w:rPr>
        <w:footnoteRef/>
      </w:r>
      <w:r>
        <w:rPr>
          <w:rStyle w:val="10"/>
          <w:rFonts w:hint="default" w:ascii="Times New Roman" w:hAnsi="Times New Roman" w:eastAsia="方正仿宋_GBK" w:cs="Times New Roman"/>
        </w:rPr>
        <w:t xml:space="preserve"> </w:t>
      </w:r>
      <w:r>
        <w:rPr>
          <w:rStyle w:val="10"/>
          <w:rFonts w:hint="default" w:ascii="Times New Roman" w:hAnsi="Times New Roman" w:eastAsia="方正仿宋_GBK" w:cs="Times New Roman"/>
          <w:szCs w:val="18"/>
          <w:vertAlign w:val="baseline"/>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CEAC">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08ED">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EB63">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0"/>
  <w:drawingGridVerticalSpacing w:val="204"/>
  <w:displayHorizontalDrawingGridEvery w:val="2"/>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91D55E2"/>
    <w:rsid w:val="00166398"/>
    <w:rsid w:val="00215F1D"/>
    <w:rsid w:val="00281188"/>
    <w:rsid w:val="00443541"/>
    <w:rsid w:val="00655F8B"/>
    <w:rsid w:val="006A0012"/>
    <w:rsid w:val="008652AD"/>
    <w:rsid w:val="009556CE"/>
    <w:rsid w:val="00972B40"/>
    <w:rsid w:val="00991D78"/>
    <w:rsid w:val="00AA1C7F"/>
    <w:rsid w:val="00C56076"/>
    <w:rsid w:val="00D10A20"/>
    <w:rsid w:val="00ED4314"/>
    <w:rsid w:val="00F43998"/>
    <w:rsid w:val="00FA2A58"/>
    <w:rsid w:val="045126D0"/>
    <w:rsid w:val="04561A95"/>
    <w:rsid w:val="09684744"/>
    <w:rsid w:val="0B846522"/>
    <w:rsid w:val="0C6736F5"/>
    <w:rsid w:val="0C8278CB"/>
    <w:rsid w:val="0DDA7292"/>
    <w:rsid w:val="0E990EFC"/>
    <w:rsid w:val="10AF4A06"/>
    <w:rsid w:val="11643A43"/>
    <w:rsid w:val="13BA3DEE"/>
    <w:rsid w:val="174B714B"/>
    <w:rsid w:val="194F6D87"/>
    <w:rsid w:val="1ABF7F3C"/>
    <w:rsid w:val="1CD80D2E"/>
    <w:rsid w:val="1CFC273E"/>
    <w:rsid w:val="1D8F0099"/>
    <w:rsid w:val="208337BA"/>
    <w:rsid w:val="22B92079"/>
    <w:rsid w:val="23D33478"/>
    <w:rsid w:val="259326F1"/>
    <w:rsid w:val="285F4527"/>
    <w:rsid w:val="29BF5862"/>
    <w:rsid w:val="2AAA6513"/>
    <w:rsid w:val="2B757E1E"/>
    <w:rsid w:val="2C542D5C"/>
    <w:rsid w:val="2E660D54"/>
    <w:rsid w:val="2F212B1B"/>
    <w:rsid w:val="31E3055C"/>
    <w:rsid w:val="32E26A66"/>
    <w:rsid w:val="33784CD4"/>
    <w:rsid w:val="33E27BEC"/>
    <w:rsid w:val="36FF1724"/>
    <w:rsid w:val="395F671A"/>
    <w:rsid w:val="3AB64A60"/>
    <w:rsid w:val="3B396E16"/>
    <w:rsid w:val="3CEA4BE6"/>
    <w:rsid w:val="41792343"/>
    <w:rsid w:val="42A17571"/>
    <w:rsid w:val="434F5A51"/>
    <w:rsid w:val="43AC2EA4"/>
    <w:rsid w:val="441A605F"/>
    <w:rsid w:val="45603F46"/>
    <w:rsid w:val="46935C55"/>
    <w:rsid w:val="475B4B4C"/>
    <w:rsid w:val="4948541D"/>
    <w:rsid w:val="494E2307"/>
    <w:rsid w:val="4A2E2E00"/>
    <w:rsid w:val="4C5E0AB3"/>
    <w:rsid w:val="501A73E7"/>
    <w:rsid w:val="501D697C"/>
    <w:rsid w:val="50FE6543"/>
    <w:rsid w:val="53E53868"/>
    <w:rsid w:val="591D55E2"/>
    <w:rsid w:val="5C494539"/>
    <w:rsid w:val="5C5C6CBD"/>
    <w:rsid w:val="5DAB5B22"/>
    <w:rsid w:val="5F0E6369"/>
    <w:rsid w:val="5F4955F3"/>
    <w:rsid w:val="64F16511"/>
    <w:rsid w:val="65C854C3"/>
    <w:rsid w:val="66BC2B4E"/>
    <w:rsid w:val="66D92589"/>
    <w:rsid w:val="67002405"/>
    <w:rsid w:val="67542D87"/>
    <w:rsid w:val="675E6100"/>
    <w:rsid w:val="6A4315BC"/>
    <w:rsid w:val="6AAC63E5"/>
    <w:rsid w:val="6AD40467"/>
    <w:rsid w:val="6BE7241B"/>
    <w:rsid w:val="6C0C6BC4"/>
    <w:rsid w:val="6CCD7863"/>
    <w:rsid w:val="6CE32BE3"/>
    <w:rsid w:val="6ED22C26"/>
    <w:rsid w:val="73466D90"/>
    <w:rsid w:val="73893DB8"/>
    <w:rsid w:val="73D239B1"/>
    <w:rsid w:val="752D2A24"/>
    <w:rsid w:val="776D4F61"/>
    <w:rsid w:val="788F1E71"/>
    <w:rsid w:val="797A48CF"/>
    <w:rsid w:val="79CD0EA3"/>
    <w:rsid w:val="7A111733"/>
    <w:rsid w:val="7C921F30"/>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Cs w:val="20"/>
    </w:rPr>
  </w:style>
  <w:style w:type="paragraph" w:styleId="4">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footnote text"/>
    <w:basedOn w:val="1"/>
    <w:unhideWhenUsed/>
    <w:qFormat/>
    <w:uiPriority w:val="99"/>
    <w:pPr>
      <w:snapToGrid w:val="0"/>
      <w:jc w:val="left"/>
    </w:pPr>
    <w:rPr>
      <w:sz w:val="18"/>
    </w:rPr>
  </w:style>
  <w:style w:type="paragraph" w:styleId="7">
    <w:name w:val="Body Text First Indent 2"/>
    <w:basedOn w:val="3"/>
    <w:next w:val="1"/>
    <w:qFormat/>
    <w:uiPriority w:val="0"/>
    <w:pPr>
      <w:ind w:firstLine="420"/>
    </w:pPr>
  </w:style>
  <w:style w:type="character" w:styleId="10">
    <w:name w:val="footnote reference"/>
    <w:basedOn w:val="9"/>
    <w:unhideWhenUsed/>
    <w:qFormat/>
    <w:uiPriority w:val="99"/>
    <w:rPr>
      <w:vertAlign w:val="superscript"/>
    </w:rPr>
  </w:style>
  <w:style w:type="character" w:customStyle="1" w:styleId="11">
    <w:name w:val="页眉 字符"/>
    <w:basedOn w:val="9"/>
    <w:link w:val="5"/>
    <w:qFormat/>
    <w:uiPriority w:val="0"/>
    <w:rPr>
      <w:rFonts w:eastAsia="方正仿宋_GBK"/>
      <w:kern w:val="2"/>
      <w:sz w:val="18"/>
      <w:szCs w:val="18"/>
    </w:rPr>
  </w:style>
  <w:style w:type="character" w:customStyle="1" w:styleId="12">
    <w:name w:val="页脚 字符"/>
    <w:basedOn w:val="9"/>
    <w:link w:val="4"/>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2452</Words>
  <Characters>3173</Characters>
  <Lines>24</Lines>
  <Paragraphs>6</Paragraphs>
  <TotalTime>19</TotalTime>
  <ScaleCrop>false</ScaleCrop>
  <LinksUpToDate>false</LinksUpToDate>
  <CharactersWithSpaces>3278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2025-03-25T08:05:00Z</dcterms:created>
  <dc:creator>WPS_1625039669</dc:creator>
  <cp:lastModifiedBy>琴</cp:lastModifiedBy>
  <cp:lastPrinted>2025-03-31T08:11:00Z</cp:lastPrinted>
  <dcterms:modified xsi:type="dcterms:W3CDTF">2025-06-04T08:07:29Z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35A05DD361E14A0C8400BD1EF840975F_11</vt:lpwstr>
  </property>
  <property fmtid="{D5CDD505-2E9C-101B-9397-08002B2CF9AE}" pid="4" name="KSOTemplateDocerSaveRecord">
    <vt:lpwstr>eyJoZGlkIjoiN2ViNGI1N2VhNzE4MzUyZjc1OWIzZjVhNDBlNzFhMWIiLCJ1c2VySWQiOiIxMDc5NDUwNzM4In0=</vt:lpwstr>
  </property>
</Properties>
</file>