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autoSpaceDN/>
        <w:bidi w:val="0"/>
        <w:adjustRightInd/>
        <w:spacing w:before="0" w:beforeAutospacing="0" w:after="0" w:afterAutospacing="0" w:line="580" w:lineRule="exact"/>
        <w:ind w:left="0"/>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丰都县军队离休退休干部服务管理中心</w:t>
      </w:r>
    </w:p>
    <w:p>
      <w:pPr>
        <w:pStyle w:val="6"/>
        <w:keepNext w:val="0"/>
        <w:keepLines w:val="0"/>
        <w:pageBreakBefore w:val="0"/>
        <w:kinsoku/>
        <w:wordWrap/>
        <w:overflowPunct/>
        <w:topLinePunct w:val="0"/>
        <w:autoSpaceDN/>
        <w:bidi w:val="0"/>
        <w:adjustRightInd/>
        <w:spacing w:before="0" w:beforeAutospacing="0" w:after="0" w:afterAutospacing="0" w:line="580" w:lineRule="exact"/>
        <w:ind w:left="0"/>
        <w:jc w:val="center"/>
        <w:textAlignment w:val="auto"/>
        <w:rPr>
          <w:rFonts w:hint="default" w:ascii="Times New Roman" w:hAnsi="Times New Roman" w:eastAsia="方正小标宋_GBK" w:cs="Times New Roman"/>
          <w:b w:val="0"/>
          <w:bCs w:val="0"/>
          <w:sz w:val="44"/>
          <w:szCs w:val="44"/>
          <w:shd w:val="clear" w:color="auto" w:fill="FFFFFF"/>
        </w:rPr>
      </w:pPr>
      <w:r>
        <w:rPr>
          <w:rFonts w:hint="default" w:ascii="Times New Roman" w:hAnsi="Times New Roman" w:eastAsia="方正小标宋_GBK" w:cs="Times New Roman"/>
          <w:b w:val="0"/>
          <w:bCs w:val="0"/>
          <w:sz w:val="44"/>
          <w:szCs w:val="44"/>
          <w:shd w:val="clear" w:color="auto" w:fill="FFFFFF"/>
        </w:rPr>
        <w:t>2023年度决算公开说明</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80" w:lineRule="exact"/>
        <w:ind w:left="0" w:firstLine="640" w:firstLineChars="200"/>
        <w:textAlignment w:val="auto"/>
        <w:rPr>
          <w:rStyle w:val="10"/>
          <w:rFonts w:hint="default" w:ascii="Times New Roman" w:hAnsi="Times New Roman" w:eastAsia="黑体" w:cs="Times New Roman"/>
          <w:b w:val="0"/>
          <w:bCs w:val="0"/>
          <w:sz w:val="32"/>
          <w:szCs w:val="32"/>
          <w:shd w:val="clear" w:color="auto" w:fill="FFFFFF"/>
        </w:rPr>
      </w:pPr>
    </w:p>
    <w:p>
      <w:pPr>
        <w:pStyle w:val="6"/>
        <w:keepNext w:val="0"/>
        <w:keepLines w:val="0"/>
        <w:pageBreakBefore w:val="0"/>
        <w:shd w:val="clear" w:color="auto" w:fill="FFFFFF"/>
        <w:kinsoku/>
        <w:wordWrap/>
        <w:overflowPunct/>
        <w:topLinePunct w:val="0"/>
        <w:autoSpaceDN/>
        <w:bidi w:val="0"/>
        <w:adjustRightInd/>
        <w:spacing w:beforeAutospacing="0" w:after="0" w:afterAutospacing="0" w:line="580" w:lineRule="exact"/>
        <w:ind w:left="0" w:firstLine="640" w:firstLineChars="200"/>
        <w:textAlignment w:val="auto"/>
        <w:rPr>
          <w:rFonts w:hint="default" w:ascii="Times New Roman" w:hAnsi="Times New Roman" w:eastAsia="黑体" w:cs="Times New Roman"/>
          <w:b w:val="0"/>
          <w:bCs w:val="0"/>
          <w:sz w:val="32"/>
          <w:szCs w:val="32"/>
        </w:rPr>
      </w:pPr>
      <w:r>
        <w:rPr>
          <w:rStyle w:val="10"/>
          <w:rFonts w:hint="default" w:ascii="Times New Roman" w:hAnsi="Times New Roman" w:eastAsia="黑体" w:cs="Times New Roman"/>
          <w:b w:val="0"/>
          <w:bCs w:val="0"/>
          <w:sz w:val="32"/>
          <w:szCs w:val="32"/>
          <w:shd w:val="clear" w:color="auto" w:fill="FFFFFF"/>
        </w:rPr>
        <w:t>一、单位基本情况</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80" w:lineRule="exact"/>
        <w:ind w:left="0" w:firstLine="420"/>
        <w:textAlignment w:val="auto"/>
        <w:rPr>
          <w:rStyle w:val="10"/>
          <w:rFonts w:hint="default" w:ascii="Times New Roman" w:hAnsi="Times New Roman" w:eastAsia="楷体" w:cs="Times New Roman"/>
          <w:b w:val="0"/>
          <w:bCs w:val="0"/>
          <w:sz w:val="32"/>
          <w:szCs w:val="32"/>
          <w:shd w:val="clear" w:color="auto" w:fill="FFFFFF"/>
        </w:rPr>
      </w:pPr>
      <w:r>
        <w:rPr>
          <w:rStyle w:val="10"/>
          <w:rFonts w:hint="default" w:ascii="Times New Roman" w:hAnsi="Times New Roman" w:eastAsia="楷体" w:cs="Times New Roman"/>
          <w:b w:val="0"/>
          <w:bCs w:val="0"/>
          <w:sz w:val="32"/>
          <w:szCs w:val="32"/>
          <w:shd w:val="clear" w:color="auto" w:fill="FFFFFF"/>
        </w:rPr>
        <w:t>（一）职能职责</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8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丰都县军队离休退休干部服务管理中心：负责移交政府安置的军队离退休干部接收管理和服务工作；负责按照国家和军队有关政策规定落实军队离退休干部的政治和生活待遇；负责军队离退休干部思想政治工作和党的建设工作；负责军队离退休干部的经费预决算编报、离退休费的发放；负责军队离退休干部管理服务中心国有资产的管理和维护等。</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80" w:lineRule="exact"/>
        <w:ind w:left="0" w:firstLine="420"/>
        <w:textAlignment w:val="auto"/>
        <w:rPr>
          <w:rFonts w:hint="default" w:ascii="Times New Roman" w:hAnsi="Times New Roman" w:eastAsia="楷体" w:cs="Times New Roman"/>
          <w:b w:val="0"/>
          <w:bCs w:val="0"/>
          <w:sz w:val="32"/>
          <w:szCs w:val="32"/>
        </w:rPr>
      </w:pPr>
      <w:r>
        <w:rPr>
          <w:rStyle w:val="10"/>
          <w:rFonts w:hint="default" w:ascii="Times New Roman" w:hAnsi="Times New Roman" w:eastAsia="楷体" w:cs="Times New Roman"/>
          <w:b w:val="0"/>
          <w:bCs w:val="0"/>
          <w:sz w:val="32"/>
          <w:szCs w:val="32"/>
          <w:shd w:val="clear" w:color="auto" w:fill="FFFFFF"/>
        </w:rPr>
        <w:t>（二）机构设置</w:t>
      </w:r>
    </w:p>
    <w:p>
      <w:pPr>
        <w:pStyle w:val="16"/>
        <w:keepNext w:val="0"/>
        <w:keepLines w:val="0"/>
        <w:pageBreakBefore w:val="0"/>
        <w:tabs>
          <w:tab w:val="center" w:pos="4153"/>
          <w:tab w:val="left" w:pos="7275"/>
        </w:tabs>
        <w:kinsoku/>
        <w:wordWrap/>
        <w:overflowPunct/>
        <w:topLinePunct w:val="0"/>
        <w:autoSpaceDN/>
        <w:bidi w:val="0"/>
        <w:adjustRightInd/>
        <w:spacing w:beforeAutospacing="0" w:afterAutospacing="0" w:line="580" w:lineRule="exact"/>
        <w:ind w:left="0"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丰都县军队离休退休干部服务管理中心</w:t>
      </w:r>
      <w:r>
        <w:rPr>
          <w:rFonts w:hint="default" w:ascii="Times New Roman" w:hAnsi="Times New Roman" w:eastAsia="方正仿宋_GBK" w:cs="Times New Roman"/>
          <w:b w:val="0"/>
          <w:bCs w:val="0"/>
          <w:sz w:val="32"/>
          <w:szCs w:val="32"/>
        </w:rPr>
        <w:t>是参公事业单</w:t>
      </w:r>
      <w:r>
        <w:rPr>
          <w:rFonts w:hint="default" w:ascii="Times New Roman" w:hAnsi="Times New Roman" w:eastAsia="方正仿宋_GBK" w:cs="Times New Roman"/>
          <w:b w:val="0"/>
          <w:bCs w:val="0"/>
          <w:sz w:val="32"/>
          <w:szCs w:val="32"/>
        </w:rPr>
        <w:t>位</w:t>
      </w:r>
      <w:r>
        <w:rPr>
          <w:rFonts w:hint="default" w:ascii="Times New Roman" w:hAnsi="Times New Roman" w:eastAsia="仿宋_GB2312" w:cs="Times New Roman"/>
          <w:b w:val="0"/>
          <w:bCs w:val="0"/>
          <w:sz w:val="32"/>
        </w:rPr>
        <w:t>。</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80" w:lineRule="exact"/>
        <w:ind w:left="0" w:firstLine="640" w:firstLineChars="200"/>
        <w:textAlignment w:val="auto"/>
        <w:rPr>
          <w:rStyle w:val="10"/>
          <w:rFonts w:hint="default" w:ascii="Times New Roman" w:hAnsi="Times New Roman" w:eastAsia="黑体" w:cs="Times New Roman"/>
          <w:b w:val="0"/>
          <w:bCs w:val="0"/>
          <w:sz w:val="32"/>
          <w:szCs w:val="32"/>
          <w:shd w:val="clear" w:color="auto" w:fill="FFFFFF"/>
        </w:rPr>
      </w:pPr>
      <w:r>
        <w:rPr>
          <w:rStyle w:val="10"/>
          <w:rFonts w:hint="default" w:ascii="Times New Roman" w:hAnsi="Times New Roman" w:eastAsia="黑体" w:cs="Times New Roman"/>
          <w:b w:val="0"/>
          <w:bCs w:val="0"/>
          <w:sz w:val="32"/>
          <w:szCs w:val="32"/>
          <w:shd w:val="clear" w:color="auto" w:fill="FFFFFF"/>
        </w:rPr>
        <w:t>二、单位决算情况说明</w:t>
      </w:r>
    </w:p>
    <w:p>
      <w:pPr>
        <w:pStyle w:val="11"/>
        <w:keepNext w:val="0"/>
        <w:keepLines w:val="0"/>
        <w:pageBreakBefore w:val="0"/>
        <w:kinsoku/>
        <w:wordWrap/>
        <w:overflowPunct/>
        <w:topLinePunct w:val="0"/>
        <w:autoSpaceDE w:val="0"/>
        <w:autoSpaceDN/>
        <w:bidi w:val="0"/>
        <w:adjustRightInd/>
        <w:spacing w:beforeAutospacing="0" w:afterAutospacing="0" w:line="580" w:lineRule="exact"/>
        <w:ind w:left="0" w:firstLine="416" w:firstLineChars="130"/>
        <w:textAlignment w:val="auto"/>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（一）收入支出决算总体情况说明</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80" w:lineRule="exact"/>
        <w:ind w:left="0" w:firstLine="640" w:firstLineChars="200"/>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1.总体情况。</w:t>
      </w:r>
      <w:r>
        <w:rPr>
          <w:rFonts w:hint="default" w:ascii="Times New Roman" w:hAnsi="Times New Roman" w:eastAsia="方正仿宋_GBK" w:cs="Times New Roman"/>
          <w:b w:val="0"/>
          <w:bCs w:val="0"/>
          <w:sz w:val="32"/>
          <w:szCs w:val="32"/>
          <w:shd w:val="clear" w:color="auto" w:fill="FFFFFF"/>
        </w:rPr>
        <w:t>2023年度收入总计70.84万元，支出总计</w:t>
      </w:r>
      <w:r>
        <w:rPr>
          <w:rFonts w:hint="default" w:ascii="Times New Roman" w:hAnsi="Times New Roman" w:eastAsia="方正仿宋_GBK" w:cs="Times New Roman"/>
          <w:b w:val="0"/>
          <w:bCs w:val="0"/>
          <w:sz w:val="32"/>
          <w:szCs w:val="32"/>
        </w:rPr>
        <w:t>70.84</w:t>
      </w:r>
      <w:r>
        <w:rPr>
          <w:rFonts w:hint="default" w:ascii="Times New Roman" w:hAnsi="Times New Roman" w:eastAsia="方正仿宋_GBK" w:cs="Times New Roman"/>
          <w:b w:val="0"/>
          <w:bCs w:val="0"/>
          <w:sz w:val="32"/>
          <w:szCs w:val="32"/>
          <w:shd w:val="clear" w:color="auto" w:fill="FFFFFF"/>
        </w:rPr>
        <w:t>万元。收支较上年决算数增加70.84万元，增长100.00%，主要原因是</w:t>
      </w:r>
      <w:r>
        <w:rPr>
          <w:rFonts w:hint="default" w:ascii="Times New Roman" w:hAnsi="Times New Roman" w:eastAsia="方正仿宋_GBK" w:cs="Times New Roman"/>
          <w:b w:val="0"/>
          <w:bCs w:val="0"/>
          <w:sz w:val="32"/>
          <w:szCs w:val="32"/>
        </w:rPr>
        <w:t>丰都县军队离休退休干部服务管理中心是退役军人事务局下属单位，原是合并核算，</w:t>
      </w:r>
      <w:r>
        <w:rPr>
          <w:rFonts w:hint="default" w:ascii="Times New Roman" w:hAnsi="Times New Roman" w:eastAsia="方正仿宋_GBK" w:cs="Times New Roman"/>
          <w:b w:val="0"/>
          <w:bCs w:val="0"/>
          <w:sz w:val="32"/>
          <w:szCs w:val="32"/>
          <w:shd w:val="clear" w:color="auto" w:fill="FFFFFF"/>
        </w:rPr>
        <w:t>2023年根据财政局要求现独立核算。</w:t>
      </w:r>
    </w:p>
    <w:p>
      <w:pPr>
        <w:pStyle w:val="6"/>
        <w:keepNext w:val="0"/>
        <w:keepLines w:val="0"/>
        <w:pageBreakBefore w:val="0"/>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2.收入情况。</w:t>
      </w:r>
      <w:r>
        <w:rPr>
          <w:rFonts w:hint="default" w:ascii="Times New Roman" w:hAnsi="Times New Roman" w:eastAsia="方正仿宋_GBK" w:cs="Times New Roman"/>
          <w:b w:val="0"/>
          <w:bCs w:val="0"/>
          <w:sz w:val="32"/>
          <w:szCs w:val="32"/>
          <w:shd w:val="clear" w:color="auto" w:fill="FFFFFF"/>
        </w:rPr>
        <w:t>2023年度收入合计70.84万元，较上年决算数增加70.84万元，增长100.00%，主要原因是</w:t>
      </w:r>
      <w:r>
        <w:rPr>
          <w:rFonts w:hint="default" w:ascii="Times New Roman" w:hAnsi="Times New Roman" w:eastAsia="方正仿宋_GBK" w:cs="Times New Roman"/>
          <w:b w:val="0"/>
          <w:bCs w:val="0"/>
          <w:sz w:val="32"/>
          <w:szCs w:val="32"/>
        </w:rPr>
        <w:t>丰都县军队离休退休干部服务管理中心是退役军人事务局下属单位，原是合并核算，</w:t>
      </w:r>
      <w:r>
        <w:rPr>
          <w:rFonts w:hint="default" w:ascii="Times New Roman" w:hAnsi="Times New Roman" w:eastAsia="方正仿宋_GBK" w:cs="Times New Roman"/>
          <w:b w:val="0"/>
          <w:bCs w:val="0"/>
          <w:sz w:val="32"/>
          <w:szCs w:val="32"/>
          <w:shd w:val="clear" w:color="auto" w:fill="FFFFFF"/>
        </w:rPr>
        <w:t>2023年根据财政局要求现独立核算。其中：财政拨款收入</w:t>
      </w:r>
      <w:r>
        <w:rPr>
          <w:rFonts w:hint="default" w:ascii="Times New Roman" w:hAnsi="Times New Roman" w:eastAsia="方正仿宋_GBK" w:cs="Times New Roman"/>
          <w:b w:val="0"/>
          <w:bCs w:val="0"/>
          <w:sz w:val="32"/>
          <w:szCs w:val="32"/>
        </w:rPr>
        <w:t>70.84</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100.00</w:t>
      </w:r>
      <w:r>
        <w:rPr>
          <w:rFonts w:hint="default" w:ascii="Times New Roman" w:hAnsi="Times New Roman" w:eastAsia="方正仿宋_GBK" w:cs="Times New Roman"/>
          <w:b w:val="0"/>
          <w:bCs w:val="0"/>
          <w:sz w:val="32"/>
          <w:szCs w:val="32"/>
          <w:shd w:val="clear" w:color="auto" w:fill="FFFFFF"/>
        </w:rPr>
        <w:t>%；事业收入</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万元，占0.00%；经营收入</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万元，占0.00%；其他收入</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万元，占0.00%。此外，使用非财政拨款结余和专用结余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万元，年初结转和结余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w:t>
      </w:r>
    </w:p>
    <w:p>
      <w:pPr>
        <w:pStyle w:val="6"/>
        <w:keepNext w:val="0"/>
        <w:keepLines w:val="0"/>
        <w:pageBreakBefore w:val="0"/>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3.支出情况。</w:t>
      </w:r>
      <w:r>
        <w:rPr>
          <w:rFonts w:hint="default" w:ascii="Times New Roman" w:hAnsi="Times New Roman" w:eastAsia="方正仿宋_GBK" w:cs="Times New Roman"/>
          <w:b w:val="0"/>
          <w:bCs w:val="0"/>
          <w:sz w:val="32"/>
          <w:szCs w:val="32"/>
          <w:shd w:val="clear" w:color="auto" w:fill="FFFFFF"/>
        </w:rPr>
        <w:t>2023年度支出合计</w:t>
      </w:r>
      <w:r>
        <w:rPr>
          <w:rFonts w:hint="default" w:ascii="Times New Roman" w:hAnsi="Times New Roman" w:eastAsia="方正仿宋_GBK" w:cs="Times New Roman"/>
          <w:b w:val="0"/>
          <w:bCs w:val="0"/>
          <w:sz w:val="32"/>
          <w:szCs w:val="32"/>
        </w:rPr>
        <w:t>70.84</w:t>
      </w:r>
      <w:r>
        <w:rPr>
          <w:rFonts w:hint="default" w:ascii="Times New Roman" w:hAnsi="Times New Roman" w:eastAsia="方正仿宋_GBK" w:cs="Times New Roman"/>
          <w:b w:val="0"/>
          <w:bCs w:val="0"/>
          <w:sz w:val="32"/>
          <w:szCs w:val="32"/>
          <w:shd w:val="clear" w:color="auto" w:fill="FFFFFF"/>
        </w:rPr>
        <w:t>万元，较上年决算数增加70.84万元，增长100.00%，主要原因是</w:t>
      </w:r>
      <w:r>
        <w:rPr>
          <w:rFonts w:hint="default" w:ascii="Times New Roman" w:hAnsi="Times New Roman" w:eastAsia="方正仿宋_GBK" w:cs="Times New Roman"/>
          <w:b w:val="0"/>
          <w:bCs w:val="0"/>
          <w:sz w:val="32"/>
          <w:szCs w:val="32"/>
        </w:rPr>
        <w:t>丰都县军队离休退休干部服务管理中心是退役军人事务局下属单位，原是合并核算，</w:t>
      </w:r>
      <w:r>
        <w:rPr>
          <w:rFonts w:hint="default" w:ascii="Times New Roman" w:hAnsi="Times New Roman" w:eastAsia="方正仿宋_GBK" w:cs="Times New Roman"/>
          <w:b w:val="0"/>
          <w:bCs w:val="0"/>
          <w:sz w:val="32"/>
          <w:szCs w:val="32"/>
          <w:shd w:val="clear" w:color="auto" w:fill="FFFFFF"/>
        </w:rPr>
        <w:t>2023年根据财政局要求现独立核算。其中：基本支出</w:t>
      </w:r>
      <w:r>
        <w:rPr>
          <w:rFonts w:hint="default" w:ascii="Times New Roman" w:hAnsi="Times New Roman" w:eastAsia="方正仿宋_GBK" w:cs="Times New Roman"/>
          <w:b w:val="0"/>
          <w:bCs w:val="0"/>
          <w:sz w:val="32"/>
          <w:szCs w:val="32"/>
        </w:rPr>
        <w:t>70.84</w:t>
      </w:r>
      <w:r>
        <w:rPr>
          <w:rFonts w:hint="default" w:ascii="Times New Roman" w:hAnsi="Times New Roman" w:eastAsia="方正仿宋_GBK" w:cs="Times New Roman"/>
          <w:b w:val="0"/>
          <w:bCs w:val="0"/>
          <w:sz w:val="32"/>
          <w:szCs w:val="32"/>
          <w:shd w:val="clear" w:color="auto" w:fill="FFFFFF"/>
        </w:rPr>
        <w:t>万元，占100.00%；项目支出</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万元，占0.00%；经营支出</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万元，占0.00%。此外，结余分配</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w:t>
      </w:r>
    </w:p>
    <w:p>
      <w:pPr>
        <w:pStyle w:val="6"/>
        <w:keepNext w:val="0"/>
        <w:keepLines w:val="0"/>
        <w:pageBreakBefore w:val="0"/>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4.结转结余情况。</w:t>
      </w:r>
      <w:r>
        <w:rPr>
          <w:rFonts w:hint="default" w:ascii="Times New Roman" w:hAnsi="Times New Roman" w:eastAsia="方正仿宋_GBK" w:cs="Times New Roman"/>
          <w:b w:val="0"/>
          <w:bCs w:val="0"/>
          <w:sz w:val="32"/>
          <w:szCs w:val="32"/>
          <w:shd w:val="clear" w:color="auto" w:fill="FFFFFF"/>
        </w:rPr>
        <w:t>2023年度年末结转和结余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万元，较上年决算数无增减，主要原因是</w:t>
      </w:r>
      <w:r>
        <w:rPr>
          <w:rFonts w:hint="default" w:ascii="Times New Roman" w:hAnsi="Times New Roman" w:eastAsia="方正仿宋_GBK" w:cs="Times New Roman"/>
          <w:b w:val="0"/>
          <w:bCs w:val="0"/>
          <w:sz w:val="32"/>
          <w:szCs w:val="32"/>
        </w:rPr>
        <w:t>丰都县军队离休退休干部服务管理中心是退役军人事务局下属单位，原是合并核算，</w:t>
      </w:r>
      <w:r>
        <w:rPr>
          <w:rFonts w:hint="default" w:ascii="Times New Roman" w:hAnsi="Times New Roman" w:eastAsia="方正仿宋_GBK" w:cs="Times New Roman"/>
          <w:b w:val="0"/>
          <w:bCs w:val="0"/>
          <w:sz w:val="32"/>
          <w:szCs w:val="32"/>
          <w:shd w:val="clear" w:color="auto" w:fill="FFFFFF"/>
        </w:rPr>
        <w:t>2023年根据财政局要求现独立核算。</w:t>
      </w:r>
    </w:p>
    <w:p>
      <w:pPr>
        <w:pStyle w:val="6"/>
        <w:keepNext w:val="0"/>
        <w:keepLines w:val="0"/>
        <w:pageBreakBefore w:val="0"/>
        <w:kinsoku/>
        <w:wordWrap/>
        <w:overflowPunct/>
        <w:topLinePunct w:val="0"/>
        <w:autoSpaceDN/>
        <w:bidi w:val="0"/>
        <w:adjustRightInd/>
        <w:snapToGrid w:val="0"/>
        <w:spacing w:before="0" w:beforeAutospacing="0" w:after="0" w:afterAutospacing="0" w:line="580" w:lineRule="exact"/>
        <w:ind w:left="0" w:firstLine="320" w:firstLineChars="100"/>
        <w:jc w:val="both"/>
        <w:textAlignment w:val="auto"/>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（二）财政拨款收入支出决算总体情况说明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2023年度财政拨款收、支总计70.84万元。与2022年相比，财政拨款收、支总计各增加70.84万元，增长100.00%。主要原因是</w:t>
      </w:r>
      <w:r>
        <w:rPr>
          <w:rFonts w:hint="default" w:ascii="Times New Roman" w:hAnsi="Times New Roman" w:eastAsia="方正仿宋_GBK" w:cs="Times New Roman"/>
          <w:b w:val="0"/>
          <w:bCs w:val="0"/>
          <w:sz w:val="32"/>
          <w:szCs w:val="32"/>
        </w:rPr>
        <w:t>丰都县军队离休退休干部服务管理中心是退役军人事务局下属单位，原是合并核算，</w:t>
      </w:r>
      <w:r>
        <w:rPr>
          <w:rFonts w:hint="default" w:ascii="Times New Roman" w:hAnsi="Times New Roman" w:eastAsia="方正仿宋_GBK" w:cs="Times New Roman"/>
          <w:b w:val="0"/>
          <w:bCs w:val="0"/>
          <w:sz w:val="32"/>
          <w:szCs w:val="32"/>
          <w:shd w:val="clear" w:color="auto" w:fill="FFFFFF"/>
        </w:rPr>
        <w:t>2023年根据财政局要求现独立核算。</w:t>
      </w:r>
    </w:p>
    <w:p>
      <w:pPr>
        <w:pStyle w:val="11"/>
        <w:keepNext w:val="0"/>
        <w:keepLines w:val="0"/>
        <w:pageBreakBefore w:val="0"/>
        <w:kinsoku/>
        <w:wordWrap/>
        <w:overflowPunct/>
        <w:topLinePunct w:val="0"/>
        <w:autoSpaceDE w:val="0"/>
        <w:autoSpaceDN/>
        <w:bidi w:val="0"/>
        <w:adjustRightInd/>
        <w:spacing w:beforeAutospacing="0" w:afterAutospacing="0" w:line="580" w:lineRule="exact"/>
        <w:ind w:left="0" w:firstLine="643"/>
        <w:textAlignment w:val="auto"/>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（三）一般公共预算财政拨款收入支出决算情况说明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80" w:lineRule="exact"/>
        <w:ind w:left="0" w:firstLine="643"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bCs/>
          <w:sz w:val="32"/>
          <w:szCs w:val="32"/>
          <w:shd w:val="clear" w:color="auto" w:fill="FFFFFF"/>
        </w:rPr>
        <w:t>1.收入情况。</w:t>
      </w:r>
      <w:r>
        <w:rPr>
          <w:rFonts w:hint="default" w:ascii="Times New Roman" w:hAnsi="Times New Roman" w:eastAsia="方正仿宋_GBK" w:cs="Times New Roman"/>
          <w:b w:val="0"/>
          <w:bCs w:val="0"/>
          <w:sz w:val="32"/>
          <w:szCs w:val="32"/>
          <w:shd w:val="clear" w:color="auto" w:fill="FFFFFF"/>
        </w:rPr>
        <w:t>2023年度一般公共预算财政拨款收入</w:t>
      </w:r>
      <w:r>
        <w:rPr>
          <w:rFonts w:hint="default" w:ascii="Times New Roman" w:hAnsi="Times New Roman" w:eastAsia="方正仿宋_GBK" w:cs="Times New Roman"/>
          <w:b w:val="0"/>
          <w:bCs w:val="0"/>
          <w:sz w:val="32"/>
          <w:szCs w:val="32"/>
        </w:rPr>
        <w:t>70.84</w:t>
      </w:r>
      <w:r>
        <w:rPr>
          <w:rFonts w:hint="default" w:ascii="Times New Roman" w:hAnsi="Times New Roman" w:eastAsia="方正仿宋_GBK" w:cs="Times New Roman"/>
          <w:b w:val="0"/>
          <w:bCs w:val="0"/>
          <w:sz w:val="32"/>
          <w:szCs w:val="32"/>
          <w:shd w:val="clear" w:color="auto" w:fill="FFFFFF"/>
        </w:rPr>
        <w:t>万元，较上年决算数增加70.84万元，增长100.00%。主要原因是</w:t>
      </w:r>
      <w:r>
        <w:rPr>
          <w:rFonts w:hint="default" w:ascii="Times New Roman" w:hAnsi="Times New Roman" w:eastAsia="方正仿宋_GBK" w:cs="Times New Roman"/>
          <w:b w:val="0"/>
          <w:bCs w:val="0"/>
          <w:sz w:val="32"/>
          <w:szCs w:val="32"/>
        </w:rPr>
        <w:t>丰都县军队离休退休干部服务管理中心是退役军人事务局下属单位，原是合并核算，</w:t>
      </w:r>
      <w:r>
        <w:rPr>
          <w:rFonts w:hint="default" w:ascii="Times New Roman" w:hAnsi="Times New Roman" w:eastAsia="方正仿宋_GBK" w:cs="Times New Roman"/>
          <w:b w:val="0"/>
          <w:bCs w:val="0"/>
          <w:sz w:val="32"/>
          <w:szCs w:val="32"/>
          <w:shd w:val="clear" w:color="auto" w:fill="FFFFFF"/>
        </w:rPr>
        <w:t>2023年根据财政局要求现独立核算。较年初预算数增加7.56万元，增长11.95%。主要原因是</w:t>
      </w:r>
      <w:r>
        <w:rPr>
          <w:rFonts w:hint="default" w:ascii="Times New Roman" w:hAnsi="Times New Roman" w:eastAsia="方正仿宋_GBK" w:cs="Times New Roman"/>
          <w:b w:val="0"/>
          <w:bCs w:val="0"/>
          <w:sz w:val="32"/>
          <w:szCs w:val="32"/>
        </w:rPr>
        <w:t>丰都县军队离休退休干部服务管理中心是退役军人事务局下属单位，原是合并核算，</w:t>
      </w:r>
      <w:r>
        <w:rPr>
          <w:rFonts w:hint="default" w:ascii="Times New Roman" w:hAnsi="Times New Roman" w:eastAsia="方正仿宋_GBK" w:cs="Times New Roman"/>
          <w:b w:val="0"/>
          <w:bCs w:val="0"/>
          <w:sz w:val="32"/>
          <w:szCs w:val="32"/>
          <w:shd w:val="clear" w:color="auto" w:fill="FFFFFF"/>
        </w:rPr>
        <w:t>2023年根据财政局要求现独立核算。此外，年初财政拨款结转和结余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w:t>
      </w:r>
    </w:p>
    <w:p>
      <w:pPr>
        <w:pStyle w:val="6"/>
        <w:keepNext w:val="0"/>
        <w:keepLines w:val="0"/>
        <w:pageBreakBefore w:val="0"/>
        <w:kinsoku/>
        <w:wordWrap/>
        <w:overflowPunct/>
        <w:topLinePunct w:val="0"/>
        <w:autoSpaceDN/>
        <w:bidi w:val="0"/>
        <w:adjustRightInd/>
        <w:snapToGrid w:val="0"/>
        <w:spacing w:before="0" w:beforeAutospacing="0" w:after="0" w:afterAutospacing="0" w:line="580" w:lineRule="exact"/>
        <w:ind w:left="0" w:firstLine="643" w:firstLineChars="200"/>
        <w:jc w:val="both"/>
        <w:textAlignment w:val="auto"/>
        <w:rPr>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bCs/>
          <w:sz w:val="32"/>
          <w:szCs w:val="32"/>
          <w:shd w:val="clear" w:color="auto" w:fill="FFFFFF"/>
        </w:rPr>
        <w:t>2.支出情况。</w:t>
      </w:r>
      <w:r>
        <w:rPr>
          <w:rFonts w:hint="default" w:ascii="Times New Roman" w:hAnsi="Times New Roman" w:eastAsia="方正仿宋_GBK" w:cs="Times New Roman"/>
          <w:b w:val="0"/>
          <w:bCs w:val="0"/>
          <w:sz w:val="32"/>
          <w:szCs w:val="32"/>
          <w:shd w:val="clear" w:color="auto" w:fill="FFFFFF"/>
        </w:rPr>
        <w:t>2023年度一般公共预算财政拨款支出</w:t>
      </w:r>
      <w:r>
        <w:rPr>
          <w:rFonts w:hint="default" w:ascii="Times New Roman" w:hAnsi="Times New Roman" w:eastAsia="方正仿宋_GBK" w:cs="Times New Roman"/>
          <w:b w:val="0"/>
          <w:bCs w:val="0"/>
          <w:sz w:val="32"/>
          <w:szCs w:val="32"/>
        </w:rPr>
        <w:t>70.84</w:t>
      </w:r>
      <w:r>
        <w:rPr>
          <w:rFonts w:hint="default" w:ascii="Times New Roman" w:hAnsi="Times New Roman" w:eastAsia="方正仿宋_GBK" w:cs="Times New Roman"/>
          <w:b w:val="0"/>
          <w:bCs w:val="0"/>
          <w:sz w:val="32"/>
          <w:szCs w:val="32"/>
          <w:shd w:val="clear" w:color="auto" w:fill="FFFFFF"/>
        </w:rPr>
        <w:t>万元，较上年决算数增加70.84万元，增长100.00%。主要原因是</w:t>
      </w:r>
      <w:r>
        <w:rPr>
          <w:rFonts w:hint="default" w:ascii="Times New Roman" w:hAnsi="Times New Roman" w:eastAsia="方正仿宋_GBK" w:cs="Times New Roman"/>
          <w:b w:val="0"/>
          <w:bCs w:val="0"/>
          <w:sz w:val="32"/>
          <w:szCs w:val="32"/>
        </w:rPr>
        <w:t>丰都县军队离休退休干部服务管理中心是退役军人事务局下属单位，原是合并核算，</w:t>
      </w:r>
      <w:r>
        <w:rPr>
          <w:rFonts w:hint="default" w:ascii="Times New Roman" w:hAnsi="Times New Roman" w:eastAsia="方正仿宋_GBK" w:cs="Times New Roman"/>
          <w:b w:val="0"/>
          <w:bCs w:val="0"/>
          <w:sz w:val="32"/>
          <w:szCs w:val="32"/>
          <w:shd w:val="clear" w:color="auto" w:fill="FFFFFF"/>
        </w:rPr>
        <w:t>2023年根据财政局要求现独立核算。较年初预算数增加7.56万元，增长11.95%。主要原因是</w:t>
      </w:r>
      <w:r>
        <w:rPr>
          <w:rFonts w:hint="default" w:ascii="Times New Roman" w:hAnsi="Times New Roman" w:eastAsia="方正仿宋_GBK" w:cs="Times New Roman"/>
          <w:b w:val="0"/>
          <w:bCs w:val="0"/>
          <w:sz w:val="32"/>
          <w:szCs w:val="32"/>
        </w:rPr>
        <w:t>丰都县军队离休退休干部服务管理中心是退役军人事务局下属单位，原是合并核算，</w:t>
      </w:r>
      <w:r>
        <w:rPr>
          <w:rFonts w:hint="default" w:ascii="Times New Roman" w:hAnsi="Times New Roman" w:eastAsia="方正仿宋_GBK" w:cs="Times New Roman"/>
          <w:b w:val="0"/>
          <w:bCs w:val="0"/>
          <w:sz w:val="32"/>
          <w:szCs w:val="32"/>
          <w:shd w:val="clear" w:color="auto" w:fill="FFFFFF"/>
        </w:rPr>
        <w:t>2023年根据财政局要求现独立核算。</w:t>
      </w:r>
    </w:p>
    <w:p>
      <w:pPr>
        <w:pStyle w:val="6"/>
        <w:keepNext w:val="0"/>
        <w:keepLines w:val="0"/>
        <w:pageBreakBefore w:val="0"/>
        <w:kinsoku/>
        <w:wordWrap/>
        <w:overflowPunct/>
        <w:topLinePunct w:val="0"/>
        <w:autoSpaceDN/>
        <w:bidi w:val="0"/>
        <w:adjustRightInd/>
        <w:snapToGrid w:val="0"/>
        <w:spacing w:before="0" w:beforeAutospacing="0" w:after="0" w:afterAutospacing="0" w:line="580" w:lineRule="exact"/>
        <w:ind w:left="0" w:firstLine="643" w:firstLineChars="200"/>
        <w:jc w:val="both"/>
        <w:textAlignment w:val="auto"/>
        <w:rPr>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bCs/>
          <w:sz w:val="32"/>
          <w:szCs w:val="32"/>
          <w:shd w:val="clear" w:color="auto" w:fill="FFFFFF"/>
        </w:rPr>
        <w:t>3.结转结余情况。</w:t>
      </w:r>
      <w:r>
        <w:rPr>
          <w:rFonts w:hint="default" w:ascii="Times New Roman" w:hAnsi="Times New Roman" w:eastAsia="方正仿宋_GBK" w:cs="Times New Roman"/>
          <w:b w:val="0"/>
          <w:bCs w:val="0"/>
          <w:sz w:val="32"/>
          <w:szCs w:val="32"/>
          <w:shd w:val="clear" w:color="auto" w:fill="FFFFFF"/>
        </w:rPr>
        <w:t>2023年度年末一般公共预算财政拨款结转和结余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万元，较上年决算数无增减，主要原因是</w:t>
      </w:r>
      <w:r>
        <w:rPr>
          <w:rFonts w:hint="default" w:ascii="Times New Roman" w:hAnsi="Times New Roman" w:eastAsia="方正仿宋_GBK" w:cs="Times New Roman"/>
          <w:b w:val="0"/>
          <w:bCs w:val="0"/>
          <w:sz w:val="32"/>
          <w:szCs w:val="32"/>
        </w:rPr>
        <w:t>丰都县军队离休退休干部服务管理中心是退役军人事务局下属单位，原是合并核算，</w:t>
      </w:r>
      <w:r>
        <w:rPr>
          <w:rFonts w:hint="default" w:ascii="Times New Roman" w:hAnsi="Times New Roman" w:eastAsia="方正仿宋_GBK" w:cs="Times New Roman"/>
          <w:b w:val="0"/>
          <w:bCs w:val="0"/>
          <w:sz w:val="32"/>
          <w:szCs w:val="32"/>
          <w:shd w:val="clear" w:color="auto" w:fill="FFFFFF"/>
        </w:rPr>
        <w:t>2023年根据财政局要求现独立核算。</w:t>
      </w:r>
    </w:p>
    <w:p>
      <w:pPr>
        <w:pStyle w:val="6"/>
        <w:keepNext w:val="0"/>
        <w:keepLines w:val="0"/>
        <w:pageBreakBefore w:val="0"/>
        <w:kinsoku/>
        <w:wordWrap/>
        <w:overflowPunct/>
        <w:topLinePunct w:val="0"/>
        <w:autoSpaceDN/>
        <w:bidi w:val="0"/>
        <w:adjustRightInd/>
        <w:snapToGrid w:val="0"/>
        <w:spacing w:before="0" w:beforeAutospacing="0" w:after="0" w:afterAutospacing="0" w:line="580" w:lineRule="exact"/>
        <w:ind w:left="0" w:firstLine="643" w:firstLineChars="200"/>
        <w:jc w:val="both"/>
        <w:textAlignment w:val="auto"/>
        <w:rPr>
          <w:rFonts w:hint="default" w:ascii="Times New Roman" w:hAnsi="Times New Roman" w:eastAsia="方正仿宋_GBK" w:cs="Times New Roman"/>
          <w:b w:val="0"/>
          <w:bCs w:val="0"/>
          <w:color w:val="FF0000"/>
          <w:sz w:val="32"/>
          <w:szCs w:val="32"/>
          <w:highlight w:val="cyan"/>
          <w:shd w:val="clear" w:color="auto" w:fill="FFFFFF"/>
        </w:rPr>
      </w:pPr>
      <w:r>
        <w:rPr>
          <w:rStyle w:val="10"/>
          <w:rFonts w:hint="default" w:ascii="Times New Roman" w:hAnsi="Times New Roman" w:eastAsia="方正仿宋_GBK" w:cs="Times New Roman"/>
          <w:b/>
          <w:bCs/>
          <w:sz w:val="32"/>
          <w:szCs w:val="32"/>
          <w:shd w:val="clear" w:color="auto" w:fill="FFFFFF"/>
        </w:rPr>
        <w:t xml:space="preserve"> 4.比较情况。</w:t>
      </w:r>
      <w:r>
        <w:rPr>
          <w:rFonts w:hint="default" w:ascii="Times New Roman" w:hAnsi="Times New Roman" w:eastAsia="方正仿宋_GBK" w:cs="Times New Roman"/>
          <w:b w:val="0"/>
          <w:bCs w:val="0"/>
          <w:sz w:val="32"/>
          <w:szCs w:val="32"/>
          <w:shd w:val="clear" w:color="auto" w:fill="FFFFFF"/>
        </w:rPr>
        <w:t>本单位2023年度一般公共预算财政拨款支出主要用于以下几个方面：</w:t>
      </w:r>
    </w:p>
    <w:p>
      <w:pPr>
        <w:pStyle w:val="6"/>
        <w:keepNext w:val="0"/>
        <w:keepLines w:val="0"/>
        <w:pageBreakBefore w:val="0"/>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val="0"/>
          <w:color w:val="FF000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（1）社会保障与就业支出</w:t>
      </w:r>
      <w:r>
        <w:rPr>
          <w:rFonts w:hint="default" w:ascii="Times New Roman" w:hAnsi="Times New Roman" w:eastAsia="方正仿宋_GBK" w:cs="Times New Roman"/>
          <w:b w:val="0"/>
          <w:bCs w:val="0"/>
          <w:sz w:val="32"/>
          <w:szCs w:val="32"/>
        </w:rPr>
        <w:t>63.00</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88.94</w:t>
      </w:r>
      <w:r>
        <w:rPr>
          <w:rFonts w:hint="default" w:ascii="Times New Roman" w:hAnsi="Times New Roman" w:eastAsia="方正仿宋_GBK" w:cs="Times New Roman"/>
          <w:b w:val="0"/>
          <w:bCs w:val="0"/>
          <w:sz w:val="32"/>
          <w:szCs w:val="32"/>
          <w:shd w:val="clear" w:color="auto" w:fill="FFFFFF"/>
        </w:rPr>
        <w:t>%，较年初预算数增加7.55万元，增长13.62%，主要原因是基本工资调标，养老保险、职业年金等调整。</w:t>
      </w:r>
    </w:p>
    <w:p>
      <w:pPr>
        <w:pStyle w:val="6"/>
        <w:keepNext w:val="0"/>
        <w:keepLines w:val="0"/>
        <w:pageBreakBefore w:val="0"/>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（2）卫生健康支出</w:t>
      </w:r>
      <w:r>
        <w:rPr>
          <w:rFonts w:hint="default" w:ascii="Times New Roman" w:hAnsi="Times New Roman" w:eastAsia="方正仿宋_GBK" w:cs="Times New Roman"/>
          <w:b w:val="0"/>
          <w:bCs w:val="0"/>
          <w:sz w:val="32"/>
          <w:szCs w:val="32"/>
        </w:rPr>
        <w:t>3.10</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4.38</w:t>
      </w:r>
      <w:r>
        <w:rPr>
          <w:rFonts w:hint="default" w:ascii="Times New Roman" w:hAnsi="Times New Roman" w:eastAsia="方正仿宋_GBK" w:cs="Times New Roman"/>
          <w:b w:val="0"/>
          <w:bCs w:val="0"/>
          <w:sz w:val="32"/>
          <w:szCs w:val="32"/>
          <w:shd w:val="clear" w:color="auto" w:fill="FFFFFF"/>
        </w:rPr>
        <w:t>%，较年初预算数无增减，主要原因是持平。</w:t>
      </w:r>
    </w:p>
    <w:p>
      <w:pPr>
        <w:keepNext w:val="0"/>
        <w:keepLines w:val="0"/>
        <w:pageBreakBefore w:val="0"/>
        <w:kinsoku/>
        <w:wordWrap/>
        <w:overflowPunct/>
        <w:topLinePunct w:val="0"/>
        <w:autoSpaceDN/>
        <w:bidi w:val="0"/>
        <w:adjustRightInd/>
        <w:spacing w:beforeAutospacing="0" w:afterAutospacing="0" w:line="580" w:lineRule="exact"/>
        <w:ind w:left="0" w:firstLine="640" w:firstLineChars="200"/>
        <w:textAlignment w:val="auto"/>
        <w:rPr>
          <w:rFonts w:hint="default" w:ascii="Times New Roman" w:hAnsi="Times New Roman" w:eastAsia="方正仿宋_GBK" w:cs="Times New Roman"/>
          <w:b w:val="0"/>
          <w:bCs w:val="0"/>
          <w:color w:val="FF000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（3）</w:t>
      </w:r>
      <w:r>
        <w:rPr>
          <w:rFonts w:hint="default" w:ascii="Times New Roman" w:hAnsi="Times New Roman" w:eastAsia="方正仿宋_GBK" w:cs="Times New Roman"/>
          <w:b w:val="0"/>
          <w:bCs w:val="0"/>
          <w:sz w:val="32"/>
          <w:szCs w:val="32"/>
        </w:rPr>
        <w:t>住房保障支出4.73</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6.68</w:t>
      </w:r>
      <w:r>
        <w:rPr>
          <w:rFonts w:hint="default" w:ascii="Times New Roman" w:hAnsi="Times New Roman" w:eastAsia="方正仿宋_GBK" w:cs="Times New Roman"/>
          <w:b w:val="0"/>
          <w:bCs w:val="0"/>
          <w:sz w:val="32"/>
          <w:szCs w:val="32"/>
          <w:shd w:val="clear" w:color="auto" w:fill="FFFFFF"/>
        </w:rPr>
        <w:t>%，较年初预算数无增减，主要原因是持平。</w:t>
      </w:r>
    </w:p>
    <w:p>
      <w:pPr>
        <w:pStyle w:val="11"/>
        <w:keepNext w:val="0"/>
        <w:keepLines w:val="0"/>
        <w:pageBreakBefore w:val="0"/>
        <w:kinsoku/>
        <w:wordWrap/>
        <w:overflowPunct/>
        <w:topLinePunct w:val="0"/>
        <w:autoSpaceDE w:val="0"/>
        <w:autoSpaceDN/>
        <w:bidi w:val="0"/>
        <w:adjustRightInd/>
        <w:spacing w:beforeAutospacing="0" w:afterAutospacing="0" w:line="580" w:lineRule="exact"/>
        <w:ind w:left="0" w:leftChars="0" w:firstLine="640" w:firstLineChars="200"/>
        <w:textAlignment w:val="auto"/>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（四）一般公共预算财政拨款基本支出决算情况说明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 2023年度一般公共财政拨款基本支出</w:t>
      </w:r>
      <w:r>
        <w:rPr>
          <w:rFonts w:hint="default" w:ascii="Times New Roman" w:hAnsi="Times New Roman" w:eastAsia="方正仿宋_GBK" w:cs="Times New Roman"/>
          <w:b w:val="0"/>
          <w:bCs w:val="0"/>
          <w:sz w:val="32"/>
          <w:szCs w:val="32"/>
        </w:rPr>
        <w:t>70.84</w:t>
      </w:r>
      <w:r>
        <w:rPr>
          <w:rFonts w:hint="default" w:ascii="Times New Roman" w:hAnsi="Times New Roman" w:eastAsia="方正仿宋_GBK" w:cs="Times New Roman"/>
          <w:b w:val="0"/>
          <w:bCs w:val="0"/>
          <w:sz w:val="32"/>
          <w:szCs w:val="32"/>
          <w:shd w:val="clear" w:color="auto" w:fill="FFFFFF"/>
        </w:rPr>
        <w:t>万元。其中：人员经费</w:t>
      </w:r>
      <w:r>
        <w:rPr>
          <w:rFonts w:hint="default" w:ascii="Times New Roman" w:hAnsi="Times New Roman" w:eastAsia="方正仿宋_GBK" w:cs="Times New Roman"/>
          <w:b w:val="0"/>
          <w:bCs w:val="0"/>
          <w:sz w:val="32"/>
          <w:szCs w:val="32"/>
        </w:rPr>
        <w:t>56.71</w:t>
      </w:r>
      <w:r>
        <w:rPr>
          <w:rFonts w:hint="default" w:ascii="Times New Roman" w:hAnsi="Times New Roman" w:eastAsia="方正仿宋_GBK" w:cs="Times New Roman"/>
          <w:b w:val="0"/>
          <w:bCs w:val="0"/>
          <w:sz w:val="32"/>
          <w:szCs w:val="32"/>
          <w:shd w:val="clear" w:color="auto" w:fill="FFFFFF"/>
        </w:rPr>
        <w:t>万元，较上年决算数增加56.71万元，增长100.00%，主要原因是</w:t>
      </w:r>
      <w:r>
        <w:rPr>
          <w:rFonts w:hint="default" w:ascii="Times New Roman" w:hAnsi="Times New Roman" w:eastAsia="方正仿宋_GBK" w:cs="Times New Roman"/>
          <w:b w:val="0"/>
          <w:bCs w:val="0"/>
          <w:sz w:val="32"/>
          <w:szCs w:val="32"/>
        </w:rPr>
        <w:t>丰都县军队离休退休干部服务管理中心是退役军人事务局下属单位，原是合并核算，</w:t>
      </w:r>
      <w:r>
        <w:rPr>
          <w:rFonts w:hint="default" w:ascii="Times New Roman" w:hAnsi="Times New Roman" w:eastAsia="方正仿宋_GBK" w:cs="Times New Roman"/>
          <w:b w:val="0"/>
          <w:bCs w:val="0"/>
          <w:sz w:val="32"/>
          <w:szCs w:val="32"/>
          <w:shd w:val="clear" w:color="auto" w:fill="FFFFFF"/>
        </w:rPr>
        <w:t>2023年根据财政局要求现独立核算。人员经费用途主要包括基本工资、国家统一津贴、绩效、车补、职业年金、养老保险、医疗保险、住房公积金等，公用经费</w:t>
      </w:r>
      <w:r>
        <w:rPr>
          <w:rFonts w:hint="default" w:ascii="Times New Roman" w:hAnsi="Times New Roman" w:eastAsia="方正仿宋_GBK" w:cs="Times New Roman"/>
          <w:b w:val="0"/>
          <w:bCs w:val="0"/>
          <w:sz w:val="32"/>
          <w:szCs w:val="32"/>
        </w:rPr>
        <w:t>14.13</w:t>
      </w:r>
      <w:r>
        <w:rPr>
          <w:rFonts w:hint="default" w:ascii="Times New Roman" w:hAnsi="Times New Roman" w:eastAsia="方正仿宋_GBK" w:cs="Times New Roman"/>
          <w:b w:val="0"/>
          <w:bCs w:val="0"/>
          <w:sz w:val="32"/>
          <w:szCs w:val="32"/>
          <w:shd w:val="clear" w:color="auto" w:fill="FFFFFF"/>
        </w:rPr>
        <w:t>万元，较上年决算数增加14.13万元，增长100.00%，主要原因是</w:t>
      </w:r>
      <w:r>
        <w:rPr>
          <w:rFonts w:hint="default" w:ascii="Times New Roman" w:hAnsi="Times New Roman" w:eastAsia="方正仿宋_GBK" w:cs="Times New Roman"/>
          <w:b w:val="0"/>
          <w:bCs w:val="0"/>
          <w:sz w:val="32"/>
          <w:szCs w:val="32"/>
        </w:rPr>
        <w:t>丰都县军队离休退休干部服务管理中心是退役军人事务局下属单位，原是合并核算，</w:t>
      </w:r>
      <w:r>
        <w:rPr>
          <w:rFonts w:hint="default" w:ascii="Times New Roman" w:hAnsi="Times New Roman" w:eastAsia="方正仿宋_GBK" w:cs="Times New Roman"/>
          <w:b w:val="0"/>
          <w:bCs w:val="0"/>
          <w:sz w:val="32"/>
          <w:szCs w:val="32"/>
          <w:shd w:val="clear" w:color="auto" w:fill="FFFFFF"/>
        </w:rPr>
        <w:t>2023年根据财政局要求现独立核算。公用经费用途主要包括办公费、水费、电费、差旅费、邮电费、接待费、公务车辆运行、工会、培训费、福利费等。</w:t>
      </w:r>
    </w:p>
    <w:p>
      <w:pPr>
        <w:pStyle w:val="11"/>
        <w:keepNext w:val="0"/>
        <w:keepLines w:val="0"/>
        <w:pageBreakBefore w:val="0"/>
        <w:kinsoku/>
        <w:wordWrap/>
        <w:overflowPunct/>
        <w:topLinePunct w:val="0"/>
        <w:autoSpaceDE w:val="0"/>
        <w:autoSpaceDN/>
        <w:bidi w:val="0"/>
        <w:adjustRightInd/>
        <w:spacing w:beforeAutospacing="0" w:afterAutospacing="0" w:line="580" w:lineRule="exact"/>
        <w:ind w:left="0" w:firstLine="643"/>
        <w:textAlignment w:val="auto"/>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（五）政府性基金预算收支决算情况说明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val="0"/>
          <w:sz w:val="32"/>
          <w:szCs w:val="32"/>
          <w:shd w:val="clear" w:color="auto" w:fill="FFFF00"/>
        </w:rPr>
      </w:pPr>
      <w:r>
        <w:rPr>
          <w:rFonts w:hint="default" w:ascii="Times New Roman" w:hAnsi="Times New Roman" w:eastAsia="方正仿宋_GBK" w:cs="Times New Roman"/>
          <w:b w:val="0"/>
          <w:bCs w:val="0"/>
          <w:sz w:val="32"/>
          <w:szCs w:val="32"/>
          <w:shd w:val="clear" w:color="auto" w:fill="FFFFFF"/>
        </w:rPr>
        <w:t>本单位2023年度无政府性基金预算财政拨款收支。</w:t>
      </w:r>
    </w:p>
    <w:p>
      <w:pPr>
        <w:pStyle w:val="11"/>
        <w:keepNext w:val="0"/>
        <w:keepLines w:val="0"/>
        <w:pageBreakBefore w:val="0"/>
        <w:kinsoku/>
        <w:wordWrap/>
        <w:overflowPunct/>
        <w:topLinePunct w:val="0"/>
        <w:autoSpaceDE w:val="0"/>
        <w:autoSpaceDN/>
        <w:bidi w:val="0"/>
        <w:adjustRightInd/>
        <w:spacing w:beforeAutospacing="0" w:afterAutospacing="0" w:line="580" w:lineRule="exact"/>
        <w:ind w:left="0" w:firstLine="643"/>
        <w:textAlignment w:val="auto"/>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（六）国有资本经营预算财政拨款支出决算情况说明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val="0"/>
          <w:sz w:val="32"/>
          <w:szCs w:val="32"/>
          <w:shd w:val="clear" w:color="auto" w:fill="FFFF00"/>
        </w:rPr>
      </w:pPr>
      <w:r>
        <w:rPr>
          <w:rFonts w:hint="default" w:ascii="Times New Roman" w:hAnsi="Times New Roman" w:eastAsia="方正仿宋_GBK" w:cs="Times New Roman"/>
          <w:b w:val="0"/>
          <w:bCs w:val="0"/>
          <w:sz w:val="32"/>
          <w:szCs w:val="32"/>
          <w:shd w:val="clear" w:color="auto" w:fill="FFFFFF"/>
        </w:rPr>
        <w:t>本单位2023年度无国有资本经营财政拨款收支。</w:t>
      </w:r>
    </w:p>
    <w:p>
      <w:pPr>
        <w:pStyle w:val="6"/>
        <w:keepNext w:val="0"/>
        <w:keepLines w:val="0"/>
        <w:pageBreakBefore w:val="0"/>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Style w:val="10"/>
          <w:rFonts w:hint="default" w:ascii="Times New Roman" w:hAnsi="Times New Roman" w:eastAsia="黑体" w:cs="Times New Roman"/>
          <w:b w:val="0"/>
          <w:bCs w:val="0"/>
          <w:sz w:val="32"/>
          <w:szCs w:val="32"/>
          <w:shd w:val="clear" w:color="auto" w:fill="FFFFFF"/>
        </w:rPr>
      </w:pPr>
      <w:r>
        <w:rPr>
          <w:rStyle w:val="10"/>
          <w:rFonts w:hint="default" w:ascii="Times New Roman" w:hAnsi="Times New Roman" w:eastAsia="黑体" w:cs="Times New Roman"/>
          <w:b w:val="0"/>
          <w:bCs w:val="0"/>
          <w:sz w:val="32"/>
          <w:szCs w:val="32"/>
          <w:shd w:val="clear" w:color="auto" w:fill="FFFFFF"/>
        </w:rPr>
        <w:t>三、“三公”经费情况说明</w:t>
      </w:r>
    </w:p>
    <w:p>
      <w:pPr>
        <w:pStyle w:val="11"/>
        <w:keepNext w:val="0"/>
        <w:keepLines w:val="0"/>
        <w:pageBreakBefore w:val="0"/>
        <w:kinsoku/>
        <w:wordWrap/>
        <w:overflowPunct/>
        <w:topLinePunct w:val="0"/>
        <w:autoSpaceDE w:val="0"/>
        <w:autoSpaceDN/>
        <w:bidi w:val="0"/>
        <w:adjustRightInd/>
        <w:spacing w:beforeAutospacing="0" w:afterAutospacing="0" w:line="580" w:lineRule="exact"/>
        <w:ind w:left="0" w:firstLine="643"/>
        <w:textAlignment w:val="auto"/>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（一）“三公”经费支出总体情况说明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2023年度“三公”经费支出共计</w:t>
      </w:r>
      <w:r>
        <w:rPr>
          <w:rFonts w:hint="default" w:ascii="Times New Roman" w:hAnsi="Times New Roman" w:eastAsia="方正仿宋_GBK" w:cs="Times New Roman"/>
          <w:b w:val="0"/>
          <w:bCs w:val="0"/>
          <w:sz w:val="32"/>
          <w:szCs w:val="32"/>
        </w:rPr>
        <w:t>3.50</w:t>
      </w:r>
      <w:r>
        <w:rPr>
          <w:rFonts w:hint="default" w:ascii="Times New Roman" w:hAnsi="Times New Roman" w:eastAsia="方正仿宋_GBK" w:cs="Times New Roman"/>
          <w:b w:val="0"/>
          <w:bCs w:val="0"/>
          <w:sz w:val="32"/>
          <w:szCs w:val="32"/>
          <w:shd w:val="clear" w:color="auto" w:fill="FFFFFF"/>
        </w:rPr>
        <w:t>万元，较年初预算数无增减，主要原因是</w:t>
      </w:r>
      <w:r>
        <w:rPr>
          <w:rFonts w:hint="default" w:ascii="Times New Roman" w:hAnsi="Times New Roman" w:eastAsia="方正仿宋_GBK" w:cs="Times New Roman"/>
          <w:b w:val="0"/>
          <w:bCs w:val="0"/>
          <w:sz w:val="32"/>
          <w:szCs w:val="32"/>
        </w:rPr>
        <w:t>丰都县军队离休退休干部服务管理中心是退役军人事务局下属单位，原是合并核算，</w:t>
      </w:r>
      <w:r>
        <w:rPr>
          <w:rFonts w:hint="default" w:ascii="Times New Roman" w:hAnsi="Times New Roman" w:eastAsia="方正仿宋_GBK" w:cs="Times New Roman"/>
          <w:b w:val="0"/>
          <w:bCs w:val="0"/>
          <w:sz w:val="32"/>
          <w:szCs w:val="32"/>
          <w:shd w:val="clear" w:color="auto" w:fill="FFFFFF"/>
        </w:rPr>
        <w:t>2023年根据财政局要求现独立核算。较上年支出数增加3.50万元，增长100.00%，主要原因是</w:t>
      </w:r>
      <w:r>
        <w:rPr>
          <w:rFonts w:hint="default" w:ascii="Times New Roman" w:hAnsi="Times New Roman" w:eastAsia="方正仿宋_GBK" w:cs="Times New Roman"/>
          <w:b w:val="0"/>
          <w:bCs w:val="0"/>
          <w:sz w:val="32"/>
          <w:szCs w:val="32"/>
        </w:rPr>
        <w:t>丰都县军队离休退休干部服务管理中心是退役军人事务局下属单位，原是合并核算，</w:t>
      </w:r>
      <w:r>
        <w:rPr>
          <w:rFonts w:hint="default" w:ascii="Times New Roman" w:hAnsi="Times New Roman" w:eastAsia="方正仿宋_GBK" w:cs="Times New Roman"/>
          <w:b w:val="0"/>
          <w:bCs w:val="0"/>
          <w:sz w:val="32"/>
          <w:szCs w:val="32"/>
          <w:shd w:val="clear" w:color="auto" w:fill="FFFFFF"/>
        </w:rPr>
        <w:t>2023年根据财政局要求现独立核算。</w:t>
      </w:r>
    </w:p>
    <w:p>
      <w:pPr>
        <w:pStyle w:val="6"/>
        <w:keepNext w:val="0"/>
        <w:keepLines w:val="0"/>
        <w:pageBreakBefore w:val="0"/>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2023年度本单位未发生因公出国（境）费用</w:t>
      </w:r>
      <w:r>
        <w:rPr>
          <w:rFonts w:hint="default" w:ascii="Times New Roman" w:hAnsi="Times New Roman" w:eastAsia="方正仿宋_GBK" w:cs="Times New Roman"/>
          <w:b w:val="0"/>
          <w:bCs w:val="0"/>
          <w:sz w:val="32"/>
          <w:szCs w:val="32"/>
        </w:rPr>
        <w:t>，与年初预算数和上年决算数</w:t>
      </w:r>
      <w:r>
        <w:rPr>
          <w:rFonts w:hint="default" w:ascii="Times New Roman" w:hAnsi="Times New Roman" w:eastAsia="方正仿宋_GBK" w:cs="Times New Roman"/>
          <w:b w:val="0"/>
          <w:bCs w:val="0"/>
          <w:sz w:val="32"/>
          <w:szCs w:val="32"/>
          <w:shd w:val="clear" w:color="auto" w:fill="FFFFFF"/>
        </w:rPr>
        <w:t>持平。</w:t>
      </w:r>
    </w:p>
    <w:p>
      <w:pPr>
        <w:pStyle w:val="6"/>
        <w:keepNext w:val="0"/>
        <w:keepLines w:val="0"/>
        <w:pageBreakBefore w:val="0"/>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2023年度本单位未发生 公务车购置费费用</w:t>
      </w:r>
      <w:r>
        <w:rPr>
          <w:rFonts w:hint="default" w:ascii="Times New Roman" w:hAnsi="Times New Roman" w:eastAsia="方正仿宋_GBK" w:cs="Times New Roman"/>
          <w:b w:val="0"/>
          <w:bCs w:val="0"/>
          <w:sz w:val="32"/>
          <w:szCs w:val="32"/>
        </w:rPr>
        <w:t>，与年初预算数和上年决算数</w:t>
      </w:r>
      <w:r>
        <w:rPr>
          <w:rFonts w:hint="default" w:ascii="Times New Roman" w:hAnsi="Times New Roman" w:eastAsia="方正仿宋_GBK" w:cs="Times New Roman"/>
          <w:b w:val="0"/>
          <w:bCs w:val="0"/>
          <w:sz w:val="32"/>
          <w:szCs w:val="32"/>
          <w:shd w:val="clear" w:color="auto" w:fill="FFFFFF"/>
        </w:rPr>
        <w:t>持平。</w:t>
      </w:r>
    </w:p>
    <w:p>
      <w:pPr>
        <w:pStyle w:val="6"/>
        <w:keepNext w:val="0"/>
        <w:keepLines w:val="0"/>
        <w:pageBreakBefore w:val="0"/>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公务车运行维护费</w:t>
      </w:r>
      <w:r>
        <w:rPr>
          <w:rFonts w:hint="default" w:ascii="Times New Roman" w:hAnsi="Times New Roman" w:eastAsia="方正仿宋_GBK" w:cs="Times New Roman"/>
          <w:b w:val="0"/>
          <w:bCs w:val="0"/>
          <w:sz w:val="32"/>
          <w:szCs w:val="32"/>
        </w:rPr>
        <w:t>3.00</w:t>
      </w:r>
      <w:r>
        <w:rPr>
          <w:rFonts w:hint="default" w:ascii="Times New Roman" w:hAnsi="Times New Roman" w:eastAsia="方正仿宋_GBK" w:cs="Times New Roman"/>
          <w:b w:val="0"/>
          <w:bCs w:val="0"/>
          <w:sz w:val="32"/>
          <w:szCs w:val="32"/>
          <w:shd w:val="clear" w:color="auto" w:fill="FFFFFF"/>
        </w:rPr>
        <w:t>万元，主要用于公务车维修费、燃料费，费用支出，费用支出较年初预算数无增减，主要原因是严格控制公务车辆运行维护。较上年支出数增加3.00万元，增长100.00%，主要原因是</w:t>
      </w:r>
      <w:r>
        <w:rPr>
          <w:rFonts w:hint="default" w:ascii="Times New Roman" w:hAnsi="Times New Roman" w:eastAsia="方正仿宋_GBK" w:cs="Times New Roman"/>
          <w:b w:val="0"/>
          <w:bCs w:val="0"/>
          <w:sz w:val="32"/>
          <w:szCs w:val="32"/>
        </w:rPr>
        <w:t>丰都县军队离休退休干部服务管理中心是退役军人事务局下属单位，原是合并核算，</w:t>
      </w:r>
      <w:r>
        <w:rPr>
          <w:rFonts w:hint="default" w:ascii="Times New Roman" w:hAnsi="Times New Roman" w:eastAsia="方正仿宋_GBK" w:cs="Times New Roman"/>
          <w:b w:val="0"/>
          <w:bCs w:val="0"/>
          <w:sz w:val="32"/>
          <w:szCs w:val="32"/>
          <w:shd w:val="clear" w:color="auto" w:fill="FFFFFF"/>
        </w:rPr>
        <w:t>2023年根据财政局要求现独立核算。</w:t>
      </w:r>
    </w:p>
    <w:p>
      <w:pPr>
        <w:pStyle w:val="6"/>
        <w:keepNext w:val="0"/>
        <w:keepLines w:val="0"/>
        <w:pageBreakBefore w:val="0"/>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公务接待费</w:t>
      </w:r>
      <w:r>
        <w:rPr>
          <w:rFonts w:hint="default" w:ascii="Times New Roman" w:hAnsi="Times New Roman" w:eastAsia="方正仿宋_GBK" w:cs="Times New Roman"/>
          <w:b w:val="0"/>
          <w:bCs w:val="0"/>
          <w:sz w:val="32"/>
          <w:szCs w:val="32"/>
        </w:rPr>
        <w:t>0.50</w:t>
      </w:r>
      <w:r>
        <w:rPr>
          <w:rFonts w:hint="default" w:ascii="Times New Roman" w:hAnsi="Times New Roman" w:eastAsia="方正仿宋_GBK" w:cs="Times New Roman"/>
          <w:b w:val="0"/>
          <w:bCs w:val="0"/>
          <w:sz w:val="32"/>
          <w:szCs w:val="32"/>
          <w:shd w:val="clear" w:color="auto" w:fill="FFFFFF"/>
        </w:rPr>
        <w:t>万元，主要用于接待军休干部，费用支出较年初预算数无增减，主要原因是严格控制公务接待，较上年支出数增加0.50万元，增长100.00%，主要原因是</w:t>
      </w:r>
      <w:r>
        <w:rPr>
          <w:rFonts w:hint="default" w:ascii="Times New Roman" w:hAnsi="Times New Roman" w:eastAsia="方正仿宋_GBK" w:cs="Times New Roman"/>
          <w:b w:val="0"/>
          <w:bCs w:val="0"/>
          <w:sz w:val="32"/>
          <w:szCs w:val="32"/>
        </w:rPr>
        <w:t>丰都县军队离休退休干部服务管理中心是退役军人事务局下属单位，原是合并核算，</w:t>
      </w:r>
      <w:r>
        <w:rPr>
          <w:rFonts w:hint="default" w:ascii="Times New Roman" w:hAnsi="Times New Roman" w:eastAsia="方正仿宋_GBK" w:cs="Times New Roman"/>
          <w:b w:val="0"/>
          <w:bCs w:val="0"/>
          <w:sz w:val="32"/>
          <w:szCs w:val="32"/>
          <w:shd w:val="clear" w:color="auto" w:fill="FFFFFF"/>
        </w:rPr>
        <w:t>2023年根据财政局要求现独立核算。</w:t>
      </w:r>
    </w:p>
    <w:p>
      <w:pPr>
        <w:pStyle w:val="6"/>
        <w:keepNext w:val="0"/>
        <w:keepLines w:val="0"/>
        <w:pageBreakBefore w:val="0"/>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（三）“三公”经费实物量情况</w:t>
      </w:r>
    </w:p>
    <w:p>
      <w:pPr>
        <w:pStyle w:val="6"/>
        <w:keepNext w:val="0"/>
        <w:keepLines w:val="0"/>
        <w:pageBreakBefore w:val="0"/>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2023年度本单位因公出国（境）共计</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个团组，</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人；公务用车购置</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辆，公务车保有量为</w:t>
      </w:r>
      <w:r>
        <w:rPr>
          <w:rFonts w:hint="default" w:ascii="Times New Roman" w:hAnsi="Times New Roman" w:eastAsia="方正仿宋_GBK" w:cs="Times New Roman"/>
          <w:b w:val="0"/>
          <w:bCs w:val="0"/>
          <w:sz w:val="32"/>
          <w:szCs w:val="32"/>
        </w:rPr>
        <w:t>1</w:t>
      </w:r>
      <w:r>
        <w:rPr>
          <w:rFonts w:hint="default" w:ascii="Times New Roman" w:hAnsi="Times New Roman" w:eastAsia="方正仿宋_GBK" w:cs="Times New Roman"/>
          <w:b w:val="0"/>
          <w:bCs w:val="0"/>
          <w:sz w:val="32"/>
          <w:szCs w:val="32"/>
          <w:shd w:val="clear" w:color="auto" w:fill="FFFFFF"/>
        </w:rPr>
        <w:t>辆；国内公务接待</w:t>
      </w:r>
      <w:r>
        <w:rPr>
          <w:rFonts w:hint="default" w:ascii="Times New Roman" w:hAnsi="Times New Roman" w:eastAsia="方正仿宋_GBK" w:cs="Times New Roman"/>
          <w:b w:val="0"/>
          <w:bCs w:val="0"/>
          <w:sz w:val="32"/>
          <w:szCs w:val="32"/>
        </w:rPr>
        <w:t>8</w:t>
      </w:r>
      <w:r>
        <w:rPr>
          <w:rFonts w:hint="default" w:ascii="Times New Roman" w:hAnsi="Times New Roman" w:eastAsia="方正仿宋_GBK" w:cs="Times New Roman"/>
          <w:b w:val="0"/>
          <w:bCs w:val="0"/>
          <w:sz w:val="32"/>
          <w:szCs w:val="32"/>
          <w:shd w:val="clear" w:color="auto" w:fill="FFFFFF"/>
        </w:rPr>
        <w:t>批次</w:t>
      </w:r>
      <w:r>
        <w:rPr>
          <w:rFonts w:hint="default" w:ascii="Times New Roman" w:hAnsi="Times New Roman" w:eastAsia="方正仿宋_GBK" w:cs="Times New Roman"/>
          <w:b w:val="0"/>
          <w:bCs w:val="0"/>
          <w:sz w:val="32"/>
          <w:szCs w:val="32"/>
        </w:rPr>
        <w:t>35</w:t>
      </w:r>
      <w:r>
        <w:rPr>
          <w:rFonts w:hint="default" w:ascii="Times New Roman" w:hAnsi="Times New Roman" w:eastAsia="方正仿宋_GBK" w:cs="Times New Roman"/>
          <w:b w:val="0"/>
          <w:bCs w:val="0"/>
          <w:sz w:val="32"/>
          <w:szCs w:val="32"/>
          <w:shd w:val="clear" w:color="auto" w:fill="FFFFFF"/>
        </w:rPr>
        <w:t>人，其中：国内外事接待</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批次，</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人；国（境）外公务接待</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批次，</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人。2023年本单位人均接待费</w:t>
      </w:r>
      <w:r>
        <w:rPr>
          <w:rFonts w:hint="default" w:ascii="Times New Roman" w:hAnsi="Times New Roman" w:eastAsia="方正仿宋_GBK" w:cs="Times New Roman"/>
          <w:b w:val="0"/>
          <w:bCs w:val="0"/>
          <w:sz w:val="32"/>
          <w:szCs w:val="32"/>
        </w:rPr>
        <w:t>142.86</w:t>
      </w:r>
      <w:r>
        <w:rPr>
          <w:rFonts w:hint="default" w:ascii="Times New Roman" w:hAnsi="Times New Roman" w:eastAsia="方正仿宋_GBK" w:cs="Times New Roman"/>
          <w:b w:val="0"/>
          <w:bCs w:val="0"/>
          <w:sz w:val="32"/>
          <w:szCs w:val="32"/>
          <w:shd w:val="clear" w:color="auto" w:fill="FFFFFF"/>
        </w:rPr>
        <w:t>元，车均购置费</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万元，车均维护费</w:t>
      </w:r>
      <w:r>
        <w:rPr>
          <w:rFonts w:hint="default" w:ascii="Times New Roman" w:hAnsi="Times New Roman" w:eastAsia="方正仿宋_GBK" w:cs="Times New Roman"/>
          <w:b w:val="0"/>
          <w:bCs w:val="0"/>
          <w:sz w:val="32"/>
          <w:szCs w:val="32"/>
        </w:rPr>
        <w:t>3.00</w:t>
      </w:r>
      <w:r>
        <w:rPr>
          <w:rFonts w:hint="default" w:ascii="Times New Roman" w:hAnsi="Times New Roman" w:eastAsia="方正仿宋_GBK" w:cs="Times New Roman"/>
          <w:b w:val="0"/>
          <w:bCs w:val="0"/>
          <w:sz w:val="32"/>
          <w:szCs w:val="32"/>
          <w:shd w:val="clear" w:color="auto" w:fill="FFFFFF"/>
        </w:rPr>
        <w:t>万元。</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80" w:lineRule="exact"/>
        <w:ind w:left="0" w:firstLine="640" w:firstLineChars="200"/>
        <w:textAlignment w:val="auto"/>
        <w:rPr>
          <w:rStyle w:val="10"/>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黑体" w:cs="Times New Roman"/>
          <w:b w:val="0"/>
          <w:bCs w:val="0"/>
          <w:sz w:val="32"/>
          <w:szCs w:val="32"/>
          <w:shd w:val="clear" w:color="auto" w:fill="FFFFFF"/>
        </w:rPr>
        <w:t>四、其他需要说明的事项</w:t>
      </w:r>
    </w:p>
    <w:p>
      <w:pPr>
        <w:pStyle w:val="11"/>
        <w:keepNext w:val="0"/>
        <w:keepLines w:val="0"/>
        <w:pageBreakBefore w:val="0"/>
        <w:kinsoku/>
        <w:wordWrap/>
        <w:overflowPunct/>
        <w:topLinePunct w:val="0"/>
        <w:autoSpaceDE w:val="0"/>
        <w:autoSpaceDN/>
        <w:bidi w:val="0"/>
        <w:adjustRightInd/>
        <w:spacing w:beforeAutospacing="0" w:afterAutospacing="0" w:line="580" w:lineRule="exact"/>
        <w:ind w:left="0" w:leftChars="0" w:firstLine="640" w:firstLineChars="200"/>
        <w:textAlignment w:val="auto"/>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（一）财政拨款会议费和培训费情况说明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本年度会议费支出</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万元，较上年决算数无增减，主要原因是</w:t>
      </w:r>
      <w:r>
        <w:rPr>
          <w:rFonts w:hint="default" w:ascii="Times New Roman" w:hAnsi="Times New Roman" w:eastAsia="方正仿宋_GBK" w:cs="Times New Roman"/>
          <w:b w:val="0"/>
          <w:bCs w:val="0"/>
          <w:sz w:val="32"/>
          <w:szCs w:val="32"/>
        </w:rPr>
        <w:t>丰都县军队离休退休干部服务管理中心是退役军人事务局下属单位，原是合并核算，</w:t>
      </w:r>
      <w:r>
        <w:rPr>
          <w:rFonts w:hint="default" w:ascii="Times New Roman" w:hAnsi="Times New Roman" w:eastAsia="方正仿宋_GBK" w:cs="Times New Roman"/>
          <w:b w:val="0"/>
          <w:bCs w:val="0"/>
          <w:sz w:val="32"/>
          <w:szCs w:val="32"/>
          <w:shd w:val="clear" w:color="auto" w:fill="FFFFFF"/>
        </w:rPr>
        <w:t>2023年根据财政局要求现独立核算。</w:t>
      </w:r>
    </w:p>
    <w:p>
      <w:pPr>
        <w:pStyle w:val="6"/>
        <w:keepNext w:val="0"/>
        <w:keepLines w:val="0"/>
        <w:pageBreakBefore w:val="0"/>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本年度培训费支出</w:t>
      </w:r>
      <w:r>
        <w:rPr>
          <w:rFonts w:hint="default" w:ascii="Times New Roman" w:hAnsi="Times New Roman" w:eastAsia="方正仿宋_GBK" w:cs="Times New Roman"/>
          <w:b w:val="0"/>
          <w:bCs w:val="0"/>
          <w:sz w:val="32"/>
          <w:szCs w:val="32"/>
        </w:rPr>
        <w:t>0.35</w:t>
      </w:r>
      <w:r>
        <w:rPr>
          <w:rFonts w:hint="default" w:ascii="Times New Roman" w:hAnsi="Times New Roman" w:eastAsia="方正仿宋_GBK" w:cs="Times New Roman"/>
          <w:b w:val="0"/>
          <w:bCs w:val="0"/>
          <w:sz w:val="32"/>
          <w:szCs w:val="32"/>
          <w:shd w:val="clear" w:color="auto" w:fill="FFFFFF"/>
        </w:rPr>
        <w:t>万元，较上年决算数增加0.35万元，增长100.00%，主要原因是</w:t>
      </w:r>
      <w:r>
        <w:rPr>
          <w:rFonts w:hint="default" w:ascii="Times New Roman" w:hAnsi="Times New Roman" w:eastAsia="方正仿宋_GBK" w:cs="Times New Roman"/>
          <w:b w:val="0"/>
          <w:bCs w:val="0"/>
          <w:sz w:val="32"/>
          <w:szCs w:val="32"/>
        </w:rPr>
        <w:t>丰都县军队离休退休干部服务管理中心是退役军人事务局下属单位，原是合并核算，</w:t>
      </w:r>
      <w:r>
        <w:rPr>
          <w:rFonts w:hint="default" w:ascii="Times New Roman" w:hAnsi="Times New Roman" w:eastAsia="方正仿宋_GBK" w:cs="Times New Roman"/>
          <w:b w:val="0"/>
          <w:bCs w:val="0"/>
          <w:sz w:val="32"/>
          <w:szCs w:val="32"/>
          <w:shd w:val="clear" w:color="auto" w:fill="FFFFFF"/>
        </w:rPr>
        <w:t>2023年根据财政局要求现独立核算。</w:t>
      </w:r>
    </w:p>
    <w:p>
      <w:pPr>
        <w:pStyle w:val="11"/>
        <w:keepNext w:val="0"/>
        <w:keepLines w:val="0"/>
        <w:pageBreakBefore w:val="0"/>
        <w:kinsoku/>
        <w:wordWrap/>
        <w:overflowPunct/>
        <w:topLinePunct w:val="0"/>
        <w:autoSpaceDE w:val="0"/>
        <w:autoSpaceDN/>
        <w:bidi w:val="0"/>
        <w:adjustRightInd/>
        <w:spacing w:beforeAutospacing="0" w:afterAutospacing="0" w:line="580" w:lineRule="exact"/>
        <w:ind w:left="0" w:leftChars="0" w:firstLine="640" w:firstLineChars="200"/>
        <w:textAlignment w:val="auto"/>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（二）机关运行经费情况说明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2023年度本单位机关运行经费支出</w:t>
      </w:r>
      <w:r>
        <w:rPr>
          <w:rFonts w:hint="default" w:ascii="Times New Roman" w:hAnsi="Times New Roman" w:eastAsia="方正仿宋_GBK" w:cs="Times New Roman"/>
          <w:b w:val="0"/>
          <w:bCs w:val="0"/>
          <w:sz w:val="32"/>
          <w:szCs w:val="32"/>
        </w:rPr>
        <w:t>14.13</w:t>
      </w:r>
      <w:r>
        <w:rPr>
          <w:rFonts w:hint="default" w:ascii="Times New Roman" w:hAnsi="Times New Roman" w:eastAsia="方正仿宋_GBK" w:cs="Times New Roman"/>
          <w:b w:val="0"/>
          <w:bCs w:val="0"/>
          <w:sz w:val="32"/>
          <w:szCs w:val="32"/>
          <w:shd w:val="clear" w:color="auto" w:fill="FFFFFF"/>
        </w:rPr>
        <w:t>万元，机关运行经费主要用于开支办公费6.75万元、水费0.05万元、电费0.2万元、培训费0.35万元、公务接待费0.5万元、工会0.47万元、福利费0.71万元、公务用车运行费3万元、其他交通费2.1万元。机关运行经费较上年支出数增加14.13万元，增长100.00%，主要原因是</w:t>
      </w:r>
      <w:r>
        <w:rPr>
          <w:rFonts w:hint="default" w:ascii="Times New Roman" w:hAnsi="Times New Roman" w:eastAsia="方正仿宋_GBK" w:cs="Times New Roman"/>
          <w:b w:val="0"/>
          <w:bCs w:val="0"/>
          <w:sz w:val="32"/>
          <w:szCs w:val="32"/>
        </w:rPr>
        <w:t>丰都县军队离休退休干部服务管理中心是退役军人事务局下属单位，原是合并核算，</w:t>
      </w:r>
      <w:r>
        <w:rPr>
          <w:rFonts w:hint="default" w:ascii="Times New Roman" w:hAnsi="Times New Roman" w:eastAsia="方正仿宋_GBK" w:cs="Times New Roman"/>
          <w:b w:val="0"/>
          <w:bCs w:val="0"/>
          <w:sz w:val="32"/>
          <w:szCs w:val="32"/>
          <w:shd w:val="clear" w:color="auto" w:fill="FFFFFF"/>
        </w:rPr>
        <w:t>2023年根据财政局要求现独立核算。</w:t>
      </w:r>
    </w:p>
    <w:p>
      <w:pPr>
        <w:pStyle w:val="11"/>
        <w:keepNext w:val="0"/>
        <w:keepLines w:val="0"/>
        <w:pageBreakBefore w:val="0"/>
        <w:kinsoku/>
        <w:wordWrap/>
        <w:overflowPunct/>
        <w:topLinePunct w:val="0"/>
        <w:autoSpaceDE w:val="0"/>
        <w:autoSpaceDN/>
        <w:bidi w:val="0"/>
        <w:adjustRightInd/>
        <w:spacing w:beforeAutospacing="0" w:afterAutospacing="0" w:line="580" w:lineRule="exact"/>
        <w:ind w:left="0" w:firstLine="643"/>
        <w:textAlignment w:val="auto"/>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（三）国有资产占用情况说明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截至2023年12月31日，本单位共有车辆</w:t>
      </w:r>
      <w:r>
        <w:rPr>
          <w:rFonts w:hint="default" w:ascii="Times New Roman" w:hAnsi="Times New Roman" w:eastAsia="方正仿宋_GBK" w:cs="Times New Roman"/>
          <w:b w:val="0"/>
          <w:bCs w:val="0"/>
          <w:sz w:val="32"/>
          <w:szCs w:val="32"/>
        </w:rPr>
        <w:t>1</w:t>
      </w:r>
      <w:r>
        <w:rPr>
          <w:rFonts w:hint="default" w:ascii="Times New Roman" w:hAnsi="Times New Roman" w:eastAsia="方正仿宋_GBK" w:cs="Times New Roman"/>
          <w:b w:val="0"/>
          <w:bCs w:val="0"/>
          <w:sz w:val="32"/>
          <w:szCs w:val="32"/>
          <w:shd w:val="clear" w:color="auto" w:fill="FFFFFF"/>
        </w:rPr>
        <w:t>辆，其中，副部（省）级及以上领导用车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辆、主要领导干部用车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辆、机要通信用车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辆、应急保障用车</w:t>
      </w:r>
      <w:r>
        <w:rPr>
          <w:rFonts w:hint="default" w:ascii="Times New Roman" w:hAnsi="Times New Roman" w:eastAsia="方正仿宋_GBK" w:cs="Times New Roman"/>
          <w:b w:val="0"/>
          <w:bCs w:val="0"/>
          <w:sz w:val="32"/>
          <w:szCs w:val="32"/>
        </w:rPr>
        <w:t>1</w:t>
      </w:r>
      <w:r>
        <w:rPr>
          <w:rFonts w:hint="default" w:ascii="Times New Roman" w:hAnsi="Times New Roman" w:eastAsia="方正仿宋_GBK" w:cs="Times New Roman"/>
          <w:b w:val="0"/>
          <w:bCs w:val="0"/>
          <w:sz w:val="32"/>
          <w:szCs w:val="32"/>
          <w:shd w:val="clear" w:color="auto" w:fill="FFFFFF"/>
        </w:rPr>
        <w:t>辆、执法执勤用车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辆，特种专业技术用车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辆，离退休干部用车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辆。单价100万元（含）以上专用设备（不含车辆）</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台（套）。</w:t>
      </w:r>
    </w:p>
    <w:p>
      <w:pPr>
        <w:pStyle w:val="11"/>
        <w:keepNext w:val="0"/>
        <w:keepLines w:val="0"/>
        <w:pageBreakBefore w:val="0"/>
        <w:kinsoku/>
        <w:wordWrap/>
        <w:overflowPunct/>
        <w:topLinePunct w:val="0"/>
        <w:autoSpaceDE w:val="0"/>
        <w:autoSpaceDN/>
        <w:bidi w:val="0"/>
        <w:adjustRightInd/>
        <w:spacing w:beforeAutospacing="0" w:afterAutospacing="0" w:line="580" w:lineRule="exact"/>
        <w:ind w:left="0" w:firstLine="643"/>
        <w:textAlignment w:val="auto"/>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（四）政府采购支出情况说明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80" w:lineRule="exact"/>
        <w:ind w:left="0" w:firstLine="800" w:firstLineChars="250"/>
        <w:jc w:val="both"/>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2023年度我单位未发生政府采购事项，无相关经费支出。</w:t>
      </w:r>
    </w:p>
    <w:p>
      <w:pPr>
        <w:pStyle w:val="6"/>
        <w:keepNext w:val="0"/>
        <w:keepLines w:val="0"/>
        <w:pageBreakBefore w:val="0"/>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Style w:val="10"/>
          <w:rFonts w:hint="default" w:ascii="Times New Roman" w:hAnsi="Times New Roman" w:eastAsia="黑体" w:cs="Times New Roman"/>
          <w:b w:val="0"/>
          <w:bCs w:val="0"/>
          <w:sz w:val="32"/>
          <w:szCs w:val="32"/>
          <w:shd w:val="clear" w:color="auto" w:fill="FFFFFF"/>
        </w:rPr>
      </w:pPr>
      <w:r>
        <w:rPr>
          <w:rStyle w:val="10"/>
          <w:rFonts w:hint="default" w:ascii="Times New Roman" w:hAnsi="Times New Roman" w:eastAsia="黑体" w:cs="Times New Roman"/>
          <w:b w:val="0"/>
          <w:bCs w:val="0"/>
          <w:sz w:val="32"/>
          <w:szCs w:val="32"/>
          <w:shd w:val="clear" w:color="auto" w:fill="FFFFFF"/>
        </w:rPr>
        <w:t>五、预算绩效管理情况说明</w:t>
      </w:r>
    </w:p>
    <w:p>
      <w:pPr>
        <w:pStyle w:val="11"/>
        <w:keepNext w:val="0"/>
        <w:keepLines w:val="0"/>
        <w:pageBreakBefore w:val="0"/>
        <w:kinsoku/>
        <w:wordWrap/>
        <w:overflowPunct/>
        <w:topLinePunct w:val="0"/>
        <w:autoSpaceDE w:val="0"/>
        <w:autoSpaceDN/>
        <w:bidi w:val="0"/>
        <w:adjustRightInd/>
        <w:spacing w:beforeAutospacing="0" w:afterAutospacing="0" w:line="580" w:lineRule="exact"/>
        <w:ind w:left="0" w:firstLine="643"/>
        <w:textAlignment w:val="auto"/>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（一）单位自评情况</w:t>
      </w:r>
    </w:p>
    <w:p>
      <w:pPr>
        <w:pStyle w:val="12"/>
        <w:keepNext w:val="0"/>
        <w:keepLines w:val="0"/>
        <w:pageBreakBefore w:val="0"/>
        <w:kinsoku/>
        <w:wordWrap/>
        <w:overflowPunct/>
        <w:topLinePunct w:val="0"/>
        <w:autoSpaceDE w:val="0"/>
        <w:autoSpaceDN/>
        <w:bidi w:val="0"/>
        <w:adjustRightInd/>
        <w:spacing w:before="0" w:beforeAutospacing="0" w:after="0" w:afterAutospacing="0" w:line="580" w:lineRule="exact"/>
        <w:ind w:left="0" w:firstLine="640" w:firstLineChars="200"/>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 xml:space="preserve">  涉及项目支出资金0万元。</w:t>
      </w:r>
    </w:p>
    <w:p>
      <w:pPr>
        <w:pStyle w:val="11"/>
        <w:keepNext w:val="0"/>
        <w:keepLines w:val="0"/>
        <w:pageBreakBefore w:val="0"/>
        <w:kinsoku/>
        <w:wordWrap/>
        <w:overflowPunct/>
        <w:topLinePunct w:val="0"/>
        <w:autoSpaceDE w:val="0"/>
        <w:autoSpaceDN/>
        <w:bidi w:val="0"/>
        <w:adjustRightInd/>
        <w:spacing w:beforeAutospacing="0" w:afterAutospacing="0" w:line="580" w:lineRule="exact"/>
        <w:ind w:left="0" w:firstLine="643"/>
        <w:textAlignment w:val="auto"/>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（二）单位绩效评价情况</w:t>
      </w:r>
    </w:p>
    <w:p>
      <w:pPr>
        <w:pStyle w:val="11"/>
        <w:keepNext w:val="0"/>
        <w:keepLines w:val="0"/>
        <w:pageBreakBefore w:val="0"/>
        <w:kinsoku/>
        <w:wordWrap/>
        <w:overflowPunct/>
        <w:topLinePunct w:val="0"/>
        <w:autoSpaceDE w:val="0"/>
        <w:autoSpaceDN/>
        <w:bidi w:val="0"/>
        <w:adjustRightInd/>
        <w:spacing w:beforeAutospacing="0" w:afterAutospacing="0" w:line="580" w:lineRule="exact"/>
        <w:ind w:left="0" w:firstLine="960" w:firstLineChars="300"/>
        <w:textAlignment w:val="auto"/>
        <w:rPr>
          <w:rFonts w:hint="default" w:ascii="Times New Roman" w:hAnsi="Times New Roman" w:eastAsia="楷体" w:cs="Times New Roman"/>
          <w:b w:val="0"/>
          <w:bCs w:val="0"/>
          <w:sz w:val="32"/>
          <w:szCs w:val="32"/>
          <w:highlight w:val="yellow"/>
          <w:shd w:val="clear" w:color="auto" w:fill="FFFFFF"/>
        </w:rPr>
      </w:pPr>
      <w:r>
        <w:rPr>
          <w:rFonts w:hint="default" w:ascii="Times New Roman" w:hAnsi="Times New Roman" w:eastAsia="方正仿宋_GBK" w:cs="Times New Roman"/>
          <w:b w:val="0"/>
          <w:bCs w:val="0"/>
          <w:sz w:val="32"/>
          <w:szCs w:val="32"/>
          <w:shd w:val="clear" w:color="auto" w:fill="FFFFFF"/>
        </w:rPr>
        <w:t>我单位未组织开展绩效评价。</w:t>
      </w:r>
    </w:p>
    <w:p>
      <w:pPr>
        <w:pStyle w:val="11"/>
        <w:keepNext w:val="0"/>
        <w:keepLines w:val="0"/>
        <w:pageBreakBefore w:val="0"/>
        <w:kinsoku/>
        <w:wordWrap/>
        <w:overflowPunct/>
        <w:topLinePunct w:val="0"/>
        <w:autoSpaceDE w:val="0"/>
        <w:autoSpaceDN/>
        <w:bidi w:val="0"/>
        <w:adjustRightInd/>
        <w:spacing w:beforeAutospacing="0" w:afterAutospacing="0" w:line="580" w:lineRule="exact"/>
        <w:ind w:left="0" w:firstLine="643"/>
        <w:textAlignment w:val="auto"/>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（三）财政绩效评价情况</w:t>
      </w:r>
    </w:p>
    <w:p>
      <w:pPr>
        <w:pStyle w:val="11"/>
        <w:keepNext w:val="0"/>
        <w:keepLines w:val="0"/>
        <w:pageBreakBefore w:val="0"/>
        <w:kinsoku/>
        <w:wordWrap/>
        <w:overflowPunct/>
        <w:topLinePunct w:val="0"/>
        <w:autoSpaceDE w:val="0"/>
        <w:autoSpaceDN/>
        <w:bidi w:val="0"/>
        <w:adjustRightInd/>
        <w:spacing w:beforeAutospacing="0" w:afterAutospacing="0" w:line="580" w:lineRule="exact"/>
        <w:ind w:left="0" w:firstLine="640"/>
        <w:textAlignment w:val="auto"/>
        <w:rPr>
          <w:rFonts w:hint="default" w:ascii="Times New Roman" w:hAnsi="Times New Roman" w:eastAsia="楷体" w:cs="Times New Roman"/>
          <w:b w:val="0"/>
          <w:bCs w:val="0"/>
          <w:sz w:val="32"/>
          <w:szCs w:val="32"/>
          <w:highlight w:val="yellow"/>
          <w:shd w:val="clear" w:color="auto" w:fill="FFFFFF"/>
        </w:rPr>
      </w:pPr>
      <w:r>
        <w:rPr>
          <w:rFonts w:hint="default" w:ascii="Times New Roman" w:hAnsi="Times New Roman" w:eastAsia="方正仿宋_GBK" w:cs="Times New Roman"/>
          <w:b w:val="0"/>
          <w:bCs w:val="0"/>
          <w:sz w:val="32"/>
          <w:szCs w:val="32"/>
          <w:shd w:val="clear" w:color="auto" w:fill="FFFFFF"/>
        </w:rPr>
        <w:t>市财政局未委托第三方对我单位开展绩效评价。</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80" w:lineRule="exact"/>
        <w:ind w:left="0"/>
        <w:textAlignment w:val="auto"/>
        <w:rPr>
          <w:rStyle w:val="10"/>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 xml:space="preserve">  </w:t>
      </w:r>
      <w:r>
        <w:rPr>
          <w:rStyle w:val="10"/>
          <w:rFonts w:hint="eastAsia" w:ascii="Times New Roman" w:hAnsi="Times New Roman" w:eastAsia="方正仿宋_GBK" w:cs="Times New Roman"/>
          <w:b w:val="0"/>
          <w:bCs w:val="0"/>
          <w:sz w:val="32"/>
          <w:szCs w:val="32"/>
          <w:shd w:val="clear" w:color="auto" w:fill="FFFFFF"/>
          <w:lang w:val="en-US" w:eastAsia="zh-CN"/>
        </w:rPr>
        <w:t xml:space="preserve">  </w:t>
      </w:r>
      <w:r>
        <w:rPr>
          <w:rStyle w:val="10"/>
          <w:rFonts w:hint="default" w:ascii="Times New Roman" w:hAnsi="Times New Roman" w:eastAsia="黑体" w:cs="Times New Roman"/>
          <w:b w:val="0"/>
          <w:bCs w:val="0"/>
          <w:sz w:val="32"/>
          <w:szCs w:val="32"/>
          <w:shd w:val="clear" w:color="auto" w:fill="FFFFFF"/>
        </w:rPr>
        <w:t>六、专业名词解释</w:t>
      </w:r>
    </w:p>
    <w:p>
      <w:pPr>
        <w:pStyle w:val="6"/>
        <w:keepNext w:val="0"/>
        <w:keepLines w:val="0"/>
        <w:pageBreakBefore w:val="0"/>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 </w:t>
      </w:r>
      <w:r>
        <w:rPr>
          <w:rFonts w:hint="default" w:ascii="Times New Roman" w:hAnsi="Times New Roman" w:eastAsia="楷体" w:cs="Times New Roman"/>
          <w:b w:val="0"/>
          <w:bCs w:val="0"/>
          <w:sz w:val="32"/>
          <w:szCs w:val="32"/>
          <w:shd w:val="clear" w:color="auto" w:fill="FFFFFF"/>
        </w:rPr>
        <w:t>（一）财政拨款收入：</w:t>
      </w:r>
      <w:r>
        <w:rPr>
          <w:rFonts w:hint="default" w:ascii="Times New Roman" w:hAnsi="Times New Roman" w:eastAsia="方正仿宋_GBK" w:cs="Times New Roman"/>
          <w:b w:val="0"/>
          <w:bCs w:val="0"/>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 </w:t>
      </w:r>
      <w:r>
        <w:rPr>
          <w:rStyle w:val="10"/>
          <w:rFonts w:hint="default" w:ascii="Times New Roman" w:hAnsi="Times New Roman" w:eastAsia="楷体" w:cs="Times New Roman"/>
          <w:b w:val="0"/>
          <w:bCs w:val="0"/>
          <w:sz w:val="32"/>
          <w:szCs w:val="32"/>
          <w:shd w:val="clear" w:color="auto" w:fill="FFFFFF"/>
        </w:rPr>
        <w:t>（二）事业收入</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 </w:t>
      </w:r>
      <w:r>
        <w:rPr>
          <w:rStyle w:val="10"/>
          <w:rFonts w:hint="default" w:ascii="Times New Roman" w:hAnsi="Times New Roman" w:eastAsia="楷体" w:cs="Times New Roman"/>
          <w:b w:val="0"/>
          <w:bCs w:val="0"/>
          <w:sz w:val="32"/>
          <w:szCs w:val="32"/>
          <w:shd w:val="clear" w:color="auto" w:fill="FFFFFF"/>
        </w:rPr>
        <w:t>（三）经营收入</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指事业单位在专业业务活动及其辅助活动之外开展非独立核算经营活动取得的现金流入。</w:t>
      </w:r>
    </w:p>
    <w:p>
      <w:pPr>
        <w:pStyle w:val="6"/>
        <w:keepNext w:val="0"/>
        <w:keepLines w:val="0"/>
        <w:pageBreakBefore w:val="0"/>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 </w:t>
      </w:r>
      <w:r>
        <w:rPr>
          <w:rStyle w:val="10"/>
          <w:rFonts w:hint="default" w:ascii="Times New Roman" w:hAnsi="Times New Roman" w:eastAsia="楷体" w:cs="Times New Roman"/>
          <w:b w:val="0"/>
          <w:bCs w:val="0"/>
          <w:sz w:val="32"/>
          <w:szCs w:val="32"/>
          <w:shd w:val="clear" w:color="auto" w:fill="FFFFFF"/>
        </w:rPr>
        <w:t>（四）其他收入</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楷体" w:cs="Times New Roman"/>
          <w:b w:val="0"/>
          <w:bCs w:val="0"/>
          <w:sz w:val="32"/>
          <w:szCs w:val="32"/>
          <w:shd w:val="clear" w:color="auto" w:fill="FFFFFF"/>
        </w:rPr>
        <w:t>（五）使用非财政拨款结余</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 </w:t>
      </w:r>
      <w:r>
        <w:rPr>
          <w:rStyle w:val="10"/>
          <w:rFonts w:hint="default" w:ascii="Times New Roman" w:hAnsi="Times New Roman" w:eastAsia="楷体" w:cs="Times New Roman"/>
          <w:b w:val="0"/>
          <w:bCs w:val="0"/>
          <w:sz w:val="32"/>
          <w:szCs w:val="32"/>
          <w:shd w:val="clear" w:color="auto" w:fill="FFFFFF"/>
        </w:rPr>
        <w:t>（六）年初结转和结余</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指单位上年结转本年使用的基本支出结转、项目支出结转和结余、经营结余。</w:t>
      </w:r>
    </w:p>
    <w:p>
      <w:pPr>
        <w:pStyle w:val="6"/>
        <w:keepNext w:val="0"/>
        <w:keepLines w:val="0"/>
        <w:pageBreakBefore w:val="0"/>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 </w:t>
      </w:r>
      <w:r>
        <w:rPr>
          <w:rStyle w:val="10"/>
          <w:rFonts w:hint="default" w:ascii="Times New Roman" w:hAnsi="Times New Roman" w:eastAsia="楷体" w:cs="Times New Roman"/>
          <w:b w:val="0"/>
          <w:bCs w:val="0"/>
          <w:sz w:val="32"/>
          <w:szCs w:val="32"/>
          <w:shd w:val="clear" w:color="auto" w:fill="FFFFFF"/>
        </w:rPr>
        <w:t>（七）结余分配</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 </w:t>
      </w:r>
      <w:r>
        <w:rPr>
          <w:rStyle w:val="10"/>
          <w:rFonts w:hint="default" w:ascii="Times New Roman" w:hAnsi="Times New Roman" w:eastAsia="楷体" w:cs="Times New Roman"/>
          <w:b w:val="0"/>
          <w:bCs w:val="0"/>
          <w:sz w:val="32"/>
          <w:szCs w:val="32"/>
          <w:shd w:val="clear" w:color="auto" w:fill="FFFFFF"/>
        </w:rPr>
        <w:t>（八）年末结转和结余</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指单位结转下年的基本支出结转、项目支出结转和结余、经营结余。</w:t>
      </w:r>
    </w:p>
    <w:p>
      <w:pPr>
        <w:pStyle w:val="6"/>
        <w:keepNext w:val="0"/>
        <w:keepLines w:val="0"/>
        <w:pageBreakBefore w:val="0"/>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 </w:t>
      </w:r>
      <w:r>
        <w:rPr>
          <w:rStyle w:val="10"/>
          <w:rFonts w:hint="default" w:ascii="Times New Roman" w:hAnsi="Times New Roman" w:eastAsia="楷体" w:cs="Times New Roman"/>
          <w:b w:val="0"/>
          <w:bCs w:val="0"/>
          <w:sz w:val="32"/>
          <w:szCs w:val="32"/>
          <w:shd w:val="clear" w:color="auto" w:fill="FFFFFF"/>
        </w:rPr>
        <w:t>（九）基本支出</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 </w:t>
      </w:r>
      <w:r>
        <w:rPr>
          <w:rStyle w:val="10"/>
          <w:rFonts w:hint="default" w:ascii="Times New Roman" w:hAnsi="Times New Roman" w:eastAsia="楷体" w:cs="Times New Roman"/>
          <w:b w:val="0"/>
          <w:bCs w:val="0"/>
          <w:sz w:val="32"/>
          <w:szCs w:val="32"/>
          <w:shd w:val="clear" w:color="auto" w:fill="FFFFFF"/>
        </w:rPr>
        <w:t>（十）项目支出</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指在基本支出之外为完成特定行政任务和事业发展目标所发生的支出。</w:t>
      </w:r>
    </w:p>
    <w:p>
      <w:pPr>
        <w:pStyle w:val="6"/>
        <w:keepNext w:val="0"/>
        <w:keepLines w:val="0"/>
        <w:pageBreakBefore w:val="0"/>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 </w:t>
      </w:r>
      <w:r>
        <w:rPr>
          <w:rStyle w:val="10"/>
          <w:rFonts w:hint="default" w:ascii="Times New Roman" w:hAnsi="Times New Roman" w:eastAsia="楷体" w:cs="Times New Roman"/>
          <w:b w:val="0"/>
          <w:bCs w:val="0"/>
          <w:sz w:val="32"/>
          <w:szCs w:val="32"/>
          <w:shd w:val="clear" w:color="auto" w:fill="FFFFFF"/>
        </w:rPr>
        <w:t>（十一）经营支出</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指事业单位在专业业务活动及其辅助活动之外开展非独立核算经营活动发生的支出。</w:t>
      </w:r>
    </w:p>
    <w:p>
      <w:pPr>
        <w:pStyle w:val="6"/>
        <w:keepNext w:val="0"/>
        <w:keepLines w:val="0"/>
        <w:pageBreakBefore w:val="0"/>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 </w:t>
      </w:r>
      <w:r>
        <w:rPr>
          <w:rStyle w:val="10"/>
          <w:rFonts w:hint="default" w:ascii="Times New Roman" w:hAnsi="Times New Roman" w:eastAsia="楷体" w:cs="Times New Roman"/>
          <w:b w:val="0"/>
          <w:bCs w:val="0"/>
          <w:sz w:val="32"/>
          <w:szCs w:val="32"/>
          <w:shd w:val="clear" w:color="auto" w:fill="FFFFFF"/>
        </w:rPr>
        <w:t>（十二）“三公”经费</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 </w:t>
      </w:r>
      <w:r>
        <w:rPr>
          <w:rStyle w:val="10"/>
          <w:rFonts w:hint="default" w:ascii="Times New Roman" w:hAnsi="Times New Roman" w:eastAsia="楷体" w:cs="Times New Roman"/>
          <w:b w:val="0"/>
          <w:bCs w:val="0"/>
          <w:sz w:val="32"/>
          <w:szCs w:val="32"/>
          <w:shd w:val="clear" w:color="auto" w:fill="FFFFFF"/>
        </w:rPr>
        <w:t>（十三）机关运行经费</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 </w:t>
      </w:r>
      <w:r>
        <w:rPr>
          <w:rStyle w:val="10"/>
          <w:rFonts w:hint="default" w:ascii="Times New Roman" w:hAnsi="Times New Roman" w:eastAsia="楷体" w:cs="Times New Roman"/>
          <w:b w:val="0"/>
          <w:bCs w:val="0"/>
          <w:sz w:val="32"/>
          <w:szCs w:val="32"/>
          <w:shd w:val="clear" w:color="auto" w:fill="FFFFFF"/>
        </w:rPr>
        <w:t>（十四）工资福利支出（支出经济分类科目类级）</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 </w:t>
      </w:r>
      <w:r>
        <w:rPr>
          <w:rStyle w:val="10"/>
          <w:rFonts w:hint="default" w:ascii="Times New Roman" w:hAnsi="Times New Roman" w:eastAsia="楷体" w:cs="Times New Roman"/>
          <w:b w:val="0"/>
          <w:bCs w:val="0"/>
          <w:sz w:val="32"/>
          <w:szCs w:val="32"/>
          <w:shd w:val="clear" w:color="auto" w:fill="FFFFFF"/>
        </w:rPr>
        <w:t>（十五）商品和服务支出（支出经济分类科目类级）</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反映单位购买商品和服务的支出（不包括用于购置固定资产的支出、战略性和应急储备支出）。</w:t>
      </w:r>
    </w:p>
    <w:p>
      <w:pPr>
        <w:pStyle w:val="6"/>
        <w:keepNext w:val="0"/>
        <w:keepLines w:val="0"/>
        <w:pageBreakBefore w:val="0"/>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楷体" w:cs="Times New Roman"/>
          <w:b w:val="0"/>
          <w:bCs w:val="0"/>
          <w:sz w:val="32"/>
          <w:szCs w:val="32"/>
          <w:shd w:val="clear" w:color="auto" w:fill="FFFFFF"/>
        </w:rPr>
        <w:t> （十六）对个人和家庭的补助（支出经济分类科目类级）</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反映用于对个人和家庭的补助支出。</w:t>
      </w:r>
    </w:p>
    <w:p>
      <w:pPr>
        <w:pStyle w:val="6"/>
        <w:keepNext w:val="0"/>
        <w:keepLines w:val="0"/>
        <w:pageBreakBefore w:val="0"/>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 </w:t>
      </w:r>
      <w:r>
        <w:rPr>
          <w:rStyle w:val="10"/>
          <w:rFonts w:hint="default" w:ascii="Times New Roman" w:hAnsi="Times New Roman" w:eastAsia="楷体" w:cs="Times New Roman"/>
          <w:b w:val="0"/>
          <w:bCs w:val="0"/>
          <w:sz w:val="32"/>
          <w:szCs w:val="32"/>
          <w:shd w:val="clear" w:color="auto" w:fill="FFFFFF"/>
        </w:rPr>
        <w:t>（十七）其他资本性支出（支出经济分类科目类级）</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80" w:lineRule="exact"/>
        <w:ind w:left="0"/>
        <w:textAlignment w:val="auto"/>
        <w:rPr>
          <w:rStyle w:val="10"/>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 xml:space="preserve">  </w:t>
      </w:r>
      <w:r>
        <w:rPr>
          <w:rStyle w:val="10"/>
          <w:rFonts w:hint="eastAsia" w:ascii="Times New Roman" w:hAnsi="Times New Roman" w:eastAsia="方正仿宋_GBK" w:cs="Times New Roman"/>
          <w:b w:val="0"/>
          <w:bCs w:val="0"/>
          <w:sz w:val="32"/>
          <w:szCs w:val="32"/>
          <w:shd w:val="clear" w:color="auto" w:fill="FFFFFF"/>
          <w:lang w:val="en-US" w:eastAsia="zh-CN"/>
        </w:rPr>
        <w:t xml:space="preserve">  </w:t>
      </w:r>
      <w:r>
        <w:rPr>
          <w:rStyle w:val="10"/>
          <w:rFonts w:hint="default" w:ascii="Times New Roman" w:hAnsi="Times New Roman" w:eastAsia="黑体" w:cs="Times New Roman"/>
          <w:b w:val="0"/>
          <w:bCs w:val="0"/>
          <w:sz w:val="32"/>
          <w:szCs w:val="32"/>
          <w:shd w:val="clear" w:color="auto" w:fill="FFFFFF"/>
        </w:rPr>
        <w:t>七、决算公开联系方式及信息反馈渠道</w:t>
      </w:r>
    </w:p>
    <w:p>
      <w:pPr>
        <w:pStyle w:val="6"/>
        <w:keepNext w:val="0"/>
        <w:keepLines w:val="0"/>
        <w:pageBreakBefore w:val="0"/>
        <w:kinsoku/>
        <w:wordWrap/>
        <w:overflowPunct/>
        <w:topLinePunct w:val="0"/>
        <w:autoSpaceDN/>
        <w:bidi w:val="0"/>
        <w:adjustRightInd/>
        <w:snapToGrid w:val="0"/>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本单位决算公开信息反馈和联系方式：</w:t>
      </w:r>
      <w:r>
        <w:rPr>
          <w:rFonts w:hint="default" w:ascii="Times New Roman" w:hAnsi="Times New Roman" w:eastAsia="方正仿宋_GBK" w:cs="Times New Roman"/>
          <w:b w:val="0"/>
          <w:bCs w:val="0"/>
          <w:sz w:val="32"/>
          <w:szCs w:val="32"/>
        </w:rPr>
        <w:t xml:space="preserve"> </w:t>
      </w:r>
      <w:r>
        <w:rPr>
          <w:rFonts w:hint="default" w:ascii="Times New Roman" w:hAnsi="Times New Roman" w:eastAsia="方正仿宋_GBK" w:cs="Times New Roman"/>
          <w:b w:val="0"/>
          <w:bCs w:val="0"/>
          <w:sz w:val="32"/>
          <w:szCs w:val="32"/>
        </w:rPr>
        <w:t>联系人：秦华蓉   电话023-81858810</w:t>
      </w: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bookmarkStart w:id="0" w:name="_GoBack"/>
      <w:bookmarkEnd w:id="0"/>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3608"/>
        <w:gridCol w:w="1422"/>
        <w:gridCol w:w="3372"/>
        <w:gridCol w:w="241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重庆市丰都县军队离休退休干部服务管理中心</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70.84</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63.00</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3.10</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4.73</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70.84</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70.84</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70.84</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70.84</w:t>
            </w:r>
            <w:r>
              <w:rPr>
                <w:color w:val="000000"/>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196"/>
        <w:gridCol w:w="2228"/>
        <w:gridCol w:w="866"/>
        <w:gridCol w:w="866"/>
        <w:gridCol w:w="866"/>
        <w:gridCol w:w="866"/>
        <w:gridCol w:w="960"/>
        <w:gridCol w:w="918"/>
        <w:gridCol w:w="1011"/>
        <w:gridCol w:w="1026"/>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重庆市丰都县军队离休退休干部服务管理中心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70.84</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70.84</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11.89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11.89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51.11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51.11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51.11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51.11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637"/>
        <w:gridCol w:w="3230"/>
        <w:gridCol w:w="985"/>
        <w:gridCol w:w="985"/>
        <w:gridCol w:w="986"/>
        <w:gridCol w:w="975"/>
        <w:gridCol w:w="975"/>
        <w:gridCol w:w="1030"/>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重庆市丰都县军队离休退休干部服务管理中心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70.84</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70.84</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11.89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11.89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51.11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51.11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51.11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51.11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550"/>
        <w:gridCol w:w="883"/>
        <w:gridCol w:w="2730"/>
        <w:gridCol w:w="1005"/>
        <w:gridCol w:w="1005"/>
        <w:gridCol w:w="1005"/>
        <w:gridCol w:w="1171"/>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重庆市丰都县军队离休退休干部服务管理中心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70.84</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70.84</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70.84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70.84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70.84</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70.84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70.84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121"/>
        <w:gridCol w:w="3230"/>
        <w:gridCol w:w="2147"/>
        <w:gridCol w:w="2147"/>
        <w:gridCol w:w="2158"/>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重庆市丰都县军队离休退休干部服务管理中心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70.84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70.84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63.00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11.89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11.89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51.11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51.11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51.11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51.11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425"/>
        <w:gridCol w:w="1925"/>
        <w:gridCol w:w="967"/>
        <w:gridCol w:w="587"/>
        <w:gridCol w:w="1351"/>
        <w:gridCol w:w="1163"/>
        <w:gridCol w:w="568"/>
        <w:gridCol w:w="2478"/>
        <w:gridCol w:w="1327"/>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重庆市丰都县军队离休退休干部服务管理中心</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54.34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14.13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19.52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17.00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56.71</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14.13</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431"/>
        <w:gridCol w:w="2382"/>
        <w:gridCol w:w="1317"/>
        <w:gridCol w:w="1107"/>
        <w:gridCol w:w="1107"/>
        <w:gridCol w:w="1107"/>
        <w:gridCol w:w="1153"/>
        <w:gridCol w:w="119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重庆市丰都县军队离休退休干部服务管理中心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22"/>
        <w:gridCol w:w="2150"/>
        <w:gridCol w:w="2301"/>
        <w:gridCol w:w="140"/>
        <w:gridCol w:w="2441"/>
        <w:gridCol w:w="54"/>
        <w:gridCol w:w="2395"/>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重庆市丰都县军队离休退休干部服务管理中心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2839"/>
        <w:gridCol w:w="1522"/>
        <w:gridCol w:w="1486"/>
        <w:gridCol w:w="3178"/>
        <w:gridCol w:w="1513"/>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重庆市丰都县军队离休退休干部服务管理中心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14.13</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3.50</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3.50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14.13</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0.50</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0.50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0.50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8</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35</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0.35</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3" w:type="default"/>
      <w:footerReference r:id="rId4" w:type="default"/>
      <w:pgSz w:w="11907" w:h="16839"/>
      <w:pgMar w:top="454" w:right="567" w:bottom="1037" w:left="56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2052" o:spid="_x0000_s2052" o:spt="202" type="#_x0000_t202" style="position:absolute;left:0pt;margin-top:0pt;height:144pt;width:144pt;mso-position-horizontal:outside;mso-position-horizontal-relative:margin;mso-wrap-style:none;z-index:251660288;mso-width-relative:page;mso-height-relative:page;" filled="f" stroked="f" coordsize="21600,21600" o:allowoverlap="f">
          <v:path/>
          <v:fill on="f" focussize="0,0"/>
          <v:stroke on="f" weight="0.5pt"/>
          <v:imagedata o:title=""/>
          <o:lock v:ext="edit" aspectratio="f"/>
          <v:textbox inset="0mm,0mm,0mm,0mm" style="mso-fit-shape-to-text:t;">
            <w:txbxContent>
              <w:p>
                <w:pPr>
                  <w:pStyle w:val="3"/>
                  <w:rPr>
                    <w:rFonts w:hint="default"/>
                  </w:rPr>
                </w:pPr>
                <w:r>
                  <w:t xml:space="preserve"> </w:t>
                </w:r>
                <w:r>
                  <w:rPr>
                    <w:sz w:val="28"/>
                    <w:szCs w:val="28"/>
                  </w:rPr>
                  <w:fldChar w:fldCharType="begin"/>
                </w:r>
                <w:r>
                  <w:rPr>
                    <w:sz w:val="28"/>
                    <w:szCs w:val="28"/>
                  </w:rPr>
                  <w:instrText xml:space="preserve">PAGE   \* MERGEFORMAT</w:instrText>
                </w:r>
                <w:r>
                  <w:rPr>
                    <w:rFonts w:hint="default"/>
                    <w:sz w:val="28"/>
                    <w:szCs w:val="28"/>
                  </w:rPr>
                  <w:fldChar w:fldCharType="separate"/>
                </w:r>
                <w:r>
                  <w:rPr>
                    <w:rFonts w:hint="default"/>
                    <w:sz w:val="28"/>
                    <w:szCs w:val="28"/>
                    <w:lang w:val="zh-CN"/>
                  </w:rPr>
                  <w:t>-</w:t>
                </w:r>
                <w:r>
                  <w:rPr>
                    <w:rFonts w:hint="default"/>
                    <w:sz w:val="28"/>
                    <w:szCs w:val="28"/>
                  </w:rPr>
                  <w:t xml:space="preserve"> 17 -</w:t>
                </w:r>
                <w:r>
                  <w:rPr>
                    <w:sz w:val="28"/>
                    <w:szCs w:val="28"/>
                  </w:rPr>
                  <w:fldChar w:fldCharType="end"/>
                </w:r>
                <w:r>
                  <w:rPr>
                    <w:sz w:val="28"/>
                    <w:szCs w:val="28"/>
                  </w:rPr>
                  <w:t xml:space="preserve"> </w:t>
                </w:r>
              </w:p>
            </w:txbxContent>
          </v:textbox>
        </v:shape>
      </w:pict>
    </w:r>
    <w:r>
      <w:rPr>
        <w:rFonts w:hint="default"/>
      </w:rPr>
      <w:pict>
        <v:shape id="_x0000_s2051" o:spid="_x0000_s205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VkMmYzM2I5MTBiN2I3OTVlMGEyZWFkM2JlZTQ3Y2QifQ=="/>
  </w:docVars>
  <w:rsids>
    <w:rsidRoot w:val="00B03CCD"/>
    <w:rsid w:val="000B64E3"/>
    <w:rsid w:val="001162F1"/>
    <w:rsid w:val="001826CD"/>
    <w:rsid w:val="001D3BB7"/>
    <w:rsid w:val="002B254B"/>
    <w:rsid w:val="00416A21"/>
    <w:rsid w:val="00417FBD"/>
    <w:rsid w:val="00434E5D"/>
    <w:rsid w:val="00466C9B"/>
    <w:rsid w:val="004F6F13"/>
    <w:rsid w:val="00550ABE"/>
    <w:rsid w:val="005D2AFC"/>
    <w:rsid w:val="005E5B1A"/>
    <w:rsid w:val="00637562"/>
    <w:rsid w:val="00667788"/>
    <w:rsid w:val="006C633D"/>
    <w:rsid w:val="00711187"/>
    <w:rsid w:val="00770383"/>
    <w:rsid w:val="007819D4"/>
    <w:rsid w:val="007857C3"/>
    <w:rsid w:val="007B419D"/>
    <w:rsid w:val="007B7C4B"/>
    <w:rsid w:val="007D3D39"/>
    <w:rsid w:val="00876680"/>
    <w:rsid w:val="00994AF7"/>
    <w:rsid w:val="009B2453"/>
    <w:rsid w:val="009B67B8"/>
    <w:rsid w:val="009D02F0"/>
    <w:rsid w:val="009D2B67"/>
    <w:rsid w:val="00A069B2"/>
    <w:rsid w:val="00A566F9"/>
    <w:rsid w:val="00A81728"/>
    <w:rsid w:val="00A95755"/>
    <w:rsid w:val="00AF2751"/>
    <w:rsid w:val="00B03CCD"/>
    <w:rsid w:val="00B046B5"/>
    <w:rsid w:val="00B92888"/>
    <w:rsid w:val="00BE2B89"/>
    <w:rsid w:val="00C10E9E"/>
    <w:rsid w:val="00C20C3E"/>
    <w:rsid w:val="00CB2A4F"/>
    <w:rsid w:val="00F070A7"/>
    <w:rsid w:val="00F709E4"/>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570BA5"/>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styleId="16">
    <w:name w:val="List Paragraph"/>
    <w:basedOn w:val="1"/>
    <w:qFormat/>
    <w:uiPriority w:val="34"/>
    <w:pPr>
      <w:widowControl w:val="0"/>
      <w:ind w:firstLine="420" w:firstLineChars="200"/>
      <w:jc w:val="both"/>
    </w:pPr>
    <w:rPr>
      <w:rFonts w:hint="default"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1907</Words>
  <Characters>10876</Characters>
  <Lines>90</Lines>
  <Paragraphs>25</Paragraphs>
  <TotalTime>1146</TotalTime>
  <ScaleCrop>false</ScaleCrop>
  <LinksUpToDate>false</LinksUpToDate>
  <CharactersWithSpaces>12758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愿余生相知不辜负</cp:lastModifiedBy>
  <cp:lastPrinted>2024-09-24T07:11:31Z</cp:lastPrinted>
  <dcterms:modified xsi:type="dcterms:W3CDTF">2024-09-24T07:11:37Z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BB46EABDBB2749749395447164B066B3_12</vt:lpwstr>
  </property>
</Properties>
</file>