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重庆市丰都县文化馆</w:t>
      </w:r>
      <w:r>
        <w:rPr>
          <w:rFonts w:hint="default" w:ascii="Times New Roman" w:hAnsi="Times New Roman" w:eastAsia="方正小标宋_GBK" w:cs="Times New Roman"/>
          <w:sz w:val="36"/>
          <w:szCs w:val="36"/>
          <w:shd w:val="clear" w:color="auto" w:fill="FFFFFF"/>
        </w:rPr>
        <w:t>2023年度决算公开说明</w:t>
      </w:r>
    </w:p>
    <w:p>
      <w:pPr>
        <w:pStyle w:val="6"/>
        <w:spacing w:before="0" w:beforeAutospacing="0" w:after="0" w:afterAutospacing="0" w:line="600" w:lineRule="exact"/>
        <w:ind w:firstLine="640" w:firstLineChars="200"/>
        <w:rPr>
          <w:rStyle w:val="10"/>
          <w:rFonts w:hint="default" w:ascii="Times New Roman" w:hAnsi="Times New Roman" w:cs="Times New Roman"/>
        </w:rPr>
      </w:pPr>
      <w:r>
        <w:rPr>
          <w:rStyle w:val="10"/>
          <w:rFonts w:hint="default" w:ascii="Times New Roman" w:hAnsi="Times New Roman" w:eastAsia="方正黑体_GBK" w:cs="Times New Roman"/>
          <w:b w:val="0"/>
          <w:sz w:val="32"/>
          <w:szCs w:val="32"/>
        </w:rPr>
        <w:t>一、部门基本情况</w:t>
      </w:r>
    </w:p>
    <w:p>
      <w:pPr>
        <w:spacing w:line="594" w:lineRule="exact"/>
        <w:ind w:firstLine="640" w:firstLineChars="200"/>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sz w:val="32"/>
          <w:szCs w:val="32"/>
        </w:rPr>
        <w:t>（一）职能职责。</w:t>
      </w:r>
      <w:r>
        <w:rPr>
          <w:rFonts w:hint="default" w:ascii="Times New Roman" w:hAnsi="Times New Roman" w:eastAsia="方正仿宋_GBK" w:cs="Times New Roman"/>
          <w:sz w:val="32"/>
          <w:szCs w:val="32"/>
        </w:rPr>
        <w:t>为群众提供文化服务，承担政府公共文化事业。承办组织各类社会文化艺术活动，为群众提供各种文化服务；组织群众文艺作品创作；辅导、培训文艺骨干、社会文艺团队，指导乡镇、街道文化中心业务工作。</w:t>
      </w:r>
    </w:p>
    <w:p>
      <w:pPr>
        <w:spacing w:line="594" w:lineRule="exact"/>
        <w:ind w:firstLine="640" w:firstLineChars="200"/>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sz w:val="32"/>
          <w:szCs w:val="32"/>
        </w:rPr>
        <w:t>（二）机构设置。</w:t>
      </w:r>
      <w:r>
        <w:rPr>
          <w:rFonts w:hint="default" w:ascii="Times New Roman" w:hAnsi="Times New Roman" w:eastAsia="方正仿宋_GBK" w:cs="Times New Roman"/>
          <w:sz w:val="32"/>
          <w:szCs w:val="32"/>
        </w:rPr>
        <w:t>本单位无内设机构。</w:t>
      </w:r>
    </w:p>
    <w:p>
      <w:pPr>
        <w:spacing w:line="594" w:lineRule="exact"/>
        <w:ind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楷体_GBK" w:cs="Times New Roman"/>
          <w:sz w:val="32"/>
          <w:szCs w:val="32"/>
        </w:rPr>
        <w:t>（三）单位构成情况。</w:t>
      </w:r>
      <w:r>
        <w:rPr>
          <w:rFonts w:hint="default" w:ascii="Times New Roman" w:hAnsi="Times New Roman" w:eastAsia="方正仿宋_GBK" w:cs="Times New Roman"/>
          <w:color w:val="000000"/>
          <w:sz w:val="32"/>
          <w:szCs w:val="32"/>
          <w:shd w:val="clear" w:color="auto" w:fill="FFFFFF"/>
          <w:lang w:eastAsia="zh-Hans"/>
        </w:rPr>
        <w:t>从预算单位构成看，无纳入本</w:t>
      </w:r>
      <w:r>
        <w:rPr>
          <w:rFonts w:hint="default" w:ascii="Times New Roman" w:hAnsi="Times New Roman" w:eastAsia="方正仿宋_GBK" w:cs="Times New Roman"/>
          <w:color w:val="000000"/>
          <w:sz w:val="32"/>
          <w:szCs w:val="32"/>
          <w:shd w:val="clear" w:color="auto" w:fill="FFFFFF"/>
        </w:rPr>
        <w:t>单位</w:t>
      </w: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年度决算编制的</w:t>
      </w:r>
      <w:r>
        <w:rPr>
          <w:rFonts w:hint="default" w:ascii="Times New Roman" w:hAnsi="Times New Roman" w:eastAsia="方正仿宋_GBK" w:cs="Times New Roman"/>
          <w:color w:val="000000"/>
          <w:sz w:val="32"/>
          <w:szCs w:val="32"/>
          <w:shd w:val="clear" w:color="auto" w:fill="FFFFFF"/>
        </w:rPr>
        <w:t>下</w:t>
      </w:r>
      <w:r>
        <w:rPr>
          <w:rFonts w:hint="default" w:ascii="Times New Roman" w:hAnsi="Times New Roman" w:eastAsia="方正仿宋_GBK" w:cs="Times New Roman"/>
          <w:color w:val="000000"/>
          <w:sz w:val="32"/>
          <w:szCs w:val="32"/>
          <w:shd w:val="clear" w:color="auto" w:fill="FFFFFF"/>
          <w:lang w:eastAsia="zh-Hans"/>
        </w:rPr>
        <w:t>级预算单位。</w:t>
      </w:r>
    </w:p>
    <w:p>
      <w:pPr>
        <w:pStyle w:val="6"/>
        <w:shd w:val="clear" w:color="auto"/>
        <w:spacing w:beforeAutospacing="0" w:afterAutospacing="0"/>
        <w:ind w:firstLine="723"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（一）收入支出决算总体情况说明。</w:t>
      </w:r>
    </w:p>
    <w:p>
      <w:pPr>
        <w:pStyle w:val="6"/>
        <w:shd w:val="clear" w:color="auto"/>
        <w:spacing w:beforeAutospacing="0" w:afterAutospacing="0"/>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2023年度收入总计571.87万元，支出总计</w:t>
      </w:r>
      <w:r>
        <w:rPr>
          <w:rFonts w:hint="default" w:ascii="Times New Roman" w:hAnsi="Times New Roman" w:eastAsia="方正仿宋_GBK" w:cs="Times New Roman"/>
          <w:sz w:val="32"/>
          <w:szCs w:val="32"/>
        </w:rPr>
        <w:t>571.87</w:t>
      </w:r>
      <w:r>
        <w:rPr>
          <w:rFonts w:hint="default" w:ascii="Times New Roman" w:hAnsi="Times New Roman" w:eastAsia="方正仿宋_GBK" w:cs="Times New Roman"/>
          <w:sz w:val="32"/>
          <w:szCs w:val="32"/>
          <w:shd w:val="clear" w:color="auto" w:fill="FFFFFF"/>
        </w:rPr>
        <w:t>万元。收支较上年决算数增加191.83万元，增长50.48%，主要原因是有2022年和2023年统筹返还资金113.51万元在2023年决算中列报支出，同时2023年上级专项和县级专项资金收入支出均比上年增加。</w:t>
      </w:r>
    </w:p>
    <w:p>
      <w:pPr>
        <w:pStyle w:val="6"/>
        <w:shd w:val="clear" w:color="auto"/>
        <w:spacing w:beforeAutospacing="0" w:afterAutospacing="0"/>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2023年度收入合计458.37万元，较上年决算数增加78.33万元，增长20.61%，主要原因是2023年上级专项资金投入增加和县级专项资金增加。其中：财政拨款收入</w:t>
      </w:r>
      <w:r>
        <w:rPr>
          <w:rFonts w:hint="default" w:ascii="Times New Roman" w:hAnsi="Times New Roman" w:eastAsia="方正仿宋_GBK" w:cs="Times New Roman"/>
          <w:sz w:val="32"/>
          <w:szCs w:val="32"/>
        </w:rPr>
        <w:t>458.37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w:t>
      </w:r>
    </w:p>
    <w:p>
      <w:pPr>
        <w:pStyle w:val="6"/>
        <w:shd w:val="clear" w:color="auto"/>
        <w:spacing w:beforeAutospacing="0" w:afterAutospacing="0"/>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571.87</w:t>
      </w:r>
      <w:r>
        <w:rPr>
          <w:rFonts w:hint="default" w:ascii="Times New Roman" w:hAnsi="Times New Roman" w:eastAsia="方正仿宋_GBK" w:cs="Times New Roman"/>
          <w:sz w:val="32"/>
          <w:szCs w:val="32"/>
          <w:shd w:val="clear" w:color="auto" w:fill="FFFFFF"/>
        </w:rPr>
        <w:t>万元，较上年决算数增加191.83万元，增长50.48%，主要原因是有2022年和2023年统筹返还资金113.51万元在2023年决算中列报支出，同时2023年上级专项和县级专项资金支出比上年增加。其中：基本支出</w:t>
      </w:r>
      <w:r>
        <w:rPr>
          <w:rFonts w:hint="default" w:ascii="Times New Roman" w:hAnsi="Times New Roman" w:eastAsia="方正仿宋_GBK" w:cs="Times New Roman"/>
          <w:sz w:val="32"/>
          <w:szCs w:val="32"/>
        </w:rPr>
        <w:t>347.58</w:t>
      </w:r>
      <w:r>
        <w:rPr>
          <w:rFonts w:hint="default" w:ascii="Times New Roman" w:hAnsi="Times New Roman" w:eastAsia="方正仿宋_GBK" w:cs="Times New Roman"/>
          <w:sz w:val="32"/>
          <w:szCs w:val="32"/>
          <w:shd w:val="clear" w:color="auto" w:fill="FFFFFF"/>
        </w:rPr>
        <w:t>万元，占60.78%；项目支出</w:t>
      </w:r>
      <w:r>
        <w:rPr>
          <w:rFonts w:hint="default" w:ascii="Times New Roman" w:hAnsi="Times New Roman" w:eastAsia="方正仿宋_GBK" w:cs="Times New Roman"/>
          <w:sz w:val="32"/>
          <w:szCs w:val="32"/>
        </w:rPr>
        <w:t>224.30</w:t>
      </w:r>
      <w:r>
        <w:rPr>
          <w:rFonts w:hint="default" w:ascii="Times New Roman" w:hAnsi="Times New Roman" w:eastAsia="方正仿宋_GBK" w:cs="Times New Roman"/>
          <w:sz w:val="32"/>
          <w:szCs w:val="32"/>
          <w:shd w:val="clear" w:color="auto" w:fill="FFFFFF"/>
        </w:rPr>
        <w:t>万元，占39.22%；经营支出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（二）财政拨款收入支出决算总体情况说明</w:t>
      </w:r>
    </w:p>
    <w:p>
      <w:pPr>
        <w:pStyle w:val="6"/>
        <w:shd w:val="clear" w:color="auto"/>
        <w:spacing w:beforeAutospacing="0" w:afterAutospacing="0"/>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571.87万元。与2022年相比，财政拨款收、支总计各增加191.83万元，增长50.48%。主要原因是有2022年和2023年统筹返还资金113.51万元在2023年决算中列报支出，同时2023年上级专项和县级专项资金收入支出均比上年增加。</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458.37</w:t>
      </w:r>
      <w:r>
        <w:rPr>
          <w:rFonts w:hint="default" w:ascii="Times New Roman" w:hAnsi="Times New Roman" w:eastAsia="方正仿宋_GBK" w:cs="Times New Roman"/>
          <w:sz w:val="32"/>
          <w:szCs w:val="32"/>
          <w:shd w:val="clear" w:color="auto" w:fill="FFFFFF"/>
        </w:rPr>
        <w:t>万元，较上年决算数增加78.33万元，增长20.61%。主要原因是2023年上级专项资金投入增加和县级专项资金增加。较年初预算数增加135.51万元，增长41.97%。主要原因是年中追加人员经费和上级及县级专项资金。此外，年初财政拨款结转和结余</w:t>
      </w:r>
      <w:r>
        <w:rPr>
          <w:rFonts w:hint="default" w:ascii="Times New Roman" w:hAnsi="Times New Roman" w:eastAsia="方正仿宋_GBK" w:cs="Times New Roman"/>
          <w:sz w:val="32"/>
          <w:szCs w:val="32"/>
        </w:rPr>
        <w:t>113.51</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571.87</w:t>
      </w:r>
      <w:r>
        <w:rPr>
          <w:rFonts w:hint="default" w:ascii="Times New Roman" w:hAnsi="Times New Roman" w:eastAsia="方正仿宋_GBK" w:cs="Times New Roman"/>
          <w:sz w:val="32"/>
          <w:szCs w:val="32"/>
          <w:shd w:val="clear" w:color="auto" w:fill="FFFFFF"/>
        </w:rPr>
        <w:t>万元，较上年决算数增加191.83万元，增长50.48%。主要原因是有2022年和2023年统筹返还资金113.51万元在2023年决算中列报支出，同时2023年上级专项和县级专项资金支出比上年增加。较年初预算数增加249.01万元，增长77.13%。主要原因是有2022年和2023年统筹返还资金113.51万元在2023年决算中列报支出，未纳入年初预算，同时年中追加人员经费和上级及县级专项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440.07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76.95</w:t>
      </w:r>
      <w:r>
        <w:rPr>
          <w:rFonts w:hint="default" w:ascii="Times New Roman" w:hAnsi="Times New Roman" w:eastAsia="方正仿宋_GBK" w:cs="Times New Roman"/>
          <w:sz w:val="32"/>
          <w:szCs w:val="32"/>
          <w:shd w:val="clear" w:color="auto" w:fill="FFFFFF"/>
        </w:rPr>
        <w:t>%，较年初预算数增加233.27万元，增长112.80%，主要原因是有2022年和2023年统筹返还资金113.51万元在2023年决算中列报支出，未纳入年初预算，同时年中追加人员经费和上级及县级专项资金。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103.15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18.04</w:t>
      </w:r>
      <w:r>
        <w:rPr>
          <w:rFonts w:hint="default" w:ascii="Times New Roman" w:hAnsi="Times New Roman" w:eastAsia="方正仿宋_GBK" w:cs="Times New Roman"/>
          <w:sz w:val="32"/>
          <w:szCs w:val="32"/>
          <w:shd w:val="clear" w:color="auto" w:fill="FFFFFF"/>
        </w:rPr>
        <w:t>%，较年初预算数增加15.74万元，增长18.01%，主要原因是年中追加了社会保障与就业支出经费。</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17.19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3.01</w:t>
      </w:r>
      <w:r>
        <w:rPr>
          <w:rFonts w:hint="default" w:ascii="Times New Roman" w:hAnsi="Times New Roman" w:eastAsia="方正仿宋_GBK" w:cs="Times New Roman"/>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住房保障支出11.46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%，较年初预算数无增减。</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（四）一般公共预算财政拨款基本支出决算情况说明</w:t>
      </w:r>
    </w:p>
    <w:p>
      <w:pPr>
        <w:pStyle w:val="6"/>
        <w:shd w:val="clear" w:color="auto"/>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347.58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314.24</w:t>
      </w:r>
      <w:r>
        <w:rPr>
          <w:rFonts w:hint="default" w:ascii="Times New Roman" w:hAnsi="Times New Roman" w:eastAsia="方正仿宋_GBK" w:cs="Times New Roman"/>
          <w:sz w:val="32"/>
          <w:szCs w:val="32"/>
          <w:shd w:val="clear" w:color="auto" w:fill="FFFFFF"/>
        </w:rPr>
        <w:t>万元，较上年决算数增加15.73万元，增长5.27%，</w:t>
      </w:r>
      <w:r>
        <w:rPr>
          <w:rFonts w:hint="default" w:ascii="Times New Roman" w:hAnsi="Times New Roman" w:eastAsia="方正仿宋_GBK" w:cs="Times New Roman"/>
          <w:kern w:val="2"/>
          <w:sz w:val="32"/>
          <w:szCs w:val="32"/>
          <w:lang w:eastAsia="zh-Hans"/>
        </w:rPr>
        <w:t>主要原因是</w:t>
      </w:r>
      <w:r>
        <w:rPr>
          <w:rFonts w:hint="default" w:ascii="Times New Roman" w:hAnsi="Times New Roman" w:eastAsia="方正仿宋_GBK" w:cs="Times New Roman"/>
          <w:kern w:val="2"/>
          <w:sz w:val="32"/>
          <w:szCs w:val="32"/>
        </w:rPr>
        <w:t>2023年调资晋级</w:t>
      </w:r>
      <w:r>
        <w:rPr>
          <w:rFonts w:hint="default" w:ascii="Times New Roman" w:hAnsi="Times New Roman" w:eastAsia="方正仿宋_GBK" w:cs="Times New Roman"/>
          <w:kern w:val="2"/>
          <w:sz w:val="32"/>
          <w:szCs w:val="32"/>
        </w:rPr>
        <w:t>追加</w:t>
      </w:r>
      <w:r>
        <w:rPr>
          <w:rFonts w:hint="default" w:ascii="Times New Roman" w:hAnsi="Times New Roman" w:eastAsia="方正仿宋_GBK" w:cs="Times New Roman"/>
          <w:kern w:val="2"/>
          <w:sz w:val="32"/>
          <w:szCs w:val="32"/>
          <w:lang w:eastAsia="zh-Hans"/>
        </w:rPr>
        <w:t>人员</w:t>
      </w:r>
      <w:r>
        <w:rPr>
          <w:rFonts w:hint="default" w:ascii="Times New Roman" w:hAnsi="Times New Roman" w:eastAsia="方正仿宋_GBK" w:cs="Times New Roman"/>
          <w:kern w:val="2"/>
          <w:sz w:val="32"/>
          <w:szCs w:val="32"/>
        </w:rPr>
        <w:t>经费</w:t>
      </w:r>
      <w:r>
        <w:rPr>
          <w:rFonts w:hint="default" w:ascii="Times New Roman" w:hAnsi="Times New Roman" w:eastAsia="方正仿宋_GBK" w:cs="Times New Roman"/>
          <w:kern w:val="2"/>
          <w:sz w:val="32"/>
          <w:szCs w:val="32"/>
          <w:lang w:eastAsia="zh-Hans"/>
        </w:rPr>
        <w:t>等。</w:t>
      </w:r>
      <w:r>
        <w:rPr>
          <w:rFonts w:hint="default" w:ascii="Times New Roman" w:hAnsi="Times New Roman" w:eastAsia="方正仿宋_GBK" w:cs="Times New Roman"/>
          <w:color w:val="000000"/>
          <w:sz w:val="32"/>
          <w:szCs w:val="32"/>
          <w:shd w:val="clear" w:color="auto" w:fill="FFFFFF"/>
          <w:lang w:eastAsia="zh-Hans"/>
        </w:rPr>
        <w:t>人员经费用途主要包括基本工资、津贴补贴、绩效工资、社会保障缴费、住房公积金、其他工资福利支出、退休人员生活补助等支出。</w:t>
      </w:r>
      <w:r>
        <w:rPr>
          <w:rFonts w:hint="default" w:ascii="Times New Roman" w:hAnsi="Times New Roman" w:eastAsia="方正仿宋_GBK" w:cs="Times New Roman"/>
          <w:sz w:val="32"/>
          <w:szCs w:val="32"/>
          <w:shd w:val="clear" w:color="auto" w:fill="FFFFFF"/>
        </w:rPr>
        <w:t>公用</w:t>
      </w:r>
      <w:r>
        <w:rPr>
          <w:rFonts w:hint="default" w:ascii="Times New Roman" w:hAnsi="Times New Roman" w:eastAsia="方正仿宋_GBK" w:cs="Times New Roman"/>
          <w:sz w:val="32"/>
          <w:szCs w:val="32"/>
        </w:rPr>
        <w:t>经费33.33万元，较上年决算数增加9.80万元，增长41.65%，主要原因是2023年追加公用经费等。公用经费用途主要包括办公费、水费、电费、邮电费、差旅费、劳务费、维修（护）费、租赁费、培训费、工会经费、公务用车运行维护费、其他商品服务支出等。</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（五）政府性基金预算收支决算情况说明</w:t>
      </w:r>
    </w:p>
    <w:p>
      <w:pPr>
        <w:pStyle w:val="6"/>
        <w:shd w:val="clear" w:color="auto"/>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（六）国有资本经营预算财政拨款支出决算情况说明</w:t>
      </w:r>
    </w:p>
    <w:p>
      <w:pPr>
        <w:pStyle w:val="6"/>
        <w:shd w:val="clear" w:color="auto"/>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pStyle w:val="6"/>
        <w:shd w:val="clear" w:color="auto"/>
        <w:spacing w:beforeAutospacing="0" w:afterAutospacing="0"/>
        <w:ind w:firstLine="723"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2.72</w:t>
      </w:r>
      <w:r>
        <w:rPr>
          <w:rFonts w:hint="default" w:ascii="Times New Roman" w:hAnsi="Times New Roman" w:eastAsia="方正仿宋_GBK" w:cs="Times New Roman"/>
          <w:sz w:val="32"/>
          <w:szCs w:val="32"/>
          <w:shd w:val="clear" w:color="auto" w:fill="FFFFFF"/>
        </w:rPr>
        <w:t>万元，较年初预算数减少0.58万元，下降17.58%，</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树立过紧日子思想，压缩三公经费开支</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较上年支出数增加0.40万元，增长17.24%，主要原因是公务用车运行维护费比上年略有增加。</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（二）“三公”经费分项支出情况</w:t>
      </w:r>
    </w:p>
    <w:p>
      <w:pPr>
        <w:pStyle w:val="6"/>
        <w:shd w:val="clear" w:color="auto"/>
        <w:spacing w:before="0" w:beforeAutospacing="0" w:after="0" w:afterAutospacing="0" w:line="600" w:lineRule="exact"/>
        <w:ind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年度本单位未发生因公出国（境）费用支出。</w:t>
      </w:r>
    </w:p>
    <w:p>
      <w:pPr>
        <w:pStyle w:val="6"/>
        <w:shd w:val="clear" w:color="auto"/>
        <w:spacing w:before="0" w:beforeAutospacing="0" w:after="0" w:afterAutospacing="0" w:line="600" w:lineRule="exact"/>
        <w:ind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年度本单位未发生公务车购置费支出。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2.72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lang w:eastAsia="zh-Hans"/>
        </w:rPr>
        <w:t>主要用于</w:t>
      </w:r>
      <w:r>
        <w:rPr>
          <w:rFonts w:hint="default" w:ascii="Times New Roman" w:hAnsi="Times New Roman" w:eastAsia="方正仿宋_GBK" w:cs="Times New Roman"/>
          <w:color w:val="000000"/>
          <w:sz w:val="32"/>
          <w:szCs w:val="32"/>
          <w:shd w:val="clear" w:color="auto" w:fill="FFFFFF"/>
        </w:rPr>
        <w:t>送文化下乡活动的</w:t>
      </w:r>
      <w:r>
        <w:rPr>
          <w:rFonts w:hint="default" w:ascii="Times New Roman" w:hAnsi="Times New Roman" w:eastAsia="方正仿宋_GBK" w:cs="Times New Roman"/>
          <w:color w:val="000000"/>
          <w:sz w:val="32"/>
          <w:szCs w:val="32"/>
          <w:shd w:val="clear" w:color="auto" w:fill="FFFFFF"/>
          <w:lang w:eastAsia="zh-Hans"/>
        </w:rPr>
        <w:t>公务</w:t>
      </w:r>
      <w:r>
        <w:rPr>
          <w:rFonts w:hint="default" w:ascii="Times New Roman" w:hAnsi="Times New Roman" w:eastAsia="方正仿宋_GBK" w:cs="Times New Roman"/>
          <w:color w:val="000000"/>
          <w:sz w:val="32"/>
          <w:szCs w:val="32"/>
          <w:shd w:val="clear" w:color="auto" w:fill="FFFFFF"/>
        </w:rPr>
        <w:t>用</w:t>
      </w:r>
      <w:r>
        <w:rPr>
          <w:rFonts w:hint="default" w:ascii="Times New Roman" w:hAnsi="Times New Roman" w:eastAsia="方正仿宋_GBK" w:cs="Times New Roman"/>
          <w:color w:val="000000"/>
          <w:sz w:val="32"/>
          <w:szCs w:val="32"/>
          <w:shd w:val="clear" w:color="auto" w:fill="FFFFFF"/>
          <w:lang w:eastAsia="zh-Hans"/>
        </w:rPr>
        <w:t>车加油以及保险</w:t>
      </w:r>
      <w:r>
        <w:rPr>
          <w:rFonts w:hint="default" w:ascii="Times New Roman" w:hAnsi="Times New Roman" w:eastAsia="方正仿宋_GBK" w:cs="Times New Roman"/>
          <w:color w:val="000000"/>
          <w:sz w:val="32"/>
          <w:szCs w:val="32"/>
          <w:shd w:val="clear" w:color="auto" w:fill="FFFFFF"/>
        </w:rPr>
        <w:t>费</w:t>
      </w:r>
      <w:r>
        <w:rPr>
          <w:rFonts w:hint="default" w:ascii="Times New Roman" w:hAnsi="Times New Roman" w:eastAsia="方正仿宋_GBK" w:cs="Times New Roman"/>
          <w:color w:val="000000"/>
          <w:sz w:val="32"/>
          <w:szCs w:val="32"/>
          <w:shd w:val="clear" w:color="auto" w:fill="FFFFFF"/>
          <w:lang w:eastAsia="zh-Hans"/>
        </w:rPr>
        <w:t>等日常开支。</w:t>
      </w:r>
      <w:r>
        <w:rPr>
          <w:rFonts w:hint="default" w:ascii="Times New Roman" w:hAnsi="Times New Roman" w:eastAsia="方正仿宋_GBK" w:cs="Times New Roman"/>
          <w:sz w:val="32"/>
          <w:szCs w:val="32"/>
          <w:shd w:val="clear" w:color="auto" w:fill="FFFFFF"/>
        </w:rPr>
        <w:t>费用支出较年初预算数减少0.28万元，下降9.33%，</w:t>
      </w:r>
      <w:r>
        <w:rPr>
          <w:rFonts w:hint="default" w:ascii="Times New Roman" w:hAnsi="Times New Roman" w:eastAsia="方正仿宋_GBK" w:cs="Times New Roman"/>
          <w:color w:val="000000"/>
          <w:sz w:val="32"/>
          <w:szCs w:val="32"/>
          <w:shd w:val="clear" w:color="auto" w:fill="FFFFFF"/>
          <w:lang w:eastAsia="zh-Hans"/>
        </w:rPr>
        <w:t>主要原因是</w:t>
      </w:r>
      <w:r>
        <w:rPr>
          <w:rFonts w:hint="default" w:ascii="Times New Roman" w:hAnsi="Times New Roman" w:eastAsia="方正仿宋_GBK" w:cs="Times New Roman"/>
          <w:color w:val="000000"/>
          <w:sz w:val="32"/>
          <w:szCs w:val="32"/>
          <w:shd w:val="clear" w:color="auto" w:fill="FFFFFF"/>
        </w:rPr>
        <w:t>本着节约开支</w:t>
      </w:r>
      <w:r>
        <w:rPr>
          <w:rFonts w:hint="default" w:ascii="Times New Roman" w:hAnsi="Times New Roman" w:eastAsia="方正仿宋_GBK" w:cs="Times New Roman"/>
          <w:color w:val="000000"/>
          <w:sz w:val="32"/>
          <w:szCs w:val="32"/>
          <w:shd w:val="clear" w:color="auto" w:fill="FFFFFF"/>
          <w:lang w:eastAsia="zh-Hans"/>
        </w:rPr>
        <w:t>公务</w:t>
      </w:r>
      <w:r>
        <w:rPr>
          <w:rFonts w:hint="default" w:ascii="Times New Roman" w:hAnsi="Times New Roman" w:eastAsia="方正仿宋_GBK" w:cs="Times New Roman"/>
          <w:color w:val="000000"/>
          <w:sz w:val="32"/>
          <w:szCs w:val="32"/>
          <w:shd w:val="clear" w:color="auto" w:fill="FFFFFF"/>
        </w:rPr>
        <w:t>用</w:t>
      </w:r>
      <w:r>
        <w:rPr>
          <w:rFonts w:hint="default" w:ascii="Times New Roman" w:hAnsi="Times New Roman" w:eastAsia="方正仿宋_GBK" w:cs="Times New Roman"/>
          <w:color w:val="000000"/>
          <w:sz w:val="32"/>
          <w:szCs w:val="32"/>
          <w:shd w:val="clear" w:color="auto" w:fill="FFFFFF"/>
          <w:lang w:eastAsia="zh-Hans"/>
        </w:rPr>
        <w:t>车运行维护费。较上年支出数增加0.40万元，增长17.24%，主要原因是</w:t>
      </w:r>
      <w:r>
        <w:rPr>
          <w:rFonts w:hint="default" w:ascii="Times New Roman" w:hAnsi="Times New Roman" w:eastAsia="方正仿宋_GBK" w:cs="Times New Roman"/>
          <w:color w:val="000000"/>
          <w:sz w:val="32"/>
          <w:szCs w:val="32"/>
          <w:shd w:val="clear" w:color="auto" w:fill="FFFFFF"/>
        </w:rPr>
        <w:t>2023年送文化下乡活动比上年增加。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万元，费用支出较年初预算数减少0.30万元，下降100.00%，主要原因是2023年未发生接待费用。较上年支出数无增减。</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2.72</w:t>
      </w:r>
      <w:r>
        <w:rPr>
          <w:rFonts w:hint="default" w:ascii="Times New Roman" w:hAnsi="Times New Roman" w:eastAsia="方正仿宋_GBK" w:cs="Times New Roman"/>
          <w:sz w:val="32"/>
          <w:szCs w:val="32"/>
          <w:shd w:val="clear" w:color="auto" w:fill="FFFFFF"/>
        </w:rPr>
        <w:t>万元。</w:t>
      </w:r>
    </w:p>
    <w:p>
      <w:pPr>
        <w:pStyle w:val="6"/>
        <w:shd w:val="clear" w:color="auto"/>
        <w:spacing w:beforeAutospacing="0" w:afterAutospacing="0"/>
        <w:ind w:firstLine="723" w:firstLineChars="225"/>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万元，较上年决算数无增减，主要原因是2023年未发生会议费。本年度培训费支出</w:t>
      </w:r>
      <w:r>
        <w:rPr>
          <w:rFonts w:hint="default" w:ascii="Times New Roman" w:hAnsi="Times New Roman" w:eastAsia="方正仿宋_GBK" w:cs="Times New Roman"/>
          <w:sz w:val="32"/>
          <w:szCs w:val="32"/>
        </w:rPr>
        <w:t>2.28</w:t>
      </w:r>
      <w:r>
        <w:rPr>
          <w:rFonts w:hint="default" w:ascii="Times New Roman" w:hAnsi="Times New Roman" w:eastAsia="方正仿宋_GBK" w:cs="Times New Roman"/>
          <w:sz w:val="32"/>
          <w:szCs w:val="32"/>
          <w:shd w:val="clear" w:color="auto" w:fill="FFFFFF"/>
        </w:rPr>
        <w:t>万元，较上年决算数增加2.28万元，增长100.00%，主要原因是今年有各类专项培训活动，去年无培训支出。</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（二）机关运行经费情况说明</w:t>
      </w:r>
    </w:p>
    <w:p>
      <w:pPr>
        <w:pStyle w:val="11"/>
        <w:autoSpaceDE w:val="0"/>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我单位不在机关运行经费统计范围之内。</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（四）政府采购支出情况说明</w:t>
      </w:r>
    </w:p>
    <w:p>
      <w:pPr>
        <w:pStyle w:val="6"/>
        <w:spacing w:before="0" w:beforeAutospacing="0" w:after="0" w:afterAutospacing="0" w:line="57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rPr>
        <w:t>年度我单位未</w:t>
      </w:r>
      <w:r>
        <w:rPr>
          <w:rFonts w:hint="default" w:ascii="Times New Roman" w:hAnsi="Times New Roman" w:eastAsia="方正仿宋_GBK" w:cs="Times New Roman"/>
          <w:sz w:val="32"/>
          <w:szCs w:val="32"/>
        </w:rPr>
        <w:t>发生政府采购事项，无相关经费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eastAsia="zh-Hans"/>
        </w:rPr>
        <w:t>。</w:t>
      </w:r>
    </w:p>
    <w:p>
      <w:pPr>
        <w:pStyle w:val="6"/>
        <w:shd w:val="clear" w:color="auto"/>
        <w:spacing w:beforeAutospacing="0" w:afterAutospacing="0"/>
        <w:ind w:left="540" w:left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五、预算绩效管理情况说明</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（一）单位自评情况</w:t>
      </w:r>
    </w:p>
    <w:p>
      <w:pPr>
        <w:pStyle w:val="6"/>
        <w:widowControl w:val="0"/>
        <w:spacing w:before="0" w:beforeAutospacing="0" w:after="0" w:afterAutospacing="0" w:line="594" w:lineRule="exact"/>
        <w:ind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sz w:val="32"/>
          <w:szCs w:val="32"/>
          <w:shd w:val="clear" w:color="auto" w:fill="FFFFFF"/>
        </w:rPr>
        <w:t>根据预算绩效管理要求，我单位对文化馆免费开放项目、地方公共文化服务体系项目、巾帼夜校助推全民艺术普及项目等3个二级项目开展了绩效自评，涉及财政拨款项目支出资金224.3万元。</w:t>
      </w:r>
      <w:r>
        <w:rPr>
          <w:rFonts w:hint="default" w:ascii="Times New Roman" w:hAnsi="Times New Roman" w:eastAsia="方正仿宋_GBK" w:cs="Times New Roman"/>
          <w:color w:val="000000"/>
          <w:sz w:val="32"/>
          <w:szCs w:val="32"/>
          <w:shd w:val="clear" w:color="auto" w:fill="FFFFFF"/>
          <w:lang w:eastAsia="zh-Hans"/>
        </w:rPr>
        <w:t>从评价情况来看，项目立项较为规范，绩效目标明确，预算编制合理，管理科学规范，资金到位及时，总体完成情况较好，</w:t>
      </w:r>
      <w:r>
        <w:rPr>
          <w:rFonts w:hint="default" w:ascii="Times New Roman" w:hAnsi="Times New Roman" w:eastAsia="方正仿宋_GBK" w:cs="Times New Roman"/>
          <w:sz w:val="32"/>
          <w:szCs w:val="32"/>
        </w:rPr>
        <w:t>为群众提供各种文化服务，</w:t>
      </w:r>
      <w:r>
        <w:rPr>
          <w:rFonts w:hint="default" w:ascii="Times New Roman" w:hAnsi="Times New Roman" w:eastAsia="方正仿宋_GBK" w:cs="Times New Roman"/>
          <w:color w:val="000000"/>
          <w:sz w:val="32"/>
          <w:szCs w:val="32"/>
          <w:shd w:val="clear" w:color="auto" w:fill="FFFFFF"/>
          <w:lang w:eastAsia="zh-Hans"/>
        </w:rPr>
        <w:t>发挥社会效益，项目基本达到了预期绩效目标。</w:t>
      </w:r>
    </w:p>
    <w:tbl>
      <w:tblPr>
        <w:tblStyle w:val="7"/>
        <w:tblpPr w:leftFromText="180" w:rightFromText="180" w:vertAnchor="text" w:horzAnchor="page" w:tblpX="639" w:tblpY="597"/>
        <w:tblOverlap w:val="never"/>
        <w:tblW w:w="11115" w:type="dxa"/>
        <w:tblInd w:w="0" w:type="dxa"/>
        <w:tblLayout w:type="autofit"/>
        <w:tblCellMar>
          <w:top w:w="0" w:type="dxa"/>
          <w:left w:w="0" w:type="dxa"/>
          <w:bottom w:w="0" w:type="dxa"/>
          <w:right w:w="0" w:type="dxa"/>
        </w:tblCellMar>
      </w:tblPr>
      <w:tblGrid>
        <w:gridCol w:w="1053"/>
        <w:gridCol w:w="910"/>
        <w:gridCol w:w="748"/>
        <w:gridCol w:w="1013"/>
        <w:gridCol w:w="975"/>
        <w:gridCol w:w="1654"/>
        <w:gridCol w:w="759"/>
        <w:gridCol w:w="1424"/>
        <w:gridCol w:w="695"/>
        <w:gridCol w:w="753"/>
        <w:gridCol w:w="1131"/>
      </w:tblGrid>
      <w:tr>
        <w:tblPrEx>
          <w:tblCellMar>
            <w:top w:w="0" w:type="dxa"/>
            <w:left w:w="0" w:type="dxa"/>
            <w:bottom w:w="0" w:type="dxa"/>
            <w:right w:w="0" w:type="dxa"/>
          </w:tblCellMar>
        </w:tblPrEx>
        <w:trPr>
          <w:trHeight w:val="700" w:hRule="atLeast"/>
        </w:trPr>
        <w:tc>
          <w:tcPr>
            <w:tcW w:w="111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sz w:val="28"/>
                <w:szCs w:val="28"/>
              </w:rPr>
            </w:pPr>
            <w:r>
              <w:rPr>
                <w:rFonts w:hint="default" w:ascii="Times New Roman" w:hAnsi="Times New Roman" w:eastAsia="微软雅黑" w:cs="Times New Roman"/>
                <w:b/>
                <w:color w:val="000000"/>
                <w:sz w:val="28"/>
                <w:szCs w:val="28"/>
                <w:lang w:bidi="ar"/>
              </w:rPr>
              <w:t>2023年度二级项目绩效自评表</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文化馆免费开放项目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50023023T000002802219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余莹</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17784090309</w:t>
            </w:r>
          </w:p>
        </w:tc>
      </w:tr>
      <w:tr>
        <w:tblPrEx>
          <w:tblCellMar>
            <w:top w:w="0" w:type="dxa"/>
            <w:left w:w="0" w:type="dxa"/>
            <w:bottom w:w="0" w:type="dxa"/>
            <w:right w:w="0" w:type="dxa"/>
          </w:tblCellMar>
        </w:tblPrEx>
        <w:trPr>
          <w:trHeight w:val="400" w:hRule="atLeast"/>
        </w:trPr>
        <w:tc>
          <w:tcPr>
            <w:tcW w:w="111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520" w:hRule="atLeast"/>
        </w:trPr>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0"/>
                <w:szCs w:val="20"/>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6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1,308,405.10 </w:t>
            </w:r>
          </w:p>
        </w:tc>
        <w:tc>
          <w:tcPr>
            <w:tcW w:w="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1,308,405.10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6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1,308,405.10 </w:t>
            </w:r>
          </w:p>
        </w:tc>
        <w:tc>
          <w:tcPr>
            <w:tcW w:w="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1,308,405.10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tblPrEx>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6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1,308,405.10 </w:t>
            </w:r>
          </w:p>
        </w:tc>
        <w:tc>
          <w:tcPr>
            <w:tcW w:w="7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1,308,405.10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80" w:hRule="atLeast"/>
        </w:trPr>
        <w:tc>
          <w:tcPr>
            <w:tcW w:w="111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380" w:hRule="atLeast"/>
        </w:trPr>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580" w:hRule="atLeast"/>
        </w:trPr>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依据国家基本文化服务标准免费开放需要，促进专业交流、丰富群众文化生活。</w:t>
            </w:r>
          </w:p>
        </w:tc>
        <w:tc>
          <w:tcPr>
            <w:tcW w:w="4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依据国家基本文化服务标准免费开放需要，促进专业交流、丰富群众文化生活。</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已完成</w:t>
            </w:r>
          </w:p>
        </w:tc>
      </w:tr>
      <w:tr>
        <w:tblPrEx>
          <w:tblCellMar>
            <w:top w:w="0" w:type="dxa"/>
            <w:left w:w="0" w:type="dxa"/>
            <w:bottom w:w="0" w:type="dxa"/>
            <w:right w:w="0" w:type="dxa"/>
          </w:tblCellMar>
        </w:tblPrEx>
        <w:trPr>
          <w:trHeight w:val="380" w:hRule="atLeast"/>
        </w:trPr>
        <w:tc>
          <w:tcPr>
            <w:tcW w:w="111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文化生活质量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丰富群众生活</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学员及群众满意度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水电费及教师授课费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bl>
    <w:p>
      <w:pPr>
        <w:pStyle w:val="6"/>
        <w:widowControl w:val="0"/>
        <w:spacing w:before="0" w:beforeAutospacing="0" w:after="0" w:afterAutospacing="0" w:line="594" w:lineRule="exact"/>
        <w:ind w:firstLine="640" w:firstLineChars="200"/>
        <w:rPr>
          <w:rFonts w:hint="default" w:ascii="Times New Roman" w:hAnsi="Times New Roman" w:eastAsia="方正仿宋_GBK" w:cs="Times New Roman"/>
          <w:color w:val="000000"/>
          <w:sz w:val="32"/>
          <w:szCs w:val="32"/>
          <w:shd w:val="clear" w:color="auto" w:fill="FFFFFF"/>
          <w:lang w:eastAsia="zh-Hans"/>
        </w:rPr>
      </w:pPr>
    </w:p>
    <w:p>
      <w:pPr>
        <w:pStyle w:val="6"/>
        <w:widowControl w:val="0"/>
        <w:spacing w:before="0" w:beforeAutospacing="0" w:after="0" w:afterAutospacing="0" w:line="594" w:lineRule="exact"/>
        <w:ind w:firstLine="640" w:firstLineChars="200"/>
        <w:rPr>
          <w:rFonts w:hint="default" w:ascii="Times New Roman" w:hAnsi="Times New Roman" w:eastAsia="方正仿宋_GBK" w:cs="Times New Roman"/>
          <w:color w:val="000000"/>
          <w:sz w:val="32"/>
          <w:szCs w:val="32"/>
          <w:shd w:val="clear" w:color="auto" w:fill="FFFFFF"/>
          <w:lang w:eastAsia="zh-Hans"/>
        </w:rPr>
      </w:pPr>
    </w:p>
    <w:tbl>
      <w:tblPr>
        <w:tblStyle w:val="7"/>
        <w:tblW w:w="10172" w:type="dxa"/>
        <w:tblInd w:w="-672" w:type="dxa"/>
        <w:tblLayout w:type="autofit"/>
        <w:tblCellMar>
          <w:top w:w="0" w:type="dxa"/>
          <w:left w:w="0" w:type="dxa"/>
          <w:bottom w:w="0" w:type="dxa"/>
          <w:right w:w="0" w:type="dxa"/>
        </w:tblCellMar>
      </w:tblPr>
      <w:tblGrid>
        <w:gridCol w:w="1338"/>
        <w:gridCol w:w="647"/>
        <w:gridCol w:w="603"/>
        <w:gridCol w:w="774"/>
        <w:gridCol w:w="1035"/>
        <w:gridCol w:w="1385"/>
        <w:gridCol w:w="859"/>
        <w:gridCol w:w="1145"/>
        <w:gridCol w:w="571"/>
        <w:gridCol w:w="679"/>
        <w:gridCol w:w="1136"/>
      </w:tblGrid>
      <w:tr>
        <w:tblPrEx>
          <w:tblCellMar>
            <w:top w:w="0" w:type="dxa"/>
            <w:left w:w="0" w:type="dxa"/>
            <w:bottom w:w="0" w:type="dxa"/>
            <w:right w:w="0" w:type="dxa"/>
          </w:tblCellMar>
        </w:tblPrEx>
        <w:trPr>
          <w:trHeight w:val="565" w:hRule="atLeast"/>
        </w:trPr>
        <w:tc>
          <w:tcPr>
            <w:tcW w:w="1017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sz w:val="32"/>
                <w:szCs w:val="32"/>
              </w:rPr>
            </w:pPr>
            <w:r>
              <w:rPr>
                <w:rFonts w:hint="default" w:ascii="Times New Roman" w:hAnsi="Times New Roman" w:eastAsia="微软雅黑" w:cs="Times New Roman"/>
                <w:b/>
                <w:color w:val="000000"/>
                <w:sz w:val="32"/>
                <w:szCs w:val="32"/>
                <w:lang w:bidi="ar"/>
              </w:rPr>
              <w:t>2023年度二级项目绩效自评表</w:t>
            </w:r>
          </w:p>
        </w:tc>
      </w:tr>
      <w:tr>
        <w:tblPrEx>
          <w:tblCellMar>
            <w:top w:w="0" w:type="dxa"/>
            <w:left w:w="0" w:type="dxa"/>
            <w:bottom w:w="0" w:type="dxa"/>
            <w:right w:w="0" w:type="dxa"/>
          </w:tblCellMar>
        </w:tblPrEx>
        <w:trPr>
          <w:trHeight w:val="837"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地方公共文化服务体系项目</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50023023T000002866359</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837"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2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余莹</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17784090309</w:t>
            </w:r>
          </w:p>
        </w:tc>
      </w:tr>
      <w:tr>
        <w:tblPrEx>
          <w:tblCellMar>
            <w:top w:w="0" w:type="dxa"/>
            <w:left w:w="0" w:type="dxa"/>
            <w:bottom w:w="0" w:type="dxa"/>
            <w:right w:w="0" w:type="dxa"/>
          </w:tblCellMar>
        </w:tblPrEx>
        <w:trPr>
          <w:trHeight w:val="565" w:hRule="atLeast"/>
        </w:trPr>
        <w:tc>
          <w:tcPr>
            <w:tcW w:w="1017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565" w:hRule="atLeast"/>
        </w:trPr>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0"/>
                <w:szCs w:val="20"/>
              </w:rPr>
            </w:pP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565" w:hRule="atLeast"/>
        </w:trPr>
        <w:tc>
          <w:tcPr>
            <w:tcW w:w="13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6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3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744,252.95 </w:t>
            </w:r>
          </w:p>
        </w:tc>
        <w:tc>
          <w:tcPr>
            <w:tcW w:w="8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744,252.95 </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837" w:hRule="atLeast"/>
        </w:trPr>
        <w:tc>
          <w:tcPr>
            <w:tcW w:w="13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6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3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744,252.95 </w:t>
            </w:r>
          </w:p>
        </w:tc>
        <w:tc>
          <w:tcPr>
            <w:tcW w:w="8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744,252.95 </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tblPrEx>
          <w:tblCellMar>
            <w:top w:w="0" w:type="dxa"/>
            <w:left w:w="0" w:type="dxa"/>
            <w:bottom w:w="0" w:type="dxa"/>
            <w:right w:w="0" w:type="dxa"/>
          </w:tblCellMar>
        </w:tblPrEx>
        <w:trPr>
          <w:trHeight w:val="565" w:hRule="atLeast"/>
        </w:trPr>
        <w:tc>
          <w:tcPr>
            <w:tcW w:w="13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6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7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3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744,252.95 </w:t>
            </w:r>
          </w:p>
        </w:tc>
        <w:tc>
          <w:tcPr>
            <w:tcW w:w="8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744,252.95 </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5" w:hRule="atLeast"/>
        </w:trPr>
        <w:tc>
          <w:tcPr>
            <w:tcW w:w="1017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352" w:hRule="atLeast"/>
        </w:trPr>
        <w:tc>
          <w:tcPr>
            <w:tcW w:w="33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364" w:hRule="atLeast"/>
        </w:trPr>
        <w:tc>
          <w:tcPr>
            <w:tcW w:w="33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用于参加公共文化服务活动</w:t>
            </w:r>
          </w:p>
        </w:tc>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用于参加公共文化服务活动</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已完成</w:t>
            </w:r>
          </w:p>
        </w:tc>
      </w:tr>
      <w:tr>
        <w:tblPrEx>
          <w:tblCellMar>
            <w:top w:w="0" w:type="dxa"/>
            <w:left w:w="0" w:type="dxa"/>
            <w:bottom w:w="0" w:type="dxa"/>
            <w:right w:w="0" w:type="dxa"/>
          </w:tblCellMar>
        </w:tblPrEx>
        <w:trPr>
          <w:trHeight w:val="565" w:hRule="atLeast"/>
        </w:trPr>
        <w:tc>
          <w:tcPr>
            <w:tcW w:w="1017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56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56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活动次数</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场次</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持续影响</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74"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群众满意度</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场次</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9999</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9999</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bl>
    <w:p>
      <w:pPr>
        <w:pStyle w:val="6"/>
        <w:widowControl w:val="0"/>
        <w:spacing w:before="0" w:beforeAutospacing="0" w:after="0" w:afterAutospacing="0" w:line="594" w:lineRule="exact"/>
        <w:rPr>
          <w:rFonts w:hint="default" w:ascii="Times New Roman" w:hAnsi="Times New Roman" w:eastAsia="方正仿宋_GBK" w:cs="Times New Roman"/>
          <w:color w:val="000000"/>
          <w:sz w:val="32"/>
          <w:szCs w:val="32"/>
          <w:shd w:val="clear" w:color="auto" w:fill="FFFFFF"/>
          <w:lang w:eastAsia="zh-Hans"/>
        </w:rPr>
      </w:pPr>
    </w:p>
    <w:tbl>
      <w:tblPr>
        <w:tblStyle w:val="7"/>
        <w:tblW w:w="10799" w:type="dxa"/>
        <w:tblInd w:w="-822" w:type="dxa"/>
        <w:tblLayout w:type="autofit"/>
        <w:tblCellMar>
          <w:top w:w="0" w:type="dxa"/>
          <w:left w:w="0" w:type="dxa"/>
          <w:bottom w:w="0" w:type="dxa"/>
          <w:right w:w="0" w:type="dxa"/>
        </w:tblCellMar>
      </w:tblPr>
      <w:tblGrid>
        <w:gridCol w:w="1555"/>
        <w:gridCol w:w="715"/>
        <w:gridCol w:w="615"/>
        <w:gridCol w:w="975"/>
        <w:gridCol w:w="964"/>
        <w:gridCol w:w="1429"/>
        <w:gridCol w:w="889"/>
        <w:gridCol w:w="1230"/>
        <w:gridCol w:w="645"/>
        <w:gridCol w:w="675"/>
        <w:gridCol w:w="1130"/>
      </w:tblGrid>
      <w:tr>
        <w:tblPrEx>
          <w:tblCellMar>
            <w:top w:w="0" w:type="dxa"/>
            <w:left w:w="0" w:type="dxa"/>
            <w:bottom w:w="0" w:type="dxa"/>
            <w:right w:w="0" w:type="dxa"/>
          </w:tblCellMar>
        </w:tblPrEx>
        <w:trPr>
          <w:trHeight w:val="540" w:hRule="atLeast"/>
        </w:trPr>
        <w:tc>
          <w:tcPr>
            <w:tcW w:w="107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sz w:val="28"/>
                <w:szCs w:val="28"/>
              </w:rPr>
            </w:pPr>
            <w:r>
              <w:rPr>
                <w:rFonts w:hint="default" w:ascii="Times New Roman" w:hAnsi="Times New Roman" w:eastAsia="微软雅黑" w:cs="Times New Roman"/>
                <w:b/>
                <w:color w:val="000000"/>
                <w:sz w:val="28"/>
                <w:szCs w:val="28"/>
                <w:lang w:bidi="ar"/>
              </w:rPr>
              <w:t>2023年度二级项目绩效自评表</w:t>
            </w: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巾帼夜校助推全民艺术普及项目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50023022T000002138176</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余莹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17784090309</w:t>
            </w:r>
          </w:p>
        </w:tc>
      </w:tr>
      <w:tr>
        <w:tblPrEx>
          <w:tblCellMar>
            <w:top w:w="0" w:type="dxa"/>
            <w:left w:w="0" w:type="dxa"/>
            <w:bottom w:w="0" w:type="dxa"/>
            <w:right w:w="0" w:type="dxa"/>
          </w:tblCellMar>
        </w:tblPrEx>
        <w:trPr>
          <w:trHeight w:val="420" w:hRule="atLeast"/>
        </w:trPr>
        <w:tc>
          <w:tcPr>
            <w:tcW w:w="1079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500" w:hRule="atLeast"/>
        </w:trPr>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000000"/>
                <w:sz w:val="20"/>
                <w:szCs w:val="20"/>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7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4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190,327.85 </w:t>
            </w:r>
          </w:p>
        </w:tc>
        <w:tc>
          <w:tcPr>
            <w:tcW w:w="8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190,327.85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7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4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190,327.85 </w:t>
            </w:r>
          </w:p>
        </w:tc>
        <w:tc>
          <w:tcPr>
            <w:tcW w:w="8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190,327.85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7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6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4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190,327.85 </w:t>
            </w:r>
          </w:p>
        </w:tc>
        <w:tc>
          <w:tcPr>
            <w:tcW w:w="8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190,327.85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60" w:hRule="atLeast"/>
        </w:trPr>
        <w:tc>
          <w:tcPr>
            <w:tcW w:w="1079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500" w:hRule="atLeast"/>
        </w:trPr>
        <w:tc>
          <w:tcPr>
            <w:tcW w:w="38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4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580" w:hRule="atLeast"/>
        </w:trPr>
        <w:tc>
          <w:tcPr>
            <w:tcW w:w="38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开展巾帼夜校助推全民艺术普及活动</w:t>
            </w:r>
          </w:p>
        </w:tc>
        <w:tc>
          <w:tcPr>
            <w:tcW w:w="44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开展巾帼夜校助推全民艺术普及活动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已完成</w:t>
            </w:r>
          </w:p>
        </w:tc>
      </w:tr>
      <w:tr>
        <w:tblPrEx>
          <w:tblCellMar>
            <w:top w:w="0" w:type="dxa"/>
            <w:left w:w="0" w:type="dxa"/>
            <w:bottom w:w="0" w:type="dxa"/>
            <w:right w:w="0" w:type="dxa"/>
          </w:tblCellMar>
        </w:tblPrEx>
        <w:trPr>
          <w:trHeight w:val="440" w:hRule="atLeast"/>
        </w:trPr>
        <w:tc>
          <w:tcPr>
            <w:tcW w:w="1079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文化活动质量</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文化持续性</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120000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群众满意度</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121000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121000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color w:val="000000"/>
                <w:sz w:val="20"/>
                <w:szCs w:val="20"/>
              </w:rPr>
            </w:pPr>
          </w:p>
        </w:tc>
      </w:tr>
    </w:tbl>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（二）单位绩效评价情况</w:t>
      </w:r>
    </w:p>
    <w:p>
      <w:pPr>
        <w:pStyle w:val="11"/>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autoSpaceDE w:val="0"/>
        <w:ind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（三）财政绩效评价情况</w:t>
      </w:r>
    </w:p>
    <w:p>
      <w:pPr>
        <w:pStyle w:val="11"/>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shd w:val="clear" w:color="auto"/>
        <w:spacing w:beforeAutospacing="0" w:afterAutospacing="0"/>
        <w:ind w:firstLine="723" w:firstLineChars="225"/>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（一）财政拨款收入：</w:t>
      </w:r>
      <w:r>
        <w:rPr>
          <w:rFonts w:hint="default" w:ascii="Times New Roman" w:hAnsi="Times New Roman" w:eastAsia="方正仿宋_GBK" w:cs="Times New Roman"/>
          <w:kern w:val="2"/>
          <w:sz w:val="32"/>
          <w:szCs w:val="32"/>
          <w:lang w:eastAsia="zh-Hans"/>
        </w:rPr>
        <w:t>指本年度从本级财政部门取得的财政拨款，包括一般公共预算财政拨款和政府性基金预算财政拨款。</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（二）事业收入：</w:t>
      </w:r>
      <w:r>
        <w:rPr>
          <w:rFonts w:hint="default" w:ascii="Times New Roman" w:hAnsi="Times New Roman" w:eastAsia="方正仿宋_GBK" w:cs="Times New Roman"/>
          <w:kern w:val="2"/>
          <w:sz w:val="32"/>
          <w:szCs w:val="32"/>
          <w:lang w:eastAsia="zh-Hans"/>
        </w:rPr>
        <w:t>指事业单位开展专业业务活动及其辅助活动取得的现金流入；事业单位收到的财政专户实际核拨的教育收费等资金在此反映。</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三</w:t>
      </w:r>
      <w:r>
        <w:rPr>
          <w:rStyle w:val="10"/>
          <w:rFonts w:hint="default" w:ascii="Times New Roman" w:hAnsi="Times New Roman" w:eastAsia="方正楷体_GBK" w:cs="Times New Roman"/>
          <w:b w:val="0"/>
          <w:sz w:val="32"/>
          <w:szCs w:val="32"/>
          <w:lang w:eastAsia="zh-Hans"/>
        </w:rPr>
        <w:t>）其他收入：</w:t>
      </w:r>
      <w:r>
        <w:rPr>
          <w:rFonts w:hint="default" w:ascii="Times New Roman" w:hAnsi="Times New Roman" w:eastAsia="方正仿宋_GBK" w:cs="Times New Roman"/>
          <w:kern w:val="2"/>
          <w:sz w:val="32"/>
          <w:szCs w:val="32"/>
          <w:lang w:eastAsia="zh-Hans"/>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四</w:t>
      </w:r>
      <w:r>
        <w:rPr>
          <w:rStyle w:val="10"/>
          <w:rFonts w:hint="default" w:ascii="Times New Roman" w:hAnsi="Times New Roman" w:eastAsia="方正楷体_GBK" w:cs="Times New Roman"/>
          <w:b w:val="0"/>
          <w:sz w:val="32"/>
          <w:szCs w:val="32"/>
          <w:lang w:eastAsia="zh-Hans"/>
        </w:rPr>
        <w:t>）使用非财政拨款结余：</w:t>
      </w:r>
      <w:r>
        <w:rPr>
          <w:rFonts w:hint="default" w:ascii="Times New Roman" w:hAnsi="Times New Roman" w:eastAsia="方正仿宋_GBK" w:cs="Times New Roman"/>
          <w:kern w:val="2"/>
          <w:sz w:val="32"/>
          <w:szCs w:val="32"/>
          <w:lang w:eastAsia="zh-Hans"/>
        </w:rPr>
        <w:t>指单位在当年的“财政拨款收入”、“事业收入”、“经营收入”、“其他收入”等不足以安排当年支出的情况下，使用以前年度积累的非财政拨款结余弥补本年度收支缺口的资金。</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五</w:t>
      </w:r>
      <w:r>
        <w:rPr>
          <w:rStyle w:val="10"/>
          <w:rFonts w:hint="default" w:ascii="Times New Roman" w:hAnsi="Times New Roman" w:eastAsia="方正楷体_GBK" w:cs="Times New Roman"/>
          <w:b w:val="0"/>
          <w:sz w:val="32"/>
          <w:szCs w:val="32"/>
          <w:lang w:eastAsia="zh-Hans"/>
        </w:rPr>
        <w:t>）年初结转和结余：</w:t>
      </w:r>
      <w:r>
        <w:rPr>
          <w:rFonts w:hint="default" w:ascii="Times New Roman" w:hAnsi="Times New Roman" w:eastAsia="方正仿宋_GBK" w:cs="Times New Roman"/>
          <w:kern w:val="2"/>
          <w:sz w:val="32"/>
          <w:szCs w:val="32"/>
          <w:lang w:eastAsia="zh-Hans"/>
        </w:rPr>
        <w:t>指单位上年结转本年使用的基本支出结转、项目支出结转和结余、经营结余。</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六</w:t>
      </w:r>
      <w:r>
        <w:rPr>
          <w:rStyle w:val="10"/>
          <w:rFonts w:hint="default" w:ascii="Times New Roman" w:hAnsi="Times New Roman" w:eastAsia="方正楷体_GBK" w:cs="Times New Roman"/>
          <w:b w:val="0"/>
          <w:sz w:val="32"/>
          <w:szCs w:val="32"/>
          <w:lang w:eastAsia="zh-Hans"/>
        </w:rPr>
        <w:t>）结余分配：</w:t>
      </w:r>
      <w:r>
        <w:rPr>
          <w:rFonts w:hint="default" w:ascii="Times New Roman" w:hAnsi="Times New Roman" w:eastAsia="方正仿宋_GBK" w:cs="Times New Roman"/>
          <w:kern w:val="2"/>
          <w:sz w:val="32"/>
          <w:szCs w:val="32"/>
          <w:lang w:eastAsia="zh-Hans"/>
        </w:rPr>
        <w:t>指单位按照国家有关规定，缴纳所得税、提取专用基金、转入非财政拨款结余等当年结余的分配情况。</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七</w:t>
      </w:r>
      <w:r>
        <w:rPr>
          <w:rStyle w:val="10"/>
          <w:rFonts w:hint="default" w:ascii="Times New Roman" w:hAnsi="Times New Roman" w:eastAsia="方正楷体_GBK" w:cs="Times New Roman"/>
          <w:b w:val="0"/>
          <w:sz w:val="32"/>
          <w:szCs w:val="32"/>
          <w:lang w:eastAsia="zh-Hans"/>
        </w:rPr>
        <w:t>）年末结转和结余：</w:t>
      </w:r>
      <w:r>
        <w:rPr>
          <w:rFonts w:hint="default" w:ascii="Times New Roman" w:hAnsi="Times New Roman" w:eastAsia="方正仿宋_GBK" w:cs="Times New Roman"/>
          <w:kern w:val="2"/>
          <w:sz w:val="32"/>
          <w:szCs w:val="32"/>
          <w:lang w:eastAsia="zh-Hans"/>
        </w:rPr>
        <w:t>指单位结转下年的基本支出结转、项目支出结转和结余、经营结余。</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八</w:t>
      </w:r>
      <w:r>
        <w:rPr>
          <w:rStyle w:val="10"/>
          <w:rFonts w:hint="default" w:ascii="Times New Roman" w:hAnsi="Times New Roman" w:eastAsia="方正楷体_GBK" w:cs="Times New Roman"/>
          <w:b w:val="0"/>
          <w:sz w:val="32"/>
          <w:szCs w:val="32"/>
          <w:lang w:eastAsia="zh-Hans"/>
        </w:rPr>
        <w:t>）基本支出：</w:t>
      </w:r>
      <w:r>
        <w:rPr>
          <w:rFonts w:hint="default" w:ascii="Times New Roman" w:hAnsi="Times New Roman" w:eastAsia="方正仿宋_GBK" w:cs="Times New Roman"/>
          <w:kern w:val="2"/>
          <w:sz w:val="32"/>
          <w:szCs w:val="32"/>
          <w:lang w:eastAsia="zh-Hans"/>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九</w:t>
      </w:r>
      <w:r>
        <w:rPr>
          <w:rStyle w:val="10"/>
          <w:rFonts w:hint="default" w:ascii="Times New Roman" w:hAnsi="Times New Roman" w:eastAsia="方正楷体_GBK" w:cs="Times New Roman"/>
          <w:b w:val="0"/>
          <w:sz w:val="32"/>
          <w:szCs w:val="32"/>
          <w:lang w:eastAsia="zh-Hans"/>
        </w:rPr>
        <w:t>）项目支出：</w:t>
      </w:r>
      <w:r>
        <w:rPr>
          <w:rFonts w:hint="default" w:ascii="Times New Roman" w:hAnsi="Times New Roman" w:eastAsia="方正仿宋_GBK" w:cs="Times New Roman"/>
          <w:kern w:val="2"/>
          <w:sz w:val="32"/>
          <w:szCs w:val="32"/>
          <w:lang w:eastAsia="zh-Hans"/>
        </w:rPr>
        <w:t>指在基本支出之外为完成特定行政任务和事业发展目标所发生的支出。</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（十）“三公”经费：</w:t>
      </w:r>
      <w:r>
        <w:rPr>
          <w:rFonts w:hint="default" w:ascii="Times New Roman" w:hAnsi="Times New Roman" w:eastAsia="方正仿宋_GBK" w:cs="Times New Roman"/>
          <w:kern w:val="2"/>
          <w:sz w:val="32"/>
          <w:szCs w:val="32"/>
          <w:lang w:eastAsia="zh-Hans"/>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一</w:t>
      </w:r>
      <w:r>
        <w:rPr>
          <w:rStyle w:val="10"/>
          <w:rFonts w:hint="default" w:ascii="Times New Roman" w:hAnsi="Times New Roman" w:eastAsia="方正楷体_GBK" w:cs="Times New Roman"/>
          <w:b w:val="0"/>
          <w:sz w:val="32"/>
          <w:szCs w:val="32"/>
          <w:lang w:eastAsia="zh-Hans"/>
        </w:rPr>
        <w:t>）工资福利支出（支出经济分类科目类级）：</w:t>
      </w:r>
      <w:r>
        <w:rPr>
          <w:rFonts w:hint="default" w:ascii="Times New Roman" w:hAnsi="Times New Roman" w:eastAsia="方正仿宋_GBK" w:cs="Times New Roman"/>
          <w:kern w:val="2"/>
          <w:sz w:val="32"/>
          <w:szCs w:val="32"/>
          <w:lang w:eastAsia="zh-Hans"/>
        </w:rPr>
        <w:t>反映单位开支的在职职工和编制外长期聘用人员的各类劳动报酬，以及为上述人员缴纳的各项社会保险费等。</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二</w:t>
      </w:r>
      <w:r>
        <w:rPr>
          <w:rStyle w:val="10"/>
          <w:rFonts w:hint="default" w:ascii="Times New Roman" w:hAnsi="Times New Roman" w:eastAsia="方正楷体_GBK" w:cs="Times New Roman"/>
          <w:b w:val="0"/>
          <w:sz w:val="32"/>
          <w:szCs w:val="32"/>
          <w:lang w:eastAsia="zh-Hans"/>
        </w:rPr>
        <w:t>）商品和服务支出（支出经济分类科目类级）：</w:t>
      </w:r>
      <w:r>
        <w:rPr>
          <w:rFonts w:hint="default" w:ascii="Times New Roman" w:hAnsi="Times New Roman" w:eastAsia="方正仿宋_GBK" w:cs="Times New Roman"/>
          <w:kern w:val="2"/>
          <w:sz w:val="32"/>
          <w:szCs w:val="32"/>
          <w:lang w:eastAsia="zh-Hans"/>
        </w:rPr>
        <w:t>反映单位购买商品和服务的支出（不包括用于购置固定资产的支出、战略性和应急储备支出）。</w:t>
      </w:r>
    </w:p>
    <w:p>
      <w:pPr>
        <w:pStyle w:val="6"/>
        <w:shd w:val="clear" w:color="auto"/>
        <w:spacing w:before="0" w:beforeAutospacing="0" w:after="0" w:afterAutospacing="0"/>
        <w:ind w:firstLine="640" w:firstLineChars="200"/>
        <w:rPr>
          <w:rFonts w:hint="default" w:ascii="Times New Roman" w:hAnsi="Times New Roman" w:cs="Times New Roman"/>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三</w:t>
      </w:r>
      <w:r>
        <w:rPr>
          <w:rStyle w:val="10"/>
          <w:rFonts w:hint="default" w:ascii="Times New Roman" w:hAnsi="Times New Roman" w:eastAsia="方正楷体_GBK" w:cs="Times New Roman"/>
          <w:b w:val="0"/>
          <w:sz w:val="32"/>
          <w:szCs w:val="32"/>
          <w:lang w:eastAsia="zh-Hans"/>
        </w:rPr>
        <w:t>）对个人和家庭的补助（支出经济分类科目类级）：</w:t>
      </w:r>
      <w:r>
        <w:rPr>
          <w:rFonts w:hint="default" w:ascii="Times New Roman" w:hAnsi="Times New Roman" w:cs="Times New Roman"/>
          <w:sz w:val="32"/>
          <w:szCs w:val="32"/>
          <w:lang w:eastAsia="zh-Hans"/>
        </w:rPr>
        <w:t>反映用于对个人和家庭的补助支出。</w:t>
      </w:r>
    </w:p>
    <w:p>
      <w:pPr>
        <w:pStyle w:val="6"/>
        <w:shd w:val="clear" w:color="auto"/>
        <w:spacing w:before="0" w:beforeAutospacing="0" w:after="0" w:afterAutospacing="0"/>
        <w:ind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四</w:t>
      </w:r>
      <w:r>
        <w:rPr>
          <w:rStyle w:val="10"/>
          <w:rFonts w:hint="default" w:ascii="Times New Roman" w:hAnsi="Times New Roman" w:eastAsia="方正楷体_GBK" w:cs="Times New Roman"/>
          <w:b w:val="0"/>
          <w:sz w:val="32"/>
          <w:szCs w:val="32"/>
          <w:lang w:eastAsia="zh-Hans"/>
        </w:rPr>
        <w:t>）其他资本性支出（支出经济分类科目类级）：</w:t>
      </w:r>
      <w:r>
        <w:rPr>
          <w:rFonts w:hint="default" w:ascii="Times New Roman" w:hAnsi="Times New Roman" w:eastAsia="方正仿宋_GBK" w:cs="Times New Roman"/>
          <w:kern w:val="2"/>
          <w:sz w:val="32"/>
          <w:szCs w:val="32"/>
          <w:lang w:eastAsia="zh-Hans"/>
        </w:rPr>
        <w:t>反映非各级发展与改革部门集中安排的用于购置固定资产、战略性和应急性储备、土地和无形资产，以及构建基础设施、大型修缮和财政支持企业更新改造所发生的支出。</w:t>
      </w:r>
    </w:p>
    <w:p>
      <w:pPr>
        <w:pStyle w:val="6"/>
        <w:spacing w:before="0" w:beforeAutospacing="0" w:after="0" w:afterAutospacing="0" w:line="574" w:lineRule="exact"/>
        <w:ind w:firstLine="640" w:firstLineChars="200"/>
        <w:rPr>
          <w:rStyle w:val="10"/>
          <w:rFonts w:hint="default" w:ascii="Times New Roman" w:hAnsi="Times New Roman" w:eastAsia="方正黑体_GBK" w:cs="Times New Roman"/>
          <w:b w:val="0"/>
          <w:sz w:val="32"/>
          <w:szCs w:val="32"/>
          <w:lang w:eastAsia="zh-Hans"/>
        </w:rPr>
      </w:pPr>
      <w:r>
        <w:rPr>
          <w:rStyle w:val="10"/>
          <w:rFonts w:hint="default" w:ascii="Times New Roman" w:hAnsi="Times New Roman" w:eastAsia="方正黑体_GBK" w:cs="Times New Roman"/>
          <w:b w:val="0"/>
          <w:sz w:val="32"/>
          <w:szCs w:val="32"/>
          <w:lang w:eastAsia="zh-Hans"/>
        </w:rPr>
        <w:t>七、决算公开联系方式及信息反馈渠道</w:t>
      </w:r>
    </w:p>
    <w:p>
      <w:pPr>
        <w:pStyle w:val="6"/>
        <w:snapToGrid w:val="0"/>
        <w:spacing w:before="0" w:beforeAutospacing="0" w:after="0" w:afterAutospacing="0" w:line="600" w:lineRule="exact"/>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本单位决算公开信息反馈和联系方式：余莹</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023-70709761</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重庆市丰都县文化馆</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458.37</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440.07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103.15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458.37</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571.87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113.51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571.87</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571.87</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4994" w:type="pct"/>
        <w:tblInd w:w="0" w:type="dxa"/>
        <w:tblLayout w:type="fixed"/>
        <w:tblCellMar>
          <w:top w:w="0" w:type="dxa"/>
          <w:left w:w="0" w:type="dxa"/>
          <w:bottom w:w="0" w:type="dxa"/>
          <w:right w:w="0" w:type="dxa"/>
        </w:tblCellMar>
      </w:tblPr>
      <w:tblGrid>
        <w:gridCol w:w="1698"/>
        <w:gridCol w:w="3166"/>
        <w:gridCol w:w="1232"/>
        <w:gridCol w:w="1229"/>
        <w:gridCol w:w="1229"/>
        <w:gridCol w:w="1229"/>
        <w:gridCol w:w="1364"/>
        <w:gridCol w:w="1303"/>
        <w:gridCol w:w="1435"/>
        <w:gridCol w:w="147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30"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重庆市丰都县文化馆</w:t>
            </w: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30"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8"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45"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45"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45"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45"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49"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458.37</w:t>
            </w:r>
            <w:r>
              <w:rPr>
                <w:rFonts w:hint="default" w:ascii="Times New Roman" w:hAnsi="Times New Roman" w:cs="Times New Roman"/>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458.37</w:t>
            </w:r>
            <w:r>
              <w:rPr>
                <w:rFonts w:hint="default" w:ascii="Times New Roman" w:hAnsi="Times New Roman" w:cs="Times New Roman"/>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326.56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231.18</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231.18</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95.38</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95.38</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651"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15.27</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15.27</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17.84</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17.84</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70.03</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70.03</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9.56</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9.56</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5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b/>
                <w:color w:val="000000"/>
                <w:sz w:val="32"/>
                <w:szCs w:val="32"/>
              </w:rPr>
            </w:pPr>
            <w:r>
              <w:rPr>
                <w:rFonts w:hint="default" w:ascii="Times New Roman" w:hAnsi="Times New Roman" w:cs="Times New Roman"/>
                <w:sz w:val="20"/>
                <w:szCs w:val="20"/>
              </w:rPr>
              <w:br w:type="page"/>
            </w: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重庆市丰都县文化馆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571.87</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347.58</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224.30</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440.07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215.77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440.07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215.77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224.30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247.68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215.77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31.91</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192.39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192.39</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重庆市丰都县文化馆</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458.37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440.07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440.07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103.15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103.15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458.37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571.87</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重庆市丰都县文化馆</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571.87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347.58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224.30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440.07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215.77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224.30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440.07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215.77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224.30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247.68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215.77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31.91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192.39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192.39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103.15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重庆市丰都县文化馆</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238.06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122.14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76.19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70.59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314.24</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重庆市丰都县文化馆</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重庆市丰都县文化馆</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2.72</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2.72</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2.72</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2.72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bookmarkStart w:id="0" w:name="_GoBack" w:colFirst="2" w:colLast="2"/>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bookmarkEnd w:id="0"/>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2.28</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yOWNiMGEwMTczOTUxNzU4MTc1YWE2MWRjODYwZWEifQ=="/>
  </w:docVars>
  <w:rsids>
    <w:rsidRoot w:val="00B03CCD"/>
    <w:rsid w:val="001321D5"/>
    <w:rsid w:val="001D3BB7"/>
    <w:rsid w:val="002B254B"/>
    <w:rsid w:val="00341981"/>
    <w:rsid w:val="00466C9B"/>
    <w:rsid w:val="00550ABE"/>
    <w:rsid w:val="006F3D7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43D0E"/>
    <w:rsid w:val="00F31AFF"/>
    <w:rsid w:val="00F73F90"/>
    <w:rsid w:val="01280CC9"/>
    <w:rsid w:val="01474EBF"/>
    <w:rsid w:val="018D6BB0"/>
    <w:rsid w:val="01D239ED"/>
    <w:rsid w:val="01F3521E"/>
    <w:rsid w:val="02141D1B"/>
    <w:rsid w:val="022D3FDC"/>
    <w:rsid w:val="03B87EA0"/>
    <w:rsid w:val="03E3214F"/>
    <w:rsid w:val="044C50BA"/>
    <w:rsid w:val="05BC6D49"/>
    <w:rsid w:val="05D24109"/>
    <w:rsid w:val="05F573D2"/>
    <w:rsid w:val="06194FF1"/>
    <w:rsid w:val="06693628"/>
    <w:rsid w:val="06A2550B"/>
    <w:rsid w:val="06F80EE2"/>
    <w:rsid w:val="07001CCA"/>
    <w:rsid w:val="07295F96"/>
    <w:rsid w:val="075678DB"/>
    <w:rsid w:val="079D7CC7"/>
    <w:rsid w:val="08051BCA"/>
    <w:rsid w:val="086C12F4"/>
    <w:rsid w:val="08705944"/>
    <w:rsid w:val="08BA052C"/>
    <w:rsid w:val="08BD34A7"/>
    <w:rsid w:val="08DB07BA"/>
    <w:rsid w:val="0969353F"/>
    <w:rsid w:val="098305D0"/>
    <w:rsid w:val="099E7AEB"/>
    <w:rsid w:val="0A3317EA"/>
    <w:rsid w:val="0A5C4B69"/>
    <w:rsid w:val="0A86124A"/>
    <w:rsid w:val="0AB54CC0"/>
    <w:rsid w:val="0B9335CE"/>
    <w:rsid w:val="0BF2311A"/>
    <w:rsid w:val="0C587D15"/>
    <w:rsid w:val="0C7927C4"/>
    <w:rsid w:val="0C8E4BD0"/>
    <w:rsid w:val="0C9B098C"/>
    <w:rsid w:val="0D673E11"/>
    <w:rsid w:val="0DA4349F"/>
    <w:rsid w:val="0DDA54E4"/>
    <w:rsid w:val="0E3A5F83"/>
    <w:rsid w:val="0E6A7E94"/>
    <w:rsid w:val="0F836721"/>
    <w:rsid w:val="0FA25D96"/>
    <w:rsid w:val="0FD008E4"/>
    <w:rsid w:val="107B59E5"/>
    <w:rsid w:val="10EC0126"/>
    <w:rsid w:val="10F70B9A"/>
    <w:rsid w:val="111445C7"/>
    <w:rsid w:val="114278C6"/>
    <w:rsid w:val="1158083A"/>
    <w:rsid w:val="11643A4B"/>
    <w:rsid w:val="11ED0F98"/>
    <w:rsid w:val="11F03528"/>
    <w:rsid w:val="12296BF2"/>
    <w:rsid w:val="12C921C4"/>
    <w:rsid w:val="13871C70"/>
    <w:rsid w:val="13A71CB4"/>
    <w:rsid w:val="13AF1D43"/>
    <w:rsid w:val="13CE1647"/>
    <w:rsid w:val="13FD55AB"/>
    <w:rsid w:val="14200702"/>
    <w:rsid w:val="163A6CEE"/>
    <w:rsid w:val="16FB16F6"/>
    <w:rsid w:val="173708E3"/>
    <w:rsid w:val="17C374FC"/>
    <w:rsid w:val="182E4AB6"/>
    <w:rsid w:val="189079DC"/>
    <w:rsid w:val="189B0D0B"/>
    <w:rsid w:val="18B24C7E"/>
    <w:rsid w:val="18B43F7C"/>
    <w:rsid w:val="194A1770"/>
    <w:rsid w:val="19B906A4"/>
    <w:rsid w:val="1B6F15B6"/>
    <w:rsid w:val="1BAA2EDC"/>
    <w:rsid w:val="1BEF2434"/>
    <w:rsid w:val="1C04656A"/>
    <w:rsid w:val="1CA55E64"/>
    <w:rsid w:val="1D014A01"/>
    <w:rsid w:val="1D022362"/>
    <w:rsid w:val="1D1B04B0"/>
    <w:rsid w:val="1DA52501"/>
    <w:rsid w:val="1DBD6767"/>
    <w:rsid w:val="1DC52125"/>
    <w:rsid w:val="1DD26311"/>
    <w:rsid w:val="1E374ACB"/>
    <w:rsid w:val="1ECF0A66"/>
    <w:rsid w:val="1ED93523"/>
    <w:rsid w:val="1EF67CA4"/>
    <w:rsid w:val="1F020D3A"/>
    <w:rsid w:val="1F2C5189"/>
    <w:rsid w:val="1F4B0B02"/>
    <w:rsid w:val="1F9C4355"/>
    <w:rsid w:val="1FBB35CD"/>
    <w:rsid w:val="1FC50507"/>
    <w:rsid w:val="1FCD26AF"/>
    <w:rsid w:val="20642787"/>
    <w:rsid w:val="21460077"/>
    <w:rsid w:val="21556F04"/>
    <w:rsid w:val="22403BD3"/>
    <w:rsid w:val="2279332E"/>
    <w:rsid w:val="22860667"/>
    <w:rsid w:val="237024FC"/>
    <w:rsid w:val="23760C78"/>
    <w:rsid w:val="24B92327"/>
    <w:rsid w:val="24C14514"/>
    <w:rsid w:val="2533755C"/>
    <w:rsid w:val="25791755"/>
    <w:rsid w:val="26396DF4"/>
    <w:rsid w:val="270C5D5F"/>
    <w:rsid w:val="27167136"/>
    <w:rsid w:val="271B442C"/>
    <w:rsid w:val="27B23302"/>
    <w:rsid w:val="28303605"/>
    <w:rsid w:val="2837234B"/>
    <w:rsid w:val="28B4781C"/>
    <w:rsid w:val="29310A5F"/>
    <w:rsid w:val="29C37A35"/>
    <w:rsid w:val="2A076083"/>
    <w:rsid w:val="2A1A6897"/>
    <w:rsid w:val="2A700B4C"/>
    <w:rsid w:val="2A73162E"/>
    <w:rsid w:val="2B167953"/>
    <w:rsid w:val="2B200583"/>
    <w:rsid w:val="2B8209DE"/>
    <w:rsid w:val="2C636760"/>
    <w:rsid w:val="2C6762A3"/>
    <w:rsid w:val="2C84753D"/>
    <w:rsid w:val="2CA57D7B"/>
    <w:rsid w:val="2CCE3351"/>
    <w:rsid w:val="2DB32D75"/>
    <w:rsid w:val="2F915F2B"/>
    <w:rsid w:val="2FCA4B37"/>
    <w:rsid w:val="2FE029D7"/>
    <w:rsid w:val="2FF06E00"/>
    <w:rsid w:val="30586FEC"/>
    <w:rsid w:val="30793759"/>
    <w:rsid w:val="30C25EAC"/>
    <w:rsid w:val="311746CB"/>
    <w:rsid w:val="315F0B22"/>
    <w:rsid w:val="31BD471D"/>
    <w:rsid w:val="31CC66BA"/>
    <w:rsid w:val="31D84415"/>
    <w:rsid w:val="32285F6F"/>
    <w:rsid w:val="32770556"/>
    <w:rsid w:val="327962D6"/>
    <w:rsid w:val="328B1433"/>
    <w:rsid w:val="329C0913"/>
    <w:rsid w:val="32AA0460"/>
    <w:rsid w:val="32D60C27"/>
    <w:rsid w:val="3337290D"/>
    <w:rsid w:val="33E31118"/>
    <w:rsid w:val="33EF7674"/>
    <w:rsid w:val="342D7BC6"/>
    <w:rsid w:val="350459E0"/>
    <w:rsid w:val="352930DB"/>
    <w:rsid w:val="35573069"/>
    <w:rsid w:val="355F6038"/>
    <w:rsid w:val="358C217E"/>
    <w:rsid w:val="36C9128A"/>
    <w:rsid w:val="371368F8"/>
    <w:rsid w:val="37841E99"/>
    <w:rsid w:val="37BF1123"/>
    <w:rsid w:val="383C3F15"/>
    <w:rsid w:val="384A58CD"/>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A38D5"/>
    <w:rsid w:val="3D2757A1"/>
    <w:rsid w:val="3D3D4FC4"/>
    <w:rsid w:val="3DDF3AB1"/>
    <w:rsid w:val="3E1D0952"/>
    <w:rsid w:val="3E42660A"/>
    <w:rsid w:val="3E7555B1"/>
    <w:rsid w:val="3E787ED9"/>
    <w:rsid w:val="3E9C7AF2"/>
    <w:rsid w:val="3F032E93"/>
    <w:rsid w:val="3F0527E5"/>
    <w:rsid w:val="3F694D83"/>
    <w:rsid w:val="3F6B256A"/>
    <w:rsid w:val="3F885DCC"/>
    <w:rsid w:val="3FCD675E"/>
    <w:rsid w:val="3FDF78DD"/>
    <w:rsid w:val="4004000C"/>
    <w:rsid w:val="40BD5482"/>
    <w:rsid w:val="411B6CE5"/>
    <w:rsid w:val="412070D7"/>
    <w:rsid w:val="41314E40"/>
    <w:rsid w:val="41E0734B"/>
    <w:rsid w:val="426C1EA8"/>
    <w:rsid w:val="42736402"/>
    <w:rsid w:val="42E86A87"/>
    <w:rsid w:val="43307B09"/>
    <w:rsid w:val="439A3EB9"/>
    <w:rsid w:val="43BB152F"/>
    <w:rsid w:val="44C37687"/>
    <w:rsid w:val="458D6CDE"/>
    <w:rsid w:val="45CB699A"/>
    <w:rsid w:val="465B470D"/>
    <w:rsid w:val="469D6AD4"/>
    <w:rsid w:val="471E6C84"/>
    <w:rsid w:val="4748792B"/>
    <w:rsid w:val="475D719D"/>
    <w:rsid w:val="47674801"/>
    <w:rsid w:val="48225EF7"/>
    <w:rsid w:val="488F422B"/>
    <w:rsid w:val="48BA4A58"/>
    <w:rsid w:val="48E36915"/>
    <w:rsid w:val="48EB6572"/>
    <w:rsid w:val="495C4A24"/>
    <w:rsid w:val="497135DF"/>
    <w:rsid w:val="4A263DF2"/>
    <w:rsid w:val="4A6F6675"/>
    <w:rsid w:val="4A8A5B6A"/>
    <w:rsid w:val="4AD01DCC"/>
    <w:rsid w:val="4AF551B9"/>
    <w:rsid w:val="4AFF123A"/>
    <w:rsid w:val="4B135857"/>
    <w:rsid w:val="4B3D2C72"/>
    <w:rsid w:val="4B7951CB"/>
    <w:rsid w:val="4B7C315C"/>
    <w:rsid w:val="4C9D1FAC"/>
    <w:rsid w:val="4CA07122"/>
    <w:rsid w:val="4CB105A3"/>
    <w:rsid w:val="4DAC4ACA"/>
    <w:rsid w:val="4DB206B9"/>
    <w:rsid w:val="4DBE01D2"/>
    <w:rsid w:val="4E5F7AE6"/>
    <w:rsid w:val="4E863688"/>
    <w:rsid w:val="4F0C6BA3"/>
    <w:rsid w:val="4F186D58"/>
    <w:rsid w:val="4F455DC9"/>
    <w:rsid w:val="4F607920"/>
    <w:rsid w:val="5077001A"/>
    <w:rsid w:val="50E77AD3"/>
    <w:rsid w:val="50F06B6E"/>
    <w:rsid w:val="51942E18"/>
    <w:rsid w:val="51D21804"/>
    <w:rsid w:val="52234D33"/>
    <w:rsid w:val="522F6E0C"/>
    <w:rsid w:val="52463BA1"/>
    <w:rsid w:val="52873DC6"/>
    <w:rsid w:val="52F163D4"/>
    <w:rsid w:val="531A2DB4"/>
    <w:rsid w:val="53472F63"/>
    <w:rsid w:val="53821A2C"/>
    <w:rsid w:val="53A84BFE"/>
    <w:rsid w:val="53C0244D"/>
    <w:rsid w:val="53DD4D4E"/>
    <w:rsid w:val="53E578CE"/>
    <w:rsid w:val="541330F0"/>
    <w:rsid w:val="54272666"/>
    <w:rsid w:val="543B029D"/>
    <w:rsid w:val="54861779"/>
    <w:rsid w:val="552256E1"/>
    <w:rsid w:val="5539514F"/>
    <w:rsid w:val="554E5773"/>
    <w:rsid w:val="555829E0"/>
    <w:rsid w:val="555A3CBC"/>
    <w:rsid w:val="5582012B"/>
    <w:rsid w:val="558E4E05"/>
    <w:rsid w:val="55BE2E85"/>
    <w:rsid w:val="56352ED1"/>
    <w:rsid w:val="56530F5D"/>
    <w:rsid w:val="567700D3"/>
    <w:rsid w:val="56D058A0"/>
    <w:rsid w:val="56FF7E9E"/>
    <w:rsid w:val="578867FC"/>
    <w:rsid w:val="5842572D"/>
    <w:rsid w:val="5A3B59D6"/>
    <w:rsid w:val="5AD134D8"/>
    <w:rsid w:val="5B055DB5"/>
    <w:rsid w:val="5B681933"/>
    <w:rsid w:val="5C263CE4"/>
    <w:rsid w:val="5C5D2777"/>
    <w:rsid w:val="5C846400"/>
    <w:rsid w:val="5CF66BF3"/>
    <w:rsid w:val="5D290C69"/>
    <w:rsid w:val="5E266727"/>
    <w:rsid w:val="5F2D4A41"/>
    <w:rsid w:val="60334D62"/>
    <w:rsid w:val="6067759E"/>
    <w:rsid w:val="60C74F6C"/>
    <w:rsid w:val="61025A59"/>
    <w:rsid w:val="613D5BBC"/>
    <w:rsid w:val="61536C39"/>
    <w:rsid w:val="62944DD7"/>
    <w:rsid w:val="631026C3"/>
    <w:rsid w:val="6319381F"/>
    <w:rsid w:val="63C25DC5"/>
    <w:rsid w:val="63C62057"/>
    <w:rsid w:val="640D190F"/>
    <w:rsid w:val="64571EF5"/>
    <w:rsid w:val="64641A52"/>
    <w:rsid w:val="64FB113D"/>
    <w:rsid w:val="656152C6"/>
    <w:rsid w:val="6587477F"/>
    <w:rsid w:val="658C3A08"/>
    <w:rsid w:val="65C031CA"/>
    <w:rsid w:val="65CE6852"/>
    <w:rsid w:val="66267C04"/>
    <w:rsid w:val="663F505A"/>
    <w:rsid w:val="66EE5541"/>
    <w:rsid w:val="67924660"/>
    <w:rsid w:val="67925591"/>
    <w:rsid w:val="68407834"/>
    <w:rsid w:val="6883293E"/>
    <w:rsid w:val="688412AD"/>
    <w:rsid w:val="68BA0ECC"/>
    <w:rsid w:val="68EB1B71"/>
    <w:rsid w:val="69825278"/>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9345EA"/>
    <w:rsid w:val="719A6EA0"/>
    <w:rsid w:val="71C34D91"/>
    <w:rsid w:val="72DB435C"/>
    <w:rsid w:val="72E2613A"/>
    <w:rsid w:val="72F771F4"/>
    <w:rsid w:val="73934AD2"/>
    <w:rsid w:val="73DB7337"/>
    <w:rsid w:val="748C17F6"/>
    <w:rsid w:val="74EC6C3D"/>
    <w:rsid w:val="750837F0"/>
    <w:rsid w:val="754758CF"/>
    <w:rsid w:val="758730DA"/>
    <w:rsid w:val="764F62AB"/>
    <w:rsid w:val="765C45EC"/>
    <w:rsid w:val="768A7619"/>
    <w:rsid w:val="772E1EBA"/>
    <w:rsid w:val="781926BC"/>
    <w:rsid w:val="796D60A4"/>
    <w:rsid w:val="79A031D5"/>
    <w:rsid w:val="79AD3895"/>
    <w:rsid w:val="7A1525F7"/>
    <w:rsid w:val="7B420052"/>
    <w:rsid w:val="7BD06A28"/>
    <w:rsid w:val="7C0B7D49"/>
    <w:rsid w:val="7C3A7C0B"/>
    <w:rsid w:val="7C3D2F6A"/>
    <w:rsid w:val="7C5248E4"/>
    <w:rsid w:val="7C5578DB"/>
    <w:rsid w:val="7C566698"/>
    <w:rsid w:val="7C5866A3"/>
    <w:rsid w:val="7D6F49C3"/>
    <w:rsid w:val="7D7406BB"/>
    <w:rsid w:val="7DE94331"/>
    <w:rsid w:val="7E011B94"/>
    <w:rsid w:val="7F434188"/>
    <w:rsid w:val="7F446A19"/>
    <w:rsid w:val="7F7452B9"/>
    <w:rsid w:val="7F85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2142</Words>
  <Characters>12215</Characters>
  <Lines>101</Lines>
  <Paragraphs>28</Paragraphs>
  <TotalTime>55</TotalTime>
  <ScaleCrop>false</ScaleCrop>
  <LinksUpToDate>false</LinksUpToDate>
  <CharactersWithSpaces>14329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2024-09-26T07:53:16Z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BB46EABDBB2749749395447164B066B3_12</vt:lpwstr>
  </property>
</Properties>
</file>