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Fonts w:hint="default" w:ascii="Times New Roman" w:hAnsi="Times New Roman" w:eastAsia="方正黑体_GBK"/>
          <w:kern w:val="2"/>
          <w:sz w:val="32"/>
          <w:szCs w:val="32"/>
        </w:rPr>
      </w:pPr>
      <w:r>
        <w:rPr>
          <w:rFonts w:hint="default" w:ascii="Times New Roman" w:hAnsi="Times New Roman" w:eastAsia="方正小标宋_GBK" w:cs="Times New Roman"/>
          <w:sz w:val="44"/>
          <w:szCs w:val="44"/>
        </w:rPr>
        <w:t>重庆市丰都县文化市场综合行政执法支队</w:t>
      </w:r>
      <w:r>
        <w:rPr>
          <w:rFonts w:hint="default" w:ascii="Times New Roman" w:hAnsi="Times New Roman" w:eastAsia="方正小标宋_GBK" w:cs="Times New Roman"/>
          <w:sz w:val="44"/>
          <w:szCs w:val="44"/>
          <w:shd w:val="clear" w:color="auto" w:fill="FFFFFF"/>
        </w:rPr>
        <w:t>2023年度决算公开说明</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一、单位基本情况</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（一）职能职责</w:t>
      </w:r>
    </w:p>
    <w:p>
      <w:pPr>
        <w:pStyle w:val="7"/>
        <w:shd w:val="clear" w:color="auto"/>
        <w:wordWrap w:val="0"/>
        <w:spacing w:before="0" w:beforeAutospacing="0" w:after="0" w:afterAutospacing="0" w:line="493" w:lineRule="atLeast"/>
        <w:ind w:firstLine="558"/>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丰都县文化市场综合行政执法支队以县文化和旅游发展委员会名义实施执法，统一行使文化、文物、出版、广播电视、电影、体育、旅游市场行政执法职责。</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1.</w:t>
      </w:r>
      <w:r>
        <w:rPr>
          <w:rFonts w:hint="default" w:ascii="Times New Roman" w:hAnsi="Times New Roman" w:eastAsia="方正仿宋_GBK" w:cs="Times New Roman"/>
          <w:sz w:val="32"/>
          <w:szCs w:val="32"/>
          <w:shd w:val="clear" w:color="auto" w:fill="FFFFFF"/>
        </w:rPr>
        <w:t>贯彻实施国家和重庆市有关文化市场综合行政执法的方针政策、法律法规，参与起草文化市场综合行政执法业务规范和管理制度。</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2.</w:t>
      </w:r>
      <w:r>
        <w:rPr>
          <w:rFonts w:hint="default" w:ascii="Times New Roman" w:hAnsi="Times New Roman" w:eastAsia="方正仿宋_GBK" w:cs="Times New Roman"/>
          <w:sz w:val="32"/>
          <w:szCs w:val="32"/>
          <w:shd w:val="clear" w:color="auto" w:fill="FFFFFF"/>
        </w:rPr>
        <w:t>承担文化、文物方面的执法职能。</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3.</w:t>
      </w:r>
      <w:r>
        <w:rPr>
          <w:rFonts w:hint="default" w:ascii="Times New Roman" w:hAnsi="Times New Roman" w:eastAsia="方正仿宋_GBK" w:cs="Times New Roman"/>
          <w:sz w:val="32"/>
          <w:szCs w:val="32"/>
          <w:shd w:val="clear" w:color="auto" w:fill="FFFFFF"/>
        </w:rPr>
        <w:t>承担出版、广播电视、电影方面的执法职能。</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4.</w:t>
      </w:r>
      <w:r>
        <w:rPr>
          <w:rFonts w:hint="default" w:ascii="Times New Roman" w:hAnsi="Times New Roman" w:eastAsia="方正仿宋_GBK" w:cs="Times New Roman"/>
          <w:sz w:val="32"/>
          <w:szCs w:val="32"/>
          <w:shd w:val="clear" w:color="auto" w:fill="FFFFFF"/>
        </w:rPr>
        <w:t>承担旅游市场方面的执法职能。</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5.</w:t>
      </w:r>
      <w:r>
        <w:rPr>
          <w:rFonts w:hint="default" w:ascii="Times New Roman" w:hAnsi="Times New Roman" w:eastAsia="方正仿宋_GBK" w:cs="Times New Roman"/>
          <w:sz w:val="32"/>
          <w:szCs w:val="32"/>
          <w:shd w:val="clear" w:color="auto" w:fill="FFFFFF"/>
        </w:rPr>
        <w:t>承担体育市场方面的执法职能。</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6.</w:t>
      </w:r>
      <w:r>
        <w:rPr>
          <w:rFonts w:hint="default" w:ascii="Times New Roman" w:hAnsi="Times New Roman" w:eastAsia="方正仿宋_GBK" w:cs="Times New Roman"/>
          <w:sz w:val="32"/>
          <w:szCs w:val="32"/>
          <w:shd w:val="clear" w:color="auto" w:fill="FFFFFF"/>
        </w:rPr>
        <w:t>承担全县文化市场综合行政执法组织协调。组织开展有关专项执法，配合落实相关的交叉执法、异地执法。监督、指导乡镇（街道）文化市场综合行政执法工作。</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7.</w:t>
      </w:r>
      <w:r>
        <w:rPr>
          <w:rFonts w:hint="default" w:ascii="Times New Roman" w:hAnsi="Times New Roman" w:eastAsia="方正仿宋_GBK" w:cs="Times New Roman"/>
          <w:sz w:val="32"/>
          <w:szCs w:val="32"/>
          <w:shd w:val="clear" w:color="auto" w:fill="FFFFFF"/>
        </w:rPr>
        <w:t>承担“扫黄打非”有关工作任务。</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微软雅黑" w:cs="Times New Roman"/>
          <w:color w:val="333333"/>
          <w:sz w:val="32"/>
          <w:szCs w:val="32"/>
          <w:shd w:val="clear" w:color="auto" w:fill="FFFFFF"/>
        </w:rPr>
        <w:t>8.</w:t>
      </w:r>
      <w:r>
        <w:rPr>
          <w:rFonts w:hint="default" w:ascii="Times New Roman" w:hAnsi="Times New Roman" w:eastAsia="方正仿宋_GBK" w:cs="Times New Roman"/>
          <w:sz w:val="32"/>
          <w:szCs w:val="32"/>
          <w:shd w:val="clear" w:color="auto" w:fill="FFFFFF"/>
        </w:rPr>
        <w:t>承担文化和旅游市场投诉、举报受理工作。</w:t>
      </w:r>
    </w:p>
    <w:p>
      <w:pPr>
        <w:pStyle w:val="7"/>
        <w:shd w:val="clear" w:color="auto"/>
        <w:wordWrap w:val="0"/>
        <w:spacing w:before="0" w:beforeAutospacing="0" w:after="0" w:afterAutospacing="0" w:line="493" w:lineRule="atLeast"/>
        <w:ind w:firstLine="558"/>
        <w:rPr>
          <w:rFonts w:hint="default" w:ascii="Times New Roman" w:hAnsi="Times New Roman" w:eastAsia="方正仿宋_GBK" w:cs="Times New Roman"/>
          <w:sz w:val="32"/>
          <w:szCs w:val="32"/>
        </w:rPr>
      </w:pPr>
      <w:r>
        <w:rPr>
          <w:rFonts w:hint="default" w:ascii="Times New Roman" w:hAnsi="Times New Roman" w:eastAsia="微软雅黑" w:cs="Times New Roman"/>
          <w:color w:val="333333"/>
          <w:sz w:val="32"/>
          <w:szCs w:val="32"/>
          <w:shd w:val="clear" w:color="auto" w:fill="FFFFFF"/>
        </w:rPr>
        <w:t>9.</w:t>
      </w:r>
      <w:r>
        <w:rPr>
          <w:rFonts w:hint="default" w:ascii="Times New Roman" w:hAnsi="Times New Roman" w:eastAsia="方正仿宋_GBK" w:cs="Times New Roman"/>
          <w:sz w:val="32"/>
          <w:szCs w:val="32"/>
          <w:shd w:val="clear" w:color="auto" w:fill="FFFFFF"/>
        </w:rPr>
        <w:t>完成县委、县政府和县委宣传部、县文化和旅游发展委员会交办的其他任务。</w:t>
      </w:r>
    </w:p>
    <w:p>
      <w:pPr>
        <w:widowControl w:val="0"/>
        <w:shd w:val="clear"/>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（二）机构设置</w:t>
      </w:r>
    </w:p>
    <w:p>
      <w:pPr>
        <w:pStyle w:val="7"/>
        <w:shd w:val="clear" w:color="auto"/>
        <w:wordWrap w:val="0"/>
        <w:spacing w:before="0" w:beforeAutospacing="0" w:after="0" w:afterAutospacing="0" w:line="493" w:lineRule="atLeast"/>
        <w:ind w:firstLine="558"/>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根据上述职责，丰都县文化市场综合行政执法支队设下列内设机构。</w:t>
      </w:r>
    </w:p>
    <w:p>
      <w:pPr>
        <w:pStyle w:val="7"/>
        <w:shd w:val="clear" w:color="auto"/>
        <w:wordWrap w:val="0"/>
        <w:spacing w:before="0" w:beforeAutospacing="0" w:after="0" w:afterAutospacing="0" w:line="493" w:lineRule="atLeast"/>
        <w:ind w:firstLine="558"/>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综合科。负责支队日常运转工作和重要事项督查督办，承担文秘、档案、保密、会务、党建、群团、安全、信访、目标考核、执法信息公开等工作。承担信息化建设、财务管理、政府采购、国有资产管理、后勤保障等工作。负责综合协调、人事编制和议提案办理等工作。</w:t>
      </w:r>
    </w:p>
    <w:p>
      <w:pPr>
        <w:pStyle w:val="7"/>
        <w:shd w:val="clear" w:color="auto"/>
        <w:wordWrap w:val="0"/>
        <w:spacing w:before="0" w:beforeAutospacing="0" w:after="0" w:afterAutospacing="0" w:line="493" w:lineRule="atLeast"/>
        <w:ind w:firstLine="558"/>
        <w:rPr>
          <w:rFonts w:hint="default" w:ascii="Times New Roman" w:hAnsi="Times New Roman" w:eastAsia="微软雅黑" w:cs="Times New Roman"/>
          <w:color w:val="333333"/>
        </w:rPr>
      </w:pPr>
      <w:r>
        <w:rPr>
          <w:rFonts w:hint="default" w:ascii="Times New Roman" w:hAnsi="Times New Roman" w:eastAsia="方正仿宋_GBK" w:cs="Times New Roman"/>
          <w:sz w:val="32"/>
          <w:szCs w:val="32"/>
          <w:shd w:val="clear" w:color="auto" w:fill="FFFFFF"/>
        </w:rPr>
        <w:t>2.法制科（投诉举报中心）。组织实施执法全过程记录制度、重大执法决定法制审核制度、执法案卷评查和评议考核制度、执法公示制度、执法人员持证上岗和资格管理制度。监督、指导乡镇（街道）文化市场综合行政执法工作。承担行政执法案件的审核审查工作，负责行政执法案件的报备、移交、处罚裁量及案卷管理工作，组织实施案卷评查工作。承担行政处罚案件听证、行政复议及行政应诉工作。承担行政执法有关宣传教育和培训工作。承担行政执法证件的管理工作。承担文化和旅游市场的投诉、举报受理处置工作。承担举报、投诉信息的汇总、处理、分析、通报工作。承担文化和旅游市场投诉举报平台建设。</w:t>
      </w:r>
    </w:p>
    <w:p>
      <w:pPr>
        <w:pStyle w:val="7"/>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ind w:firstLine="556"/>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执法一大队。承担文化、出版、广播电视、电影方面的执法职能。查处娱乐场所、互联网上网服务营业场所的违法行为；查处演出、艺术品经营及进出口等活动中的违法行为；查处文化艺术经营、展览展播中的违法行为；查处网络文化方面的违法经营活动。查处图书、音像制品、电子出版物等方面的违法出版活动和印刷、复制、出版物发行中的违法经营活动；查处著作权侵权行为；查处网络视听、网络出版等方面的违法经营活动。查处安装和设置卫星电视广播地面接收设施、传送境外卫星电视节目的违法行为；查处除制作、播出、传输等机构外的企业、个人和社会组织从事广播电视、电影活动中的违法行为；查处电影放映单位的违法行为，查处放映未取得《电影片公映许可证》的电影片和走私放映盗版影片等违法活动。配合查处生产、销售、使用“伪基站”设施设备的违法行为。承担“扫黄打非”有关工作任务。组织开展有关专项执法，配合落实相关的交叉执法、异地执法。</w:t>
      </w:r>
    </w:p>
    <w:p>
      <w:pPr>
        <w:pStyle w:val="7"/>
        <w:keepNext w:val="0"/>
        <w:keepLines w:val="0"/>
        <w:pageBreakBefore w:val="0"/>
        <w:widowControl/>
        <w:shd w:val="clear" w:color="auto"/>
        <w:kinsoku/>
        <w:wordWrap w:val="0"/>
        <w:overflowPunct/>
        <w:topLinePunct w:val="0"/>
        <w:autoSpaceDE/>
        <w:autoSpaceDN/>
        <w:bidi w:val="0"/>
        <w:adjustRightInd/>
        <w:snapToGrid/>
        <w:spacing w:before="0" w:beforeAutospacing="0" w:after="0" w:afterAutospacing="0"/>
        <w:ind w:firstLine="556"/>
        <w:textAlignment w:val="auto"/>
        <w:rPr>
          <w:rFonts w:hint="default" w:ascii="Times New Roman" w:hAnsi="Times New Roman" w:eastAsia="微软雅黑" w:cs="Times New Roman"/>
          <w:color w:val="333333"/>
          <w:sz w:val="32"/>
          <w:szCs w:val="32"/>
        </w:rPr>
      </w:pPr>
      <w:r>
        <w:rPr>
          <w:rFonts w:hint="default" w:ascii="Times New Roman" w:hAnsi="Times New Roman" w:eastAsia="方正仿宋_GBK" w:cs="Times New Roman"/>
          <w:sz w:val="32"/>
          <w:szCs w:val="32"/>
          <w:shd w:val="clear" w:color="auto" w:fill="FFFFFF"/>
        </w:rPr>
        <w:t>4.执法二大队。承担旅游、文物、体育市场方面的执法职能。查处旅游经营、服务中的违法违规行为；查处旅行社经营行为、导游和领队服务中的违法违规行为；查处经营旅行社业务以及从事导游、领队服务未取得经营、执业许可等违法违规行为；查处旅游经营者（除旅行社外）经营行为及其旅游从业人员服务中的违法违规行为。查处体育活动中的违法违规行为；查处体育营业场所经营活动中的违法违规行为。查处文物经营活动中的违法行为；依权限协调相关部门查处违反文物保护相关法律法规的行为。组织开展有关专项执法，配合落实相关的交叉执法、异地执法。</w:t>
      </w:r>
    </w:p>
    <w:p>
      <w:pPr>
        <w:keepNext w:val="0"/>
        <w:keepLines w:val="0"/>
        <w:pageBreakBefore w:val="0"/>
        <w:widowControl w:val="0"/>
        <w:kinsoku/>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二、单位决算情况说明</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（一）收入支出决算总体情况说明。</w:t>
      </w:r>
    </w:p>
    <w:p>
      <w:pPr>
        <w:pStyle w:val="7"/>
        <w:spacing w:before="0" w:beforeAutospacing="0" w:after="0" w:afterAutospacing="0" w:line="540"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2023年度收入总计368.46万元，支出总计</w:t>
      </w:r>
      <w:r>
        <w:rPr>
          <w:rFonts w:hint="default" w:ascii="Times New Roman" w:hAnsi="Times New Roman" w:eastAsia="方正仿宋_GBK" w:cs="Times New Roman"/>
          <w:sz w:val="32"/>
          <w:szCs w:val="32"/>
        </w:rPr>
        <w:t>368.46</w:t>
      </w:r>
      <w:r>
        <w:rPr>
          <w:rFonts w:hint="default" w:ascii="Times New Roman" w:hAnsi="Times New Roman" w:eastAsia="方正仿宋_GBK" w:cs="Times New Roman"/>
          <w:sz w:val="32"/>
          <w:szCs w:val="32"/>
          <w:shd w:val="clear" w:color="auto" w:fill="FFFFFF"/>
        </w:rPr>
        <w:t>万元。收支较上年决算数增加15.42万元，增长4.37%，主要原因是</w:t>
      </w:r>
      <w:r>
        <w:rPr>
          <w:rFonts w:hint="default" w:ascii="Times New Roman" w:hAnsi="Times New Roman" w:eastAsia="方正仿宋_GBK" w:cs="Times New Roman"/>
          <w:sz w:val="32"/>
          <w:szCs w:val="32"/>
        </w:rPr>
        <w:t>人员工资调整导致一般公共预算财政拨款支出增长。</w:t>
      </w:r>
    </w:p>
    <w:p>
      <w:pPr>
        <w:pStyle w:val="7"/>
        <w:spacing w:before="0" w:beforeAutospacing="0" w:after="0" w:afterAutospacing="0" w:line="540" w:lineRule="exact"/>
        <w:ind w:firstLine="643"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2023年度收入合计368.46万元，较上年决算数增加15.43万元，增长4.37%，主要原因是</w:t>
      </w:r>
      <w:r>
        <w:rPr>
          <w:rFonts w:hint="default" w:ascii="Times New Roman" w:hAnsi="Times New Roman" w:eastAsia="方正仿宋_GBK" w:cs="Times New Roman"/>
          <w:sz w:val="32"/>
          <w:szCs w:val="32"/>
        </w:rPr>
        <w:t>人员工资调整导致一般公共预算财政拨款支出增长。</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368.46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pacing w:before="0" w:beforeAutospacing="0" w:after="0" w:afterAutospacing="0" w:line="540" w:lineRule="exact"/>
        <w:ind w:firstLine="643"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368.46</w:t>
      </w:r>
      <w:r>
        <w:rPr>
          <w:rFonts w:hint="default" w:ascii="Times New Roman" w:hAnsi="Times New Roman" w:eastAsia="方正仿宋_GBK" w:cs="Times New Roman"/>
          <w:sz w:val="32"/>
          <w:szCs w:val="32"/>
          <w:shd w:val="clear" w:color="auto" w:fill="FFFFFF"/>
        </w:rPr>
        <w:t>万元，较上年决算数增加15.42万元，增长4.37%，主要原因是</w:t>
      </w:r>
      <w:r>
        <w:rPr>
          <w:rFonts w:hint="default" w:ascii="Times New Roman" w:hAnsi="Times New Roman" w:eastAsia="方正仿宋_GBK" w:cs="Times New Roman"/>
          <w:sz w:val="32"/>
          <w:szCs w:val="32"/>
        </w:rPr>
        <w:t>人员工资调整导致一般公共预算财政拨款支出增长。</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348.66</w:t>
      </w:r>
      <w:r>
        <w:rPr>
          <w:rFonts w:hint="default" w:ascii="Times New Roman" w:hAnsi="Times New Roman" w:eastAsia="方正仿宋_GBK" w:cs="Times New Roman"/>
          <w:sz w:val="32"/>
          <w:szCs w:val="32"/>
          <w:shd w:val="clear" w:color="auto" w:fill="FFFFFF"/>
        </w:rPr>
        <w:t>万元，占94.63%；项目支出</w:t>
      </w:r>
      <w:r>
        <w:rPr>
          <w:rFonts w:hint="default" w:ascii="Times New Roman" w:hAnsi="Times New Roman" w:eastAsia="方正仿宋_GBK" w:cs="Times New Roman"/>
          <w:sz w:val="32"/>
          <w:szCs w:val="32"/>
        </w:rPr>
        <w:t>19.80</w:t>
      </w:r>
      <w:r>
        <w:rPr>
          <w:rFonts w:hint="default" w:ascii="Times New Roman" w:hAnsi="Times New Roman" w:eastAsia="方正仿宋_GBK" w:cs="Times New Roman"/>
          <w:sz w:val="32"/>
          <w:szCs w:val="32"/>
          <w:shd w:val="clear" w:color="auto" w:fill="FFFFFF"/>
        </w:rPr>
        <w:t>万元，占5.37%；经营支出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（二）财政拨款收入支出决算总体情况说明</w:t>
      </w:r>
    </w:p>
    <w:p>
      <w:pPr>
        <w:pStyle w:val="7"/>
        <w:spacing w:before="0" w:beforeAutospacing="0" w:after="0" w:afterAutospacing="0"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2023年度财政拨款收、支总计368.46万元。与2022年相比，财政拨款收、支总计各增加15.42万元，增长4.37%。主要原因是</w:t>
      </w:r>
      <w:r>
        <w:rPr>
          <w:rFonts w:hint="default" w:ascii="Times New Roman" w:hAnsi="Times New Roman" w:eastAsia="方正仿宋_GBK" w:cs="Times New Roman"/>
          <w:sz w:val="32"/>
          <w:szCs w:val="32"/>
        </w:rPr>
        <w:t>人员工资调整导致一般公共预算财政拨款支出增长。</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（三）一般公共预算财政拨款收入支出决算情况说明</w:t>
      </w:r>
    </w:p>
    <w:p>
      <w:pPr>
        <w:pStyle w:val="7"/>
        <w:spacing w:before="0" w:beforeAutospacing="0" w:after="0" w:afterAutospacing="0" w:line="540"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368.46</w:t>
      </w:r>
      <w:r>
        <w:rPr>
          <w:rFonts w:hint="default" w:ascii="Times New Roman" w:hAnsi="Times New Roman" w:eastAsia="方正仿宋_GBK" w:cs="Times New Roman"/>
          <w:sz w:val="32"/>
          <w:szCs w:val="32"/>
          <w:shd w:val="clear" w:color="auto" w:fill="FFFFFF"/>
        </w:rPr>
        <w:t>万元，较上年决算数增加15.43万元，增长4.37%。主要原因是</w:t>
      </w:r>
      <w:r>
        <w:rPr>
          <w:rFonts w:hint="default" w:ascii="Times New Roman" w:hAnsi="Times New Roman" w:eastAsia="方正仿宋_GBK" w:cs="Times New Roman"/>
          <w:sz w:val="32"/>
          <w:szCs w:val="32"/>
        </w:rPr>
        <w:t>人员工资调整导致一般公共预算财政拨款支出增长。</w:t>
      </w:r>
      <w:r>
        <w:rPr>
          <w:rFonts w:hint="default" w:ascii="Times New Roman" w:hAnsi="Times New Roman" w:eastAsia="方正仿宋_GBK" w:cs="Times New Roman"/>
          <w:sz w:val="32"/>
          <w:szCs w:val="32"/>
          <w:shd w:val="clear" w:color="auto" w:fill="FFFFFF"/>
        </w:rPr>
        <w:t>较年初预算数减少8.43万元，下降2.24%。主要原因是人员退休、调动等增减变化导致收入较年初预算减少。此外，年初财政拨款结转和结余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368.46</w:t>
      </w:r>
      <w:r>
        <w:rPr>
          <w:rFonts w:hint="default" w:ascii="Times New Roman" w:hAnsi="Times New Roman" w:eastAsia="方正仿宋_GBK" w:cs="Times New Roman"/>
          <w:sz w:val="32"/>
          <w:szCs w:val="32"/>
          <w:shd w:val="clear" w:color="auto" w:fill="FFFFFF"/>
        </w:rPr>
        <w:t>万元，较上年决算数增加15.42万元，增长4.37%。主要原因是</w:t>
      </w:r>
      <w:r>
        <w:rPr>
          <w:rFonts w:hint="default" w:ascii="Times New Roman" w:hAnsi="Times New Roman" w:eastAsia="方正仿宋_GBK" w:cs="Times New Roman"/>
          <w:sz w:val="32"/>
          <w:szCs w:val="32"/>
        </w:rPr>
        <w:t>人员工资调整导致一般公共预算财政拨款支出增长。</w:t>
      </w:r>
      <w:r>
        <w:rPr>
          <w:rFonts w:hint="default" w:ascii="Times New Roman" w:hAnsi="Times New Roman" w:eastAsia="方正仿宋_GBK" w:cs="Times New Roman"/>
          <w:sz w:val="32"/>
          <w:szCs w:val="32"/>
          <w:shd w:val="clear" w:color="auto" w:fill="FFFFFF"/>
        </w:rPr>
        <w:t>较年初预算数减少8.43万元，下降2.24%。主要原因是人员退休、调动等增减变化导致预算支出较年初预算减少。</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（1）文化旅游体育与传媒支出</w:t>
      </w:r>
      <w:r>
        <w:rPr>
          <w:rFonts w:hint="default" w:ascii="Times New Roman" w:hAnsi="Times New Roman" w:eastAsia="方正仿宋_GBK" w:cs="Times New Roman"/>
          <w:sz w:val="32"/>
          <w:szCs w:val="32"/>
        </w:rPr>
        <w:t>272.43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73.94</w:t>
      </w:r>
      <w:r>
        <w:rPr>
          <w:rFonts w:hint="default" w:ascii="Times New Roman" w:hAnsi="Times New Roman" w:eastAsia="方正仿宋_GBK" w:cs="Times New Roman"/>
          <w:sz w:val="32"/>
          <w:szCs w:val="32"/>
          <w:shd w:val="clear" w:color="auto" w:fill="FFFFFF"/>
        </w:rPr>
        <w:t>%，较年初预算数减少19.25万元，下降6.60%，主要原因是人员退休、调动等增减变化导致收入较年初预算减少。</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61.32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16.64</w:t>
      </w:r>
      <w:r>
        <w:rPr>
          <w:rFonts w:hint="default" w:ascii="Times New Roman" w:hAnsi="Times New Roman" w:eastAsia="方正仿宋_GBK" w:cs="Times New Roman"/>
          <w:sz w:val="32"/>
          <w:szCs w:val="32"/>
          <w:shd w:val="clear" w:color="auto" w:fill="FFFFFF"/>
        </w:rPr>
        <w:t xml:space="preserve">%，较年初预算数增加15.65万元，增长34.27%，主要原因是人员工资调整和社保缴费基数增加，导致支出较年初预算增加。 </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13.99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3.80</w:t>
      </w:r>
      <w:r>
        <w:rPr>
          <w:rFonts w:hint="default" w:ascii="Times New Roman" w:hAnsi="Times New Roman" w:eastAsia="方正仿宋_GBK" w:cs="Times New Roman"/>
          <w:sz w:val="32"/>
          <w:szCs w:val="32"/>
          <w:shd w:val="clear" w:color="auto" w:fill="FFFFFF"/>
        </w:rPr>
        <w:t>%，较年初预算数减少1.09万元，下降7.23%，主要原因是人员退休、调出等增减变化导致支出交年初预算减少。</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住房保障支出20.71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5.62</w:t>
      </w:r>
      <w:r>
        <w:rPr>
          <w:rFonts w:hint="default" w:ascii="Times New Roman" w:hAnsi="Times New Roman" w:eastAsia="方正仿宋_GBK" w:cs="Times New Roman"/>
          <w:sz w:val="32"/>
          <w:szCs w:val="32"/>
          <w:shd w:val="clear" w:color="auto" w:fill="FFFFFF"/>
        </w:rPr>
        <w:t>%，较年初预算数减少3.74万元，下降15.30%，主要原因是人员退休、调出等增减变化导致支出交年初预算减少。</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348.66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291.62</w:t>
      </w:r>
      <w:r>
        <w:rPr>
          <w:rFonts w:hint="default" w:ascii="Times New Roman" w:hAnsi="Times New Roman" w:eastAsia="方正仿宋_GBK" w:cs="Times New Roman"/>
          <w:sz w:val="32"/>
          <w:szCs w:val="32"/>
          <w:shd w:val="clear" w:color="auto" w:fill="FFFFFF"/>
        </w:rPr>
        <w:t>万元，较上年决算数增加24.23万元，增长9.06%，主要原因是</w:t>
      </w:r>
      <w:r>
        <w:rPr>
          <w:rFonts w:hint="default" w:ascii="Times New Roman" w:hAnsi="Times New Roman" w:eastAsia="方正仿宋_GBK" w:cs="Times New Roman"/>
          <w:sz w:val="32"/>
          <w:szCs w:val="32"/>
        </w:rPr>
        <w:t>人员工资调整导致一般公共预算财政拨款支出增长。</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333333"/>
          <w:sz w:val="32"/>
          <w:szCs w:val="32"/>
          <w:shd w:val="clear" w:color="auto" w:fill="FFFFFF"/>
        </w:rPr>
        <w:t>基本工资、津贴补贴、医保、公积金等。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57.03</w:t>
      </w:r>
      <w:r>
        <w:rPr>
          <w:rFonts w:hint="default" w:ascii="Times New Roman" w:hAnsi="Times New Roman" w:eastAsia="方正仿宋_GBK" w:cs="Times New Roman"/>
          <w:sz w:val="32"/>
          <w:szCs w:val="32"/>
          <w:shd w:val="clear" w:color="auto" w:fill="FFFFFF"/>
        </w:rPr>
        <w:t>万元，较上年决算数减少28.63万元，下降33.42%，主要原因是</w:t>
      </w:r>
      <w:r>
        <w:rPr>
          <w:rFonts w:hint="default" w:ascii="Times New Roman" w:hAnsi="Times New Roman" w:eastAsia="方正仿宋_GBK" w:cs="Times New Roman"/>
          <w:color w:val="333333"/>
          <w:sz w:val="32"/>
          <w:szCs w:val="32"/>
          <w:shd w:val="clear" w:color="auto" w:fill="FFFFFF"/>
        </w:rPr>
        <w:t>认真落实中央八项规定和厉行节约要求，按照只减不增的要求从严控制三公经费。公用经费用途主要包括办公费、邮电费、手续费、差旅费等。</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（五）政府性基金预算收支决算情况说明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本单位2023年度无政府性基金预算财政拨款收支。</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三、“三公”经费情况说明</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（一）“三公”经费支出总体情况说明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7.40</w:t>
      </w:r>
      <w:r>
        <w:rPr>
          <w:rFonts w:hint="default" w:ascii="Times New Roman" w:hAnsi="Times New Roman" w:eastAsia="方正仿宋_GBK" w:cs="Times New Roman"/>
          <w:sz w:val="32"/>
          <w:szCs w:val="32"/>
          <w:shd w:val="clear" w:color="auto" w:fill="FFFFFF"/>
        </w:rPr>
        <w:t>万元，较年初预算数增加0.40万元，增长5.71%，主要原因是加强对景区等执法力度。较上年支出数减少0.88万元，下降10.63%，主要原因是认真落实中央八项规定和厉行节约要求，按照只减不增的要求从严控制三公经费。</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（二）“三公”经费分项支出情况</w:t>
      </w:r>
    </w:p>
    <w:p>
      <w:pPr>
        <w:pStyle w:val="7"/>
        <w:spacing w:before="0" w:beforeAutospacing="0" w:after="0" w:afterAutospacing="0"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万元，费用支出较年初预算数无增减，较上年支出数无增减，主要原因是本单位2023年度</w:t>
      </w:r>
      <w:r>
        <w:rPr>
          <w:rFonts w:hint="default" w:ascii="Times New Roman" w:hAnsi="Times New Roman" w:eastAsia="方正仿宋_GBK" w:cs="Times New Roman"/>
          <w:sz w:val="32"/>
          <w:szCs w:val="32"/>
        </w:rPr>
        <w:t>未发生因公出国（境）费。</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万元，费用支出较年初预算数无增减，较上年支出数无增减，主要原因是本单位2023年未预算公务用车购置费。</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6.61万元，主要用于车辆的燃料费、维修费、保险费、过路过桥费。费用支出较年初预算数增加0.61万元，增长10.17%，主要原因是执法力度加大。较上年支出数减少1.31万元，下降16.54%，主要原因是规范公务用车管理，严格控制运行成本。</w:t>
      </w:r>
    </w:p>
    <w:p>
      <w:pPr>
        <w:pStyle w:val="7"/>
        <w:wordWrap w:val="0"/>
        <w:spacing w:before="0" w:beforeAutospacing="0" w:after="0" w:afterAutospacing="0" w:line="594" w:lineRule="atLeast"/>
        <w:ind w:firstLine="640"/>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0.79</w:t>
      </w:r>
      <w:r>
        <w:rPr>
          <w:rFonts w:hint="default" w:ascii="Times New Roman" w:hAnsi="Times New Roman" w:eastAsia="方正仿宋_GBK" w:cs="Times New Roman"/>
          <w:sz w:val="32"/>
          <w:szCs w:val="32"/>
          <w:shd w:val="clear" w:color="auto" w:fill="FFFFFF"/>
        </w:rPr>
        <w:t>万元，主要用于接待市执法总队及其他区县的执法工作及安全生产工作。费用支出较年初预算数减少0.21万元，下降21.00%，主要原因是认真落实中央八项规定和厉行节约要求，严格控制用餐标准。较上年支出数增加0.43万元，增长119.44%，主要原因是接待市执法总队及其他区县的执法工作及安全生产工作等。</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85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93.39</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3.30</w:t>
      </w:r>
      <w:r>
        <w:rPr>
          <w:rFonts w:hint="default" w:ascii="Times New Roman" w:hAnsi="Times New Roman" w:eastAsia="方正仿宋_GBK" w:cs="Times New Roman"/>
          <w:sz w:val="32"/>
          <w:szCs w:val="32"/>
          <w:shd w:val="clear" w:color="auto" w:fill="FFFFFF"/>
        </w:rPr>
        <w:t>万元。</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四、其他需要说明的事项</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（一）财政拨款会议费和培训费情况说明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万元，较上年决算数无增减，主要原因是本单位2023年度未发生会议费。本年度培训费支出</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万元，较上年决算数减少0.02万元，下降15.38%，主要原因是培训减少，培训费用支出减少。</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（二）机关运行经费情况说明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57.03</w:t>
      </w:r>
      <w:r>
        <w:rPr>
          <w:rFonts w:hint="default" w:ascii="Times New Roman" w:hAnsi="Times New Roman" w:eastAsia="方正仿宋_GBK" w:cs="Times New Roman"/>
          <w:sz w:val="32"/>
          <w:szCs w:val="32"/>
          <w:shd w:val="clear" w:color="auto" w:fill="FFFFFF"/>
        </w:rPr>
        <w:t>万元，机关运行经费主要用于开支办公费、印刷费、邮电费、劳务费、差旅费、其他商品费用支出等。机关运行经费较上年支出数减少28.63万元，下降33.42%，主要原因是</w:t>
      </w:r>
      <w:r>
        <w:rPr>
          <w:rFonts w:hint="default" w:ascii="Times New Roman" w:hAnsi="Times New Roman" w:eastAsia="方正仿宋_GBK" w:cs="Times New Roman"/>
          <w:color w:val="333333"/>
          <w:sz w:val="32"/>
          <w:szCs w:val="32"/>
          <w:shd w:val="clear" w:color="auto" w:fill="FFFFFF"/>
        </w:rPr>
        <w:t>认真落实中央八项规定和厉行节约要求，按照只减不增的要求从严控制经费支出。</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（四）政府采购支出情况说明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eastAsia" w:ascii="Times New Roman" w:hAnsi="Times New Roman" w:eastAsia="方正黑体_GBK"/>
          <w:kern w:val="2"/>
          <w:sz w:val="32"/>
          <w:szCs w:val="32"/>
          <w:lang w:val="en-US" w:eastAsia="zh-CN"/>
        </w:rPr>
        <w:t>五、</w:t>
      </w:r>
      <w:r>
        <w:rPr>
          <w:rFonts w:hint="default" w:ascii="Times New Roman" w:hAnsi="Times New Roman" w:eastAsia="方正黑体_GBK"/>
          <w:kern w:val="2"/>
          <w:sz w:val="32"/>
          <w:szCs w:val="32"/>
        </w:rPr>
        <w:t>预算绩效管理情况说明</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w:t>
      </w:r>
      <w:r>
        <w:rPr>
          <w:rFonts w:hint="eastAsia" w:ascii="Times New Roman" w:hAnsi="Times New Roman" w:eastAsia="方正楷体_GBK"/>
          <w:kern w:val="2"/>
          <w:sz w:val="32"/>
          <w:szCs w:val="32"/>
          <w:lang w:eastAsia="zh-CN"/>
        </w:rPr>
        <w:t>单位</w:t>
      </w:r>
      <w:r>
        <w:rPr>
          <w:rFonts w:hint="default" w:ascii="Times New Roman" w:hAnsi="Times New Roman" w:eastAsia="方正楷体_GBK"/>
          <w:kern w:val="2"/>
          <w:sz w:val="32"/>
          <w:szCs w:val="32"/>
        </w:rPr>
        <w:t>自评情况</w:t>
      </w:r>
    </w:p>
    <w:p>
      <w:pPr>
        <w:pStyle w:val="7"/>
        <w:spacing w:before="0" w:beforeAutospacing="0" w:after="0" w:afterAutospacing="0" w:line="54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根据预算绩效管理要求,本</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对3个项目开展了绩效自评,</w:t>
      </w:r>
      <w:r>
        <w:rPr>
          <w:rFonts w:hint="default" w:ascii="Times New Roman" w:hAnsi="Times New Roman" w:eastAsia="方正仿宋_GBK" w:cs="Times New Roman"/>
          <w:sz w:val="32"/>
          <w:szCs w:val="32"/>
        </w:rPr>
        <w:t>其中，以填报自评表形式开展自评3项，</w:t>
      </w:r>
      <w:r>
        <w:rPr>
          <w:rFonts w:hint="default" w:ascii="Times New Roman" w:hAnsi="Times New Roman" w:eastAsia="方正仿宋_GBK" w:cs="Times New Roman"/>
          <w:sz w:val="32"/>
          <w:szCs w:val="32"/>
          <w:shd w:val="clear" w:color="auto" w:fill="FFFFFF"/>
        </w:rPr>
        <w:t>涉及资金28.09万元。从评价情况来看,项目立项较为规范,绩效目标明确,预算编制合理,管理科学规范,资金到位及时,总体完成情况较为良好。现将有关开展情况汇报如下:一是各级领导高度重视预算绩效管理工作;二是合理选择项目、合理分配资金使有限的财政资金发挥更大的效益;三是通过开展预算资金绩效评价,健全了项目资金的核算与管理,逐步形成自我约束,内部规范的良性机制;四是预算绩效评价,提高了管理水平和资金的使用效益。</w:t>
      </w:r>
    </w:p>
    <w:p>
      <w:pPr>
        <w:pStyle w:val="7"/>
        <w:spacing w:before="0" w:beforeAutospacing="0" w:after="0" w:afterAutospacing="0" w:line="54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整体绩效自评表以附件形式上传。</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（二）单位绩效评价情况</w:t>
      </w:r>
    </w:p>
    <w:p>
      <w:pPr>
        <w:pStyle w:val="17"/>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我单位对2023年文化市场执法监控运行扩容经费开展了绩效评价，涉及财政拨款项目资金19.8万元，评价得分99分，评价等次为优。</w:t>
      </w:r>
    </w:p>
    <w:p>
      <w:pPr>
        <w:widowControl w:val="0"/>
        <w:spacing w:line="594" w:lineRule="exact"/>
        <w:ind w:firstLine="640" w:firstLineChars="200"/>
        <w:jc w:val="both"/>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（三）财政绩效评价情况</w:t>
      </w:r>
    </w:p>
    <w:p>
      <w:pPr>
        <w:pStyle w:val="14"/>
        <w:autoSpaceDE w:val="0"/>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六、专业名词解释</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widowControl w:val="0"/>
        <w:spacing w:line="594"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七、决算公开联系方式及信息反馈渠道</w:t>
      </w:r>
    </w:p>
    <w:p>
      <w:pPr>
        <w:pStyle w:val="14"/>
        <w:keepNext w:val="0"/>
        <w:keepLines w:val="0"/>
        <w:pageBreakBefore w:val="0"/>
        <w:widowControl/>
        <w:kinsoku/>
        <w:wordWrap/>
        <w:overflowPunct/>
        <w:topLinePunct w:val="0"/>
        <w:autoSpaceDE w:val="0"/>
        <w:autoSpaceDN/>
        <w:bidi w:val="0"/>
        <w:adjustRightInd/>
        <w:snapToGrid/>
        <w:ind w:left="0" w:leftChars="0" w:firstLine="640" w:firstLineChars="200"/>
        <w:textAlignment w:val="auto"/>
        <w:rPr>
          <w:rStyle w:val="12"/>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decimal"/>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：廖浩杰</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023-70605699</w:t>
      </w:r>
    </w:p>
    <w:p>
      <w:pPr>
        <w:rPr>
          <w:rFonts w:hint="default" w:ascii="Times New Roman" w:hAnsi="Times New Roman" w:cs="Times New Roman"/>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重庆市丰都县文化市场综合行政执法支队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368.46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272.43</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61.32</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13.99</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368.46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368.46</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368.46</w:t>
            </w:r>
            <w:r>
              <w:rPr>
                <w:rFonts w:hint="default" w:ascii="Times New Roman" w:hAnsi="Times New Roman" w:cs="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368.46</w:t>
            </w:r>
            <w:r>
              <w:rPr>
                <w:rFonts w:hint="default" w:ascii="Times New Roman" w:hAnsi="Times New Roman" w:cs="Times New Roman"/>
                <w:color w:val="000000"/>
                <w:sz w:val="20"/>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rPr>
              <w:t>重庆市丰都县文化市场综合行政执法支队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368.46</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368.46</w:t>
            </w: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文化和旅游市场管理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 xml:space="preserve">重庆市丰都县文化市场综合行政执法支队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368.46</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348.66</w:t>
            </w:r>
            <w:r>
              <w:rPr>
                <w:rFonts w:hint="default" w:ascii="Times New Roman" w:hAnsi="Times New Roman" w:cs="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19.80</w:t>
            </w: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252.63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19.80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252.63</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19.80</w:t>
            </w:r>
            <w:r>
              <w:rPr>
                <w:rFonts w:hint="default" w:ascii="Times New Roman" w:hAnsi="Times New Roman" w:cs="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文化和旅游市场管理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272.43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272.43</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61.32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61.32</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13.99</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20.71</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368.46</w:t>
            </w:r>
            <w:r>
              <w:rPr>
                <w:rFonts w:hint="default" w:ascii="Times New Roman" w:hAnsi="Times New Roman" w:cs="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368.46</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348.66</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19.80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252.63</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19.80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272.43</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252.63</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19.80</w:t>
            </w:r>
            <w:r>
              <w:rPr>
                <w:rFonts w:hint="default" w:ascii="Times New Roman" w:hAnsi="Times New Roman" w:cs="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252.63</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文化和旅游市场管理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19.80</w:t>
            </w: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61.32</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30.62</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26.90</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3.81</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13.99</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8.67</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20.71</w:t>
            </w:r>
            <w:r>
              <w:rPr>
                <w:rFonts w:hint="default" w:ascii="Times New Roman" w:hAnsi="Times New Roman" w:cs="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20.71</w:t>
            </w:r>
            <w:r>
              <w:rPr>
                <w:rFonts w:hint="default" w:ascii="Times New Roman" w:hAnsi="Times New Roman" w:cs="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286.51</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56.74</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60.28</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40.16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83.76</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36.97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9.17</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14.02</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20.83</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0.79</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4.92</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10.33</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6.31</w:t>
            </w: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291.62</w:t>
            </w:r>
            <w:r>
              <w:rPr>
                <w:rFonts w:hint="default" w:ascii="Times New Roman" w:hAnsi="Times New Roman" w:cs="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57.03</w:t>
            </w:r>
            <w:r>
              <w:rPr>
                <w:rFonts w:hint="default" w:ascii="Times New Roman" w:hAnsi="Times New Roman" w:cs="Times New Roman"/>
                <w:color w:val="000000"/>
                <w:sz w:val="18"/>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rPr>
              <w:t>重庆市丰都县文化市场综合行政执法支队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57.03</w:t>
            </w: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7.40</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7.40</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57.03</w:t>
            </w: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6.61</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6.61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6.61</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6.61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0.79</w:t>
            </w:r>
            <w:r>
              <w:rPr>
                <w:rFonts w:hint="default" w:ascii="Times New Roman" w:hAnsi="Times New Roman" w:cs="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0.79</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0.79</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15</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85</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0.11</w:t>
            </w:r>
            <w:r>
              <w:rPr>
                <w:rFonts w:hint="default" w:ascii="Times New Roman" w:hAnsi="Times New Roman" w:cs="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9744710" cy="4970145"/>
            <wp:effectExtent l="0" t="0" r="889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744710" cy="4970145"/>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9744710" cy="6358255"/>
            <wp:effectExtent l="0" t="0" r="889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9744710" cy="6358255"/>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inline distT="0" distB="0" distL="114300" distR="114300">
            <wp:extent cx="9744710" cy="5201920"/>
            <wp:effectExtent l="0" t="0" r="889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9744710" cy="5201920"/>
                    </a:xfrm>
                    <a:prstGeom prst="rect">
                      <a:avLst/>
                    </a:prstGeom>
                    <a:noFill/>
                    <a:ln>
                      <a:noFill/>
                    </a:ln>
                  </pic:spPr>
                </pic:pic>
              </a:graphicData>
            </a:graphic>
          </wp:inline>
        </w:draw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14</w:t>
                </w:r>
                <w:r>
                  <w:rPr>
                    <w:rFonts w:hint="default"/>
                  </w:rPr>
                  <w:fldChar w:fldCharType="end"/>
                </w:r>
                <w:r>
                  <w:rPr>
                    <w:rFonts w:hint="default"/>
                  </w:rP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yOWNiMGEwMTczOTUxNzU4MTc1YWE2MWRjODYwZWEifQ=="/>
  </w:docVars>
  <w:rsids>
    <w:rsidRoot w:val="00B03CCD"/>
    <w:rsid w:val="000054AC"/>
    <w:rsid w:val="001D3BB7"/>
    <w:rsid w:val="002B254B"/>
    <w:rsid w:val="00466C9B"/>
    <w:rsid w:val="00486603"/>
    <w:rsid w:val="00550ABE"/>
    <w:rsid w:val="006E0202"/>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A6835"/>
    <w:rsid w:val="00E142A1"/>
    <w:rsid w:val="00F73F90"/>
    <w:rsid w:val="01474EBF"/>
    <w:rsid w:val="01F3521E"/>
    <w:rsid w:val="03B87EA0"/>
    <w:rsid w:val="03E3214F"/>
    <w:rsid w:val="044C50BA"/>
    <w:rsid w:val="05BC6D49"/>
    <w:rsid w:val="06194FF1"/>
    <w:rsid w:val="06A2550B"/>
    <w:rsid w:val="06F80EE2"/>
    <w:rsid w:val="07001CCA"/>
    <w:rsid w:val="075678DB"/>
    <w:rsid w:val="079D7CC7"/>
    <w:rsid w:val="08051BCA"/>
    <w:rsid w:val="083346B0"/>
    <w:rsid w:val="083C6613"/>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1F32619"/>
    <w:rsid w:val="12AE1320"/>
    <w:rsid w:val="12C921C4"/>
    <w:rsid w:val="136C4564"/>
    <w:rsid w:val="13871C70"/>
    <w:rsid w:val="13A71CB4"/>
    <w:rsid w:val="13AF1D43"/>
    <w:rsid w:val="13CE1647"/>
    <w:rsid w:val="13FD55AB"/>
    <w:rsid w:val="14200702"/>
    <w:rsid w:val="15291B1A"/>
    <w:rsid w:val="16112E08"/>
    <w:rsid w:val="163A6CEE"/>
    <w:rsid w:val="173708E3"/>
    <w:rsid w:val="17C374FC"/>
    <w:rsid w:val="182E4AB6"/>
    <w:rsid w:val="189079DC"/>
    <w:rsid w:val="189B0D0B"/>
    <w:rsid w:val="18B43F7C"/>
    <w:rsid w:val="194A1770"/>
    <w:rsid w:val="19B906A4"/>
    <w:rsid w:val="1A2C6F72"/>
    <w:rsid w:val="1B6F15B6"/>
    <w:rsid w:val="1BAA2EDC"/>
    <w:rsid w:val="1C46557A"/>
    <w:rsid w:val="1CA55E64"/>
    <w:rsid w:val="1D014A01"/>
    <w:rsid w:val="1D022362"/>
    <w:rsid w:val="1D1B04B0"/>
    <w:rsid w:val="1DA52501"/>
    <w:rsid w:val="1DBD6767"/>
    <w:rsid w:val="1DC52125"/>
    <w:rsid w:val="1DD26311"/>
    <w:rsid w:val="1E374ACB"/>
    <w:rsid w:val="1ECF0A66"/>
    <w:rsid w:val="1EF67CA4"/>
    <w:rsid w:val="1F020D3A"/>
    <w:rsid w:val="1F2C5189"/>
    <w:rsid w:val="1F4B0B02"/>
    <w:rsid w:val="1F562ABA"/>
    <w:rsid w:val="1FBB35CD"/>
    <w:rsid w:val="1FCD26AF"/>
    <w:rsid w:val="20642787"/>
    <w:rsid w:val="21086656"/>
    <w:rsid w:val="21420029"/>
    <w:rsid w:val="21556F04"/>
    <w:rsid w:val="222C51A8"/>
    <w:rsid w:val="22403BD3"/>
    <w:rsid w:val="22E20294"/>
    <w:rsid w:val="245D65E5"/>
    <w:rsid w:val="24B92327"/>
    <w:rsid w:val="24C14514"/>
    <w:rsid w:val="2533755C"/>
    <w:rsid w:val="25791755"/>
    <w:rsid w:val="26396DF4"/>
    <w:rsid w:val="270A2D0E"/>
    <w:rsid w:val="27167136"/>
    <w:rsid w:val="271B442C"/>
    <w:rsid w:val="27B23302"/>
    <w:rsid w:val="28D872C8"/>
    <w:rsid w:val="29310A5F"/>
    <w:rsid w:val="29595DF7"/>
    <w:rsid w:val="29C37A35"/>
    <w:rsid w:val="2A076083"/>
    <w:rsid w:val="2A73162E"/>
    <w:rsid w:val="2A7F69D4"/>
    <w:rsid w:val="2B167953"/>
    <w:rsid w:val="2B200583"/>
    <w:rsid w:val="2B8209DE"/>
    <w:rsid w:val="2C636760"/>
    <w:rsid w:val="2C6762A3"/>
    <w:rsid w:val="2EE1002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A968AF"/>
    <w:rsid w:val="3ADD7F09"/>
    <w:rsid w:val="3B1705E5"/>
    <w:rsid w:val="3B18334B"/>
    <w:rsid w:val="3B36794F"/>
    <w:rsid w:val="3B6B7BAF"/>
    <w:rsid w:val="3B6F6EE0"/>
    <w:rsid w:val="3BF2188D"/>
    <w:rsid w:val="3C1141B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20CF1"/>
    <w:rsid w:val="42E86A87"/>
    <w:rsid w:val="43307B09"/>
    <w:rsid w:val="439A3EB9"/>
    <w:rsid w:val="43BB152F"/>
    <w:rsid w:val="44C37687"/>
    <w:rsid w:val="45CB699A"/>
    <w:rsid w:val="465B470D"/>
    <w:rsid w:val="466C5D9D"/>
    <w:rsid w:val="469D6AD4"/>
    <w:rsid w:val="471E6C84"/>
    <w:rsid w:val="47262EEB"/>
    <w:rsid w:val="4748792B"/>
    <w:rsid w:val="475D719D"/>
    <w:rsid w:val="47674801"/>
    <w:rsid w:val="47997675"/>
    <w:rsid w:val="48225EF7"/>
    <w:rsid w:val="4854178B"/>
    <w:rsid w:val="488F422B"/>
    <w:rsid w:val="48E36915"/>
    <w:rsid w:val="48EB6572"/>
    <w:rsid w:val="49476BF7"/>
    <w:rsid w:val="495C4A24"/>
    <w:rsid w:val="497135DF"/>
    <w:rsid w:val="4A263DF2"/>
    <w:rsid w:val="4A6F6675"/>
    <w:rsid w:val="4B135857"/>
    <w:rsid w:val="4B7951CB"/>
    <w:rsid w:val="4B7C315C"/>
    <w:rsid w:val="4C5B4280"/>
    <w:rsid w:val="4D5D670C"/>
    <w:rsid w:val="4DAC4ACA"/>
    <w:rsid w:val="4DBE01D2"/>
    <w:rsid w:val="4F0C6BA3"/>
    <w:rsid w:val="4F186D58"/>
    <w:rsid w:val="50F06B6E"/>
    <w:rsid w:val="51D21804"/>
    <w:rsid w:val="52234D33"/>
    <w:rsid w:val="522F6E0C"/>
    <w:rsid w:val="52463BA1"/>
    <w:rsid w:val="52F163D4"/>
    <w:rsid w:val="531A2DB4"/>
    <w:rsid w:val="5377010C"/>
    <w:rsid w:val="53C0244D"/>
    <w:rsid w:val="53DD4D4E"/>
    <w:rsid w:val="53E578CE"/>
    <w:rsid w:val="541330F0"/>
    <w:rsid w:val="54272666"/>
    <w:rsid w:val="543B029D"/>
    <w:rsid w:val="54861779"/>
    <w:rsid w:val="54A26672"/>
    <w:rsid w:val="552256E1"/>
    <w:rsid w:val="554E5773"/>
    <w:rsid w:val="555829E0"/>
    <w:rsid w:val="555A3CBC"/>
    <w:rsid w:val="5582012B"/>
    <w:rsid w:val="558E4E05"/>
    <w:rsid w:val="55BE2E85"/>
    <w:rsid w:val="56530F5D"/>
    <w:rsid w:val="567700D3"/>
    <w:rsid w:val="56FF7E9E"/>
    <w:rsid w:val="578867FC"/>
    <w:rsid w:val="582E599D"/>
    <w:rsid w:val="5842572D"/>
    <w:rsid w:val="59E017F4"/>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5D522BF"/>
    <w:rsid w:val="65E35CCD"/>
    <w:rsid w:val="661E6B91"/>
    <w:rsid w:val="66267C04"/>
    <w:rsid w:val="663F505A"/>
    <w:rsid w:val="66EE5541"/>
    <w:rsid w:val="67185A9A"/>
    <w:rsid w:val="67924660"/>
    <w:rsid w:val="67AF3FCC"/>
    <w:rsid w:val="68087206"/>
    <w:rsid w:val="68407834"/>
    <w:rsid w:val="6883293E"/>
    <w:rsid w:val="688412AD"/>
    <w:rsid w:val="68C87C20"/>
    <w:rsid w:val="68EB1B71"/>
    <w:rsid w:val="6A6C7940"/>
    <w:rsid w:val="6AAD2300"/>
    <w:rsid w:val="6B474EF5"/>
    <w:rsid w:val="6C0A5AC5"/>
    <w:rsid w:val="6C560CAE"/>
    <w:rsid w:val="6C576495"/>
    <w:rsid w:val="6D7A6EF7"/>
    <w:rsid w:val="6D903FF5"/>
    <w:rsid w:val="6DA955B8"/>
    <w:rsid w:val="6DE346AB"/>
    <w:rsid w:val="6DE5391A"/>
    <w:rsid w:val="6E7004A6"/>
    <w:rsid w:val="6EFD1324"/>
    <w:rsid w:val="6F085536"/>
    <w:rsid w:val="6F5A53AC"/>
    <w:rsid w:val="6FAC003D"/>
    <w:rsid w:val="6FE55E12"/>
    <w:rsid w:val="6FFB2E76"/>
    <w:rsid w:val="708F6F7F"/>
    <w:rsid w:val="70A25080"/>
    <w:rsid w:val="70D94BD3"/>
    <w:rsid w:val="71405A38"/>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3550D2"/>
    <w:rsid w:val="7B420052"/>
    <w:rsid w:val="7BD06A28"/>
    <w:rsid w:val="7C3A7C0B"/>
    <w:rsid w:val="7C5248E4"/>
    <w:rsid w:val="7C566698"/>
    <w:rsid w:val="7C5866A3"/>
    <w:rsid w:val="7D7406BB"/>
    <w:rsid w:val="7D9E45CC"/>
    <w:rsid w:val="7DE94331"/>
    <w:rsid w:val="7F446A19"/>
    <w:rsid w:val="7F6D6E3F"/>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autoRedefine/>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0"/>
    <w:rPr>
      <w:b/>
    </w:rPr>
  </w:style>
  <w:style w:type="character" w:styleId="13">
    <w:name w:val="annotation reference"/>
    <w:basedOn w:val="11"/>
    <w:autoRedefine/>
    <w:qFormat/>
    <w:uiPriority w:val="0"/>
    <w:rPr>
      <w:sz w:val="21"/>
      <w:szCs w:val="21"/>
    </w:rPr>
  </w:style>
  <w:style w:type="paragraph" w:customStyle="1" w:styleId="14">
    <w:name w:val="列出段落1"/>
    <w:basedOn w:val="1"/>
    <w:autoRedefine/>
    <w:qFormat/>
    <w:uiPriority w:val="99"/>
    <w:pPr>
      <w:ind w:firstLine="420" w:firstLineChars="200"/>
    </w:pPr>
    <w:rPr>
      <w:rFonts w:hint="default"/>
    </w:rPr>
  </w:style>
  <w:style w:type="paragraph" w:customStyle="1" w:styleId="15">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autoRedefine/>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1"/>
    <w:link w:val="3"/>
    <w:autoRedefine/>
    <w:qFormat/>
    <w:uiPriority w:val="0"/>
    <w:rPr>
      <w:rFonts w:ascii="宋体" w:hAnsi="宋体"/>
      <w:sz w:val="18"/>
      <w:szCs w:val="18"/>
    </w:rPr>
  </w:style>
  <w:style w:type="character" w:customStyle="1" w:styleId="19">
    <w:name w:val="批注文字 字符"/>
    <w:basedOn w:val="11"/>
    <w:link w:val="2"/>
    <w:autoRedefine/>
    <w:qFormat/>
    <w:uiPriority w:val="0"/>
    <w:rPr>
      <w:rFonts w:ascii="宋体" w:hAnsi="宋体"/>
      <w:sz w:val="24"/>
      <w:szCs w:val="24"/>
    </w:rPr>
  </w:style>
  <w:style w:type="character" w:customStyle="1" w:styleId="20">
    <w:name w:val="批注主题 字符"/>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9747</Words>
  <Characters>11562</Characters>
  <Lines>102</Lines>
  <Paragraphs>28</Paragraphs>
  <TotalTime>64</TotalTime>
  <ScaleCrop>false</ScaleCrop>
  <LinksUpToDate>false</LinksUpToDate>
  <CharactersWithSpaces>12610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杨咩咩-</cp:lastModifiedBy>
  <dcterms:modified xsi:type="dcterms:W3CDTF">2024-09-26T07:57:27Z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BB46EABDBB2749749395447164B066B3_12</vt:lpwstr>
  </property>
</Properties>
</file>