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44"/>
          <w:szCs w:val="44"/>
        </w:rPr>
        <w:t>重庆市丰都县旅游宣传营销中心</w:t>
      </w: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shd w:val="clear" w:color="auto"/>
        <w:kinsoku/>
        <w:wordWrap/>
        <w:overflowPunct/>
        <w:topLinePunct w:val="0"/>
        <w:autoSpaceDE/>
        <w:autoSpaceDN/>
        <w:bidi w:val="0"/>
        <w:adjustRightInd/>
        <w:spacing w:before="0" w:beforeAutospacing="0" w:after="0" w:afterAutospacing="0" w:line="600" w:lineRule="exact"/>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kinsoku/>
        <w:wordWrap/>
        <w:overflowPunct/>
        <w:topLinePunct w:val="0"/>
        <w:autoSpaceDE/>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受县文旅委的委托，负责策划、制定全县旅游宣传营销策略和总体方案；负责全县旅游宣传营销工作。</w:t>
      </w:r>
    </w:p>
    <w:p>
      <w:pPr>
        <w:pStyle w:val="6"/>
        <w:keepNext w:val="0"/>
        <w:keepLines w:val="0"/>
        <w:pageBreakBefore w:val="0"/>
        <w:widowControl/>
        <w:shd w:val="clear" w:color="auto"/>
        <w:kinsoku/>
        <w:wordWrap/>
        <w:overflowPunct/>
        <w:topLinePunct w:val="0"/>
        <w:autoSpaceDE/>
        <w:autoSpaceDN/>
        <w:bidi w:val="0"/>
        <w:adjustRightInd/>
        <w:spacing w:before="0" w:beforeAutospacing="0" w:after="0" w:afterAutospacing="0" w:line="600"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丰都县旅游宣传营销中心为县文旅委所属的副科级财政全额拨款公益一类事业单位。根据上述职责和《丰都县机构设置和编制管理办法》，丰都县旅游宣传营销中心设3个内设机构：</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1.综合科</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负责行政事务、党建工作、党风廉政、编制人事、绩效考核、资产和财务管理、议提案办理、安全信访、后勤保障等工作。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2.宣传科</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负责策划、制定全县旅游宣传总体方案，组织实施以丰都县为目的地的各项旅游宣传活动；负责策划、实施全县大型旅游节庆活动、开展旅游公关活动。</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3.营销科</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研究分析全县旅游客源市场情况，负责策划、制定全县旅游营销策略和总体方案，组织实施以丰都县为目的地的各项旅游营销活动；负责建立完善网络营销体系；负责对旅行社及旅游景区的营销考核工作。</w:t>
      </w:r>
    </w:p>
    <w:p>
      <w:pPr>
        <w:pStyle w:val="6"/>
        <w:keepNext w:val="0"/>
        <w:keepLines w:val="0"/>
        <w:pageBreakBefore w:val="0"/>
        <w:widowControl/>
        <w:shd w:val="clear" w:color="auto"/>
        <w:kinsoku/>
        <w:wordWrap/>
        <w:overflowPunct/>
        <w:topLinePunct w:val="0"/>
        <w:autoSpaceDN/>
        <w:bidi w:val="0"/>
        <w:adjustRightInd/>
        <w:spacing w:beforeAutospacing="0" w:afterAutospacing="0"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kinsoku/>
        <w:wordWrap/>
        <w:overflowPunct/>
        <w:topLinePunct w:val="0"/>
        <w:autoSpaceDN/>
        <w:bidi w:val="0"/>
        <w:adjustRightInd/>
        <w:spacing w:beforeAutospacing="0" w:afterAutospacing="0" w:line="60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2023年度收入总计246.65万元，支出总计</w:t>
      </w:r>
      <w:r>
        <w:rPr>
          <w:rFonts w:hint="default" w:ascii="Times New Roman" w:hAnsi="Times New Roman" w:eastAsia="方正仿宋_GBK" w:cs="Times New Roman"/>
          <w:sz w:val="32"/>
          <w:szCs w:val="32"/>
        </w:rPr>
        <w:t>246.65</w:t>
      </w:r>
      <w:r>
        <w:rPr>
          <w:rFonts w:hint="default" w:ascii="Times New Roman" w:hAnsi="Times New Roman" w:eastAsia="方正仿宋_GBK" w:cs="Times New Roman"/>
          <w:sz w:val="32"/>
          <w:szCs w:val="32"/>
          <w:shd w:val="clear" w:color="auto" w:fill="FFFFFF"/>
        </w:rPr>
        <w:t>万元。收支较上年决算数增加58.35万元，增长30.99%，主要原因是本年单位新增2人</w:t>
      </w:r>
      <w:r>
        <w:rPr>
          <w:rFonts w:hint="default" w:ascii="Times New Roman" w:hAnsi="Times New Roman" w:eastAsia="方正仿宋_GBK" w:cs="Times New Roman"/>
          <w:color w:val="FF0000"/>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2023年度收入合计246.00万元，较上年决算数增加57.70万元，增长30.64%，主要原因是单位新增2人。其中：财政拨款收入</w:t>
      </w:r>
      <w:r>
        <w:rPr>
          <w:rFonts w:hint="default" w:ascii="Times New Roman" w:hAnsi="Times New Roman" w:eastAsia="方正仿宋_GBK" w:cs="Times New Roman"/>
          <w:sz w:val="32"/>
          <w:szCs w:val="32"/>
        </w:rPr>
        <w:t>246.00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246.65</w:t>
      </w:r>
      <w:r>
        <w:rPr>
          <w:rFonts w:hint="default" w:ascii="Times New Roman" w:hAnsi="Times New Roman" w:eastAsia="方正仿宋_GBK" w:cs="Times New Roman"/>
          <w:sz w:val="32"/>
          <w:szCs w:val="32"/>
          <w:shd w:val="clear" w:color="auto" w:fill="FFFFFF"/>
        </w:rPr>
        <w:t>万元，较上年决算数增加58.35万元，增长30.99%，主要原因是单位新增2人。其中：基本支出</w:t>
      </w:r>
      <w:r>
        <w:rPr>
          <w:rFonts w:hint="default" w:ascii="Times New Roman" w:hAnsi="Times New Roman" w:eastAsia="方正仿宋_GBK" w:cs="Times New Roman"/>
          <w:sz w:val="32"/>
          <w:szCs w:val="32"/>
        </w:rPr>
        <w:t>246.65</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2023年度财政拨款收、支总计246.65万元。与2022年相比，财政拨款收、支总计各增加58.35万元，增长30.99%。主要原因是单位新增2人。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246.00</w:t>
      </w:r>
      <w:r>
        <w:rPr>
          <w:rFonts w:hint="default" w:ascii="Times New Roman" w:hAnsi="Times New Roman" w:eastAsia="方正仿宋_GBK" w:cs="Times New Roman"/>
          <w:sz w:val="32"/>
          <w:szCs w:val="32"/>
          <w:shd w:val="clear" w:color="auto" w:fill="FFFFFF"/>
        </w:rPr>
        <w:t>万元，较上年决算数增加57.70万元，增长30.64%。主要原因是单位新增2人。较年初预算数增加37.88万元，增长18.20%。主要原因是单位新增2人。此外，年初财政拨款结转和结余</w:t>
      </w:r>
      <w:r>
        <w:rPr>
          <w:rFonts w:hint="default" w:ascii="Times New Roman" w:hAnsi="Times New Roman" w:eastAsia="方正仿宋_GBK" w:cs="Times New Roman"/>
          <w:sz w:val="32"/>
          <w:szCs w:val="32"/>
        </w:rPr>
        <w:t>0.65</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246.65</w:t>
      </w:r>
      <w:r>
        <w:rPr>
          <w:rFonts w:hint="default" w:ascii="Times New Roman" w:hAnsi="Times New Roman" w:eastAsia="方正仿宋_GBK" w:cs="Times New Roman"/>
          <w:sz w:val="32"/>
          <w:szCs w:val="32"/>
          <w:shd w:val="clear" w:color="auto" w:fill="FFFFFF"/>
        </w:rPr>
        <w:t>万元，较上年决算数增加58.35万元，增长30.99%。主要原因是单位新增2人。较年初预算数增加38.53万元，增长18.51%。主要原因是单位新增2人。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201.18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81.56</w:t>
      </w:r>
      <w:r>
        <w:rPr>
          <w:rFonts w:hint="default" w:ascii="Times New Roman" w:hAnsi="Times New Roman" w:eastAsia="方正仿宋_GBK" w:cs="Times New Roman"/>
          <w:sz w:val="32"/>
          <w:szCs w:val="32"/>
          <w:shd w:val="clear" w:color="auto" w:fill="FFFFFF"/>
        </w:rPr>
        <w:t>%，较年初预算数增加35.76万元，增长21.62%，主要原因是单位新增2人。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25.09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10.17</w:t>
      </w:r>
      <w:r>
        <w:rPr>
          <w:rFonts w:hint="default" w:ascii="Times New Roman" w:hAnsi="Times New Roman" w:eastAsia="方正仿宋_GBK" w:cs="Times New Roman"/>
          <w:sz w:val="32"/>
          <w:szCs w:val="32"/>
          <w:shd w:val="clear" w:color="auto" w:fill="FFFFFF"/>
        </w:rPr>
        <w:t>%，较年初预算数增加2.86万元，增长12.87%，主要原因是单位新增2人。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10.51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4.26</w:t>
      </w:r>
      <w:r>
        <w:rPr>
          <w:rFonts w:hint="default" w:ascii="Times New Roman" w:hAnsi="Times New Roman" w:eastAsia="方正仿宋_GBK" w:cs="Times New Roman"/>
          <w:sz w:val="32"/>
          <w:szCs w:val="32"/>
          <w:shd w:val="clear" w:color="auto" w:fill="FFFFFF"/>
        </w:rPr>
        <w:t>%，较年初预算数无增减，主要原因是单位新增人员的医保缴费支出列入社保缴费。</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住房保障支出9.87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%，较年初预算数减少0.09万元，下降0.90%，主要原因是年底追加的公积金列入基本工资中，导致公积金支出下降。</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246.65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214.66</w:t>
      </w:r>
      <w:r>
        <w:rPr>
          <w:rFonts w:hint="default" w:ascii="Times New Roman" w:hAnsi="Times New Roman" w:eastAsia="方正仿宋_GBK" w:cs="Times New Roman"/>
          <w:sz w:val="32"/>
          <w:szCs w:val="32"/>
          <w:shd w:val="clear" w:color="auto" w:fill="FFFFFF"/>
        </w:rPr>
        <w:t>万元，较上年决算数增加44.00万元，增长25.78%，主要原因是单位新增2人。人员经费用途主要包括</w:t>
      </w:r>
      <w:r>
        <w:rPr>
          <w:rFonts w:hint="default" w:ascii="Times New Roman" w:hAnsi="Times New Roman" w:eastAsia="方正仿宋_GBK" w:cs="Times New Roman"/>
          <w:sz w:val="32"/>
          <w:szCs w:val="32"/>
        </w:rPr>
        <w:t>工资、社保、医保、公积金等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31.99</w:t>
      </w:r>
      <w:r>
        <w:rPr>
          <w:rFonts w:hint="default" w:ascii="Times New Roman" w:hAnsi="Times New Roman" w:eastAsia="方正仿宋_GBK" w:cs="Times New Roman"/>
          <w:sz w:val="32"/>
          <w:szCs w:val="32"/>
          <w:shd w:val="clear" w:color="auto" w:fill="FFFFFF"/>
        </w:rPr>
        <w:t>万元，较上年决算数增加14.35万元，增长81.35%，主要原因是单位新增2人。公用经费用途主要包括</w:t>
      </w:r>
      <w:r>
        <w:rPr>
          <w:rFonts w:hint="default" w:ascii="Times New Roman" w:hAnsi="Times New Roman" w:eastAsia="方正仿宋_GBK" w:cs="Times New Roman"/>
          <w:sz w:val="32"/>
          <w:szCs w:val="32"/>
        </w:rPr>
        <w:t>办公费、差旅费、手续费等支出</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kinsoku/>
        <w:wordWrap/>
        <w:overflowPunct/>
        <w:topLinePunct w:val="0"/>
        <w:autoSpaceDN/>
        <w:bidi w:val="0"/>
        <w:adjustRightInd/>
        <w:spacing w:beforeAutospacing="0" w:afterAutospacing="0" w:line="60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bookmarkStart w:id="0" w:name="_GoBack"/>
      <w:bookmarkEnd w:id="0"/>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万元，较年初预算数无增减，主要原因是我单位属于同机关合署办公的下属事业单位，本单位本年无三公经费支出。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kinsoku/>
        <w:wordWrap/>
        <w:overflowPunct/>
        <w:topLinePunct w:val="0"/>
        <w:autoSpaceDN/>
        <w:bidi w:val="0"/>
        <w:adjustRightInd/>
        <w:spacing w:beforeAutospacing="0" w:afterAutospacing="0" w:line="60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万元，较上年决算数减少0.13万元，下降100.00%，主要原因是本年无重大会议。本年度培训费支出</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万元，较上年决算数无增减。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按照单位决算列报口径，我单位不在机关运行经费统计范围之内。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截至2022年12月31日，因本单位无车辆，我单位资产未纳入单位决算报表。</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kinsoku/>
        <w:wordWrap/>
        <w:overflowPunct/>
        <w:topLinePunct w:val="0"/>
        <w:autoSpaceDN/>
        <w:bidi w:val="0"/>
        <w:adjustRightInd/>
        <w:spacing w:beforeAutospacing="0" w:afterAutospacing="0" w:line="600"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根据预算绩效管理要求，我单位对单位整体1个项目开展了绩效自评，涉及财政拨款项目支出资金2.67万元。</w:t>
      </w:r>
    </w:p>
    <w:p>
      <w:pPr>
        <w:pStyle w:val="12"/>
        <w:autoSpaceDE w:val="0"/>
        <w:spacing w:before="0" w:beforeAutospacing="0" w:line="600" w:lineRule="exact"/>
        <w:ind w:firstLine="640" w:firstLineChars="200"/>
        <w:jc w:val="center"/>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rPr>
        <w:t>023</w:t>
      </w:r>
      <w:r>
        <w:rPr>
          <w:rFonts w:hint="default" w:ascii="Times New Roman" w:hAnsi="Times New Roman" w:eastAsia="方正仿宋_GBK" w:cs="Times New Roman"/>
          <w:sz w:val="32"/>
          <w:szCs w:val="32"/>
          <w:shd w:val="clear" w:color="auto" w:fill="FFFFFF"/>
        </w:rPr>
        <w:t>年度单位整体绩效自评表</w:t>
      </w:r>
    </w:p>
    <w:tbl>
      <w:tblPr>
        <w:tblStyle w:val="7"/>
        <w:tblW w:w="10683" w:type="dxa"/>
        <w:jc w:val="center"/>
        <w:tblLayout w:type="autofit"/>
        <w:tblCellMar>
          <w:top w:w="0" w:type="dxa"/>
          <w:left w:w="108" w:type="dxa"/>
          <w:bottom w:w="0" w:type="dxa"/>
          <w:right w:w="108" w:type="dxa"/>
        </w:tblCellMar>
      </w:tblPr>
      <w:tblGrid>
        <w:gridCol w:w="1277"/>
        <w:gridCol w:w="616"/>
        <w:gridCol w:w="850"/>
        <w:gridCol w:w="992"/>
        <w:gridCol w:w="1002"/>
        <w:gridCol w:w="834"/>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微软雅黑" w:cs="Times New Roman"/>
                <w:b/>
                <w:bCs/>
                <w:color w:val="000000"/>
                <w:sz w:val="36"/>
                <w:szCs w:val="40"/>
              </w:rPr>
            </w:pPr>
            <w:r>
              <w:rPr>
                <w:rFonts w:hint="default" w:ascii="Times New Roman" w:hAnsi="Times New Roman" w:eastAsia="微软雅黑" w:cs="Times New Roman"/>
                <w:b/>
                <w:bCs/>
                <w:color w:val="000000"/>
                <w:sz w:val="32"/>
                <w:szCs w:val="40"/>
              </w:rPr>
              <w:t>2023年度单位整体绩效自评表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line="240" w:lineRule="atLeast"/>
              <w:rPr>
                <w:rFonts w:hint="default" w:ascii="Times New Roman" w:hAnsi="Times New Roman" w:cs="Times New Roman"/>
                <w:color w:val="000000"/>
                <w:sz w:val="13"/>
                <w:szCs w:val="13"/>
              </w:rPr>
            </w:pPr>
            <w:r>
              <w:rPr>
                <w:rFonts w:hint="default" w:ascii="Times New Roman" w:hAnsi="Times New Roman" w:cs="Times New Roman"/>
                <w:color w:val="000000"/>
                <w:sz w:val="13"/>
                <w:szCs w:val="13"/>
              </w:rPr>
              <w:t>2022年驻村工作经费</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项目编码：</w:t>
            </w:r>
          </w:p>
        </w:tc>
        <w:tc>
          <w:tcPr>
            <w:tcW w:w="1560" w:type="dxa"/>
            <w:gridSpan w:val="2"/>
            <w:tcBorders>
              <w:top w:val="nil"/>
              <w:left w:val="nil"/>
              <w:bottom w:val="single" w:color="auto" w:sz="4" w:space="0"/>
              <w:right w:val="single" w:color="auto" w:sz="4" w:space="0"/>
            </w:tcBorders>
            <w:noWrap/>
            <w:vAlign w:val="center"/>
          </w:tcPr>
          <w:p>
            <w:pPr>
              <w:spacing w:line="240" w:lineRule="atLeast"/>
              <w:ind w:firstLine="130" w:firstLineChars="100"/>
              <w:rPr>
                <w:rFonts w:hint="default" w:ascii="Times New Roman" w:hAnsi="Times New Roman" w:cs="Times New Roman"/>
                <w:color w:val="000000"/>
                <w:sz w:val="13"/>
                <w:szCs w:val="13"/>
              </w:rPr>
            </w:pPr>
            <w:r>
              <w:rPr>
                <w:rFonts w:hint="default" w:ascii="Times New Roman" w:hAnsi="Times New Roman" w:cs="Times New Roman"/>
                <w:color w:val="000000"/>
                <w:sz w:val="13"/>
                <w:szCs w:val="13"/>
              </w:rPr>
              <w:t>50023022T000002448313　</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992"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line="240" w:lineRule="atLeast"/>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项目主管单位：</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atLeast"/>
              <w:ind w:firstLine="110" w:firstLineChars="100"/>
              <w:rPr>
                <w:rFonts w:hint="default" w:ascii="Times New Roman" w:hAnsi="Times New Roman" w:cs="Times New Roman"/>
                <w:color w:val="000000"/>
                <w:sz w:val="11"/>
                <w:szCs w:val="11"/>
              </w:rPr>
            </w:pPr>
            <w:r>
              <w:rPr>
                <w:rFonts w:hint="default" w:ascii="Times New Roman" w:hAnsi="Times New Roman" w:cs="Times New Roman"/>
                <w:color w:val="000000"/>
                <w:sz w:val="11"/>
                <w:szCs w:val="11"/>
              </w:rPr>
              <w:t>203丰都县文化和旅游发展委员会　</w:t>
            </w:r>
          </w:p>
        </w:tc>
        <w:tc>
          <w:tcPr>
            <w:tcW w:w="992" w:type="dxa"/>
            <w:tcBorders>
              <w:top w:val="nil"/>
              <w:left w:val="nil"/>
              <w:bottom w:val="single" w:color="auto" w:sz="4" w:space="0"/>
              <w:right w:val="single" w:color="auto" w:sz="4" w:space="0"/>
            </w:tcBorders>
            <w:noWrap/>
            <w:vAlign w:val="center"/>
          </w:tcPr>
          <w:p>
            <w:pPr>
              <w:spacing w:line="240" w:lineRule="atLeast"/>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财政归口处室：</w:t>
            </w:r>
          </w:p>
        </w:tc>
        <w:tc>
          <w:tcPr>
            <w:tcW w:w="1560"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002-教科文科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单位</w:t>
            </w:r>
          </w:p>
          <w:p>
            <w:pPr>
              <w:spacing w:line="240" w:lineRule="atLeast"/>
              <w:ind w:right="16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刘洋</w:t>
            </w:r>
          </w:p>
        </w:tc>
        <w:tc>
          <w:tcPr>
            <w:tcW w:w="992" w:type="dxa"/>
            <w:tcBorders>
              <w:top w:val="nil"/>
              <w:left w:val="nil"/>
              <w:bottom w:val="single" w:color="auto" w:sz="4" w:space="0"/>
              <w:right w:val="single" w:color="auto" w:sz="4" w:space="0"/>
            </w:tcBorders>
            <w:noWrap/>
            <w:vAlign w:val="center"/>
          </w:tcPr>
          <w:p>
            <w:pPr>
              <w:spacing w:line="240" w:lineRule="atLeast"/>
              <w:ind w:right="18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联系</w:t>
            </w:r>
          </w:p>
          <w:p>
            <w:pPr>
              <w:spacing w:line="240" w:lineRule="atLeast"/>
              <w:ind w:right="18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13452370029　</w:t>
            </w:r>
          </w:p>
        </w:tc>
      </w:tr>
      <w:tr>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ind w:right="724"/>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年初预算数</w:t>
            </w:r>
          </w:p>
        </w:tc>
        <w:tc>
          <w:tcPr>
            <w:tcW w:w="1560"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w:t>
            </w:r>
          </w:p>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ind w:right="161"/>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ind w:right="322"/>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执行率</w:t>
            </w:r>
          </w:p>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560"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26700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26700</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sz w:val="16"/>
                <w:szCs w:val="16"/>
              </w:rPr>
            </w:pPr>
            <w:r>
              <w:rPr>
                <w:rFonts w:hint="default" w:ascii="Times New Roman" w:hAnsi="Times New Roman" w:cs="Times New Roman"/>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p>
        </w:tc>
        <w:tc>
          <w:tcPr>
            <w:tcW w:w="1560"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26700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26700</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sz w:val="16"/>
                <w:szCs w:val="16"/>
              </w:rPr>
            </w:pPr>
            <w:r>
              <w:rPr>
                <w:rFonts w:hint="default" w:ascii="Times New Roman" w:hAnsi="Times New Roman" w:cs="Times New Roman"/>
                <w:sz w:val="16"/>
                <w:szCs w:val="16"/>
              </w:rPr>
              <w:t>10</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sz w:val="16"/>
                <w:szCs w:val="16"/>
              </w:rPr>
            </w:pPr>
            <w:r>
              <w:rPr>
                <w:rFonts w:hint="default" w:ascii="Times New Roman" w:hAnsi="Times New Roman" w:cs="Times New Roman"/>
                <w:sz w:val="16"/>
                <w:szCs w:val="16"/>
              </w:rPr>
              <w:t>10</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560"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26700</w:t>
            </w:r>
          </w:p>
        </w:tc>
        <w:tc>
          <w:tcPr>
            <w:tcW w:w="1752"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26700</w:t>
            </w:r>
          </w:p>
        </w:tc>
        <w:tc>
          <w:tcPr>
            <w:tcW w:w="1791" w:type="dxa"/>
            <w:gridSpan w:val="2"/>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902"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sz w:val="16"/>
                <w:szCs w:val="16"/>
              </w:rPr>
            </w:pPr>
            <w:r>
              <w:rPr>
                <w:rFonts w:hint="default" w:ascii="Times New Roman" w:hAnsi="Times New Roman" w:cs="Times New Roman"/>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年初绩效目标</w:t>
            </w:r>
          </w:p>
        </w:tc>
        <w:tc>
          <w:tcPr>
            <w:tcW w:w="3312" w:type="dxa"/>
            <w:gridSpan w:val="4"/>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完成2023年扶贫驻村工作</w:t>
            </w:r>
          </w:p>
        </w:tc>
        <w:tc>
          <w:tcPr>
            <w:tcW w:w="3312" w:type="dxa"/>
            <w:gridSpan w:val="4"/>
            <w:tcBorders>
              <w:top w:val="single" w:color="auto" w:sz="4" w:space="0"/>
              <w:left w:val="nil"/>
              <w:bottom w:val="single" w:color="auto" w:sz="4" w:space="0"/>
              <w:right w:val="single" w:color="auto" w:sz="4" w:space="0"/>
            </w:tcBorders>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完成2023年扶贫驻村工作</w:t>
            </w:r>
          </w:p>
        </w:tc>
        <w:tc>
          <w:tcPr>
            <w:tcW w:w="3685" w:type="dxa"/>
            <w:gridSpan w:val="4"/>
            <w:tcBorders>
              <w:top w:val="single" w:color="auto" w:sz="4" w:space="0"/>
              <w:left w:val="nil"/>
              <w:bottom w:val="single" w:color="auto" w:sz="4" w:space="0"/>
              <w:right w:val="single" w:color="auto" w:sz="4" w:space="0"/>
            </w:tcBorders>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完成2023年扶贫驻村工作</w:t>
            </w:r>
          </w:p>
        </w:tc>
      </w:tr>
      <w:tr>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微软雅黑" w:cs="Times New Roman"/>
                <w:b/>
                <w:bCs/>
                <w:color w:val="808080"/>
                <w:sz w:val="28"/>
                <w:szCs w:val="28"/>
              </w:rPr>
            </w:pPr>
            <w:r>
              <w:rPr>
                <w:rFonts w:hint="default" w:ascii="Times New Roman" w:hAnsi="Times New Roman" w:eastAsia="微软雅黑" w:cs="Times New Roman"/>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名称</w:t>
            </w:r>
          </w:p>
        </w:tc>
        <w:tc>
          <w:tcPr>
            <w:tcW w:w="567"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计量单位</w:t>
            </w:r>
          </w:p>
        </w:tc>
        <w:tc>
          <w:tcPr>
            <w:tcW w:w="850"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性质</w:t>
            </w:r>
          </w:p>
        </w:tc>
        <w:tc>
          <w:tcPr>
            <w:tcW w:w="992"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指标值</w:t>
            </w:r>
          </w:p>
        </w:tc>
        <w:tc>
          <w:tcPr>
            <w:tcW w:w="851"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全年完成值</w:t>
            </w:r>
          </w:p>
        </w:tc>
        <w:tc>
          <w:tcPr>
            <w:tcW w:w="709"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得分系数（%）</w:t>
            </w:r>
          </w:p>
        </w:tc>
        <w:tc>
          <w:tcPr>
            <w:tcW w:w="709"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权重</w:t>
            </w:r>
          </w:p>
        </w:tc>
        <w:tc>
          <w:tcPr>
            <w:tcW w:w="799"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指标</w:t>
            </w:r>
          </w:p>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得分</w:t>
            </w:r>
          </w:p>
        </w:tc>
        <w:tc>
          <w:tcPr>
            <w:tcW w:w="992"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b/>
                <w:bCs/>
                <w:color w:val="000000"/>
                <w:sz w:val="16"/>
              </w:rPr>
            </w:pPr>
            <w:r>
              <w:rPr>
                <w:rFonts w:hint="default" w:ascii="Times New Roman" w:hAnsi="Times New Roman" w:cs="Times New Roman"/>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全年驻村天数　</w:t>
            </w:r>
          </w:p>
        </w:tc>
        <w:tc>
          <w:tcPr>
            <w:tcW w:w="567"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天　</w:t>
            </w:r>
          </w:p>
        </w:tc>
        <w:tc>
          <w:tcPr>
            <w:tcW w:w="850"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　</w:t>
            </w:r>
          </w:p>
        </w:tc>
        <w:tc>
          <w:tcPr>
            <w:tcW w:w="992"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240　</w:t>
            </w:r>
          </w:p>
        </w:tc>
        <w:tc>
          <w:tcPr>
            <w:tcW w:w="851"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240　</w:t>
            </w:r>
          </w:p>
        </w:tc>
        <w:tc>
          <w:tcPr>
            <w:tcW w:w="709"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0　</w:t>
            </w:r>
          </w:p>
        </w:tc>
        <w:tc>
          <w:tcPr>
            <w:tcW w:w="1043"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100　</w:t>
            </w:r>
          </w:p>
        </w:tc>
        <w:tc>
          <w:tcPr>
            <w:tcW w:w="709"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20　</w:t>
            </w:r>
          </w:p>
        </w:tc>
        <w:tc>
          <w:tcPr>
            <w:tcW w:w="799"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20　</w:t>
            </w:r>
          </w:p>
        </w:tc>
        <w:tc>
          <w:tcPr>
            <w:tcW w:w="992" w:type="dxa"/>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驻村时长</w:t>
            </w:r>
          </w:p>
        </w:tc>
        <w:tc>
          <w:tcPr>
            <w:tcW w:w="567"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天</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r>
              <w:rPr>
                <w:rFonts w:hint="default" w:ascii="Times New Roman" w:hAnsi="Times New Roman" w:cs="Times New Roman"/>
                <w:b/>
                <w:bCs/>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240　</w:t>
            </w:r>
          </w:p>
        </w:tc>
        <w:tc>
          <w:tcPr>
            <w:tcW w:w="851" w:type="dxa"/>
            <w:tcBorders>
              <w:top w:val="nil"/>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240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驻村每天补助金额</w:t>
            </w:r>
          </w:p>
        </w:tc>
        <w:tc>
          <w:tcPr>
            <w:tcW w:w="567"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元/天　</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851" w:type="dxa"/>
            <w:tcBorders>
              <w:top w:val="nil"/>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带动周边就业人数</w:t>
            </w:r>
          </w:p>
        </w:tc>
        <w:tc>
          <w:tcPr>
            <w:tcW w:w="567" w:type="dxa"/>
            <w:tcBorders>
              <w:top w:val="nil"/>
              <w:left w:val="nil"/>
              <w:bottom w:val="single" w:color="auto" w:sz="4" w:space="0"/>
              <w:right w:val="single" w:color="auto" w:sz="4" w:space="0"/>
            </w:tcBorders>
            <w:noWrap/>
            <w:vAlign w:val="center"/>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人/户　</w:t>
            </w:r>
          </w:p>
        </w:tc>
        <w:tc>
          <w:tcPr>
            <w:tcW w:w="850" w:type="dxa"/>
            <w:tcBorders>
              <w:top w:val="nil"/>
              <w:left w:val="nil"/>
              <w:bottom w:val="single" w:color="auto" w:sz="4" w:space="0"/>
              <w:right w:val="single" w:color="auto" w:sz="4" w:space="0"/>
            </w:tcBorders>
            <w:noWrap/>
            <w:vAlign w:val="center"/>
          </w:tcPr>
          <w:p>
            <w:pPr>
              <w:ind w:firstLine="161" w:firstLineChars="100"/>
              <w:rPr>
                <w:rFonts w:hint="default" w:ascii="Times New Roman" w:hAnsi="Times New Roman" w:cs="Times New Roman"/>
                <w:color w:val="000000"/>
                <w:sz w:val="16"/>
                <w:szCs w:val="16"/>
              </w:rPr>
            </w:pPr>
            <w:r>
              <w:rPr>
                <w:rFonts w:hint="default" w:ascii="Times New Roman" w:hAnsi="Times New Roman" w:cs="Times New Roman"/>
                <w:b/>
                <w:bCs/>
                <w:color w:val="000000"/>
                <w:sz w:val="16"/>
                <w:szCs w:val="16"/>
              </w:rPr>
              <w:t>≥　</w:t>
            </w:r>
            <w:r>
              <w:rPr>
                <w:rFonts w:hint="default" w:ascii="Times New Roman" w:hAnsi="Times New Roman" w:cs="Times New Roman"/>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851" w:type="dxa"/>
            <w:tcBorders>
              <w:top w:val="nil"/>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群众满意度　</w:t>
            </w:r>
          </w:p>
        </w:tc>
        <w:tc>
          <w:tcPr>
            <w:tcW w:w="567"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850" w:type="dxa"/>
            <w:tcBorders>
              <w:top w:val="nil"/>
              <w:left w:val="nil"/>
              <w:bottom w:val="single" w:color="auto" w:sz="4" w:space="0"/>
              <w:right w:val="single" w:color="auto" w:sz="4" w:space="0"/>
            </w:tcBorders>
            <w:noWrap/>
            <w:vAlign w:val="center"/>
          </w:tcPr>
          <w:p>
            <w:pPr>
              <w:ind w:firstLine="161" w:firstLineChars="100"/>
              <w:rPr>
                <w:rFonts w:hint="default" w:ascii="Times New Roman" w:hAnsi="Times New Roman" w:cs="Times New Roman"/>
                <w:color w:val="000000"/>
                <w:sz w:val="16"/>
                <w:szCs w:val="16"/>
              </w:rPr>
            </w:pPr>
            <w:r>
              <w:rPr>
                <w:rFonts w:hint="default" w:ascii="Times New Roman" w:hAnsi="Times New Roman" w:cs="Times New Roman"/>
                <w:b/>
                <w:bCs/>
                <w:color w:val="000000"/>
                <w:sz w:val="16"/>
                <w:szCs w:val="16"/>
              </w:rPr>
              <w:t>≥　</w:t>
            </w:r>
            <w:r>
              <w:rPr>
                <w:rFonts w:hint="default" w:ascii="Times New Roman" w:hAnsi="Times New Roman" w:cs="Times New Roman"/>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85　</w:t>
            </w:r>
          </w:p>
        </w:tc>
        <w:tc>
          <w:tcPr>
            <w:tcW w:w="851" w:type="dxa"/>
            <w:tcBorders>
              <w:top w:val="nil"/>
              <w:left w:val="nil"/>
              <w:bottom w:val="single" w:color="auto" w:sz="4" w:space="0"/>
              <w:right w:val="single" w:color="auto" w:sz="4" w:space="0"/>
            </w:tcBorders>
            <w:noWrap/>
            <w:vAlign w:val="center"/>
          </w:tcPr>
          <w:p>
            <w:pPr>
              <w:ind w:firstLine="160" w:firstLineChars="100"/>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85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100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567"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850"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851"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043"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70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799" w:type="dxa"/>
            <w:tcBorders>
              <w:top w:val="nil"/>
              <w:left w:val="nil"/>
              <w:bottom w:val="single" w:color="auto" w:sz="4" w:space="0"/>
              <w:right w:val="single" w:color="auto" w:sz="4" w:space="0"/>
            </w:tcBorders>
            <w:noWrap/>
            <w:vAlign w:val="center"/>
          </w:tcPr>
          <w:p>
            <w:pPr>
              <w:ind w:firstLine="160" w:firstLineChars="10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992" w:type="dxa"/>
            <w:tcBorders>
              <w:top w:val="nil"/>
              <w:left w:val="nil"/>
              <w:bottom w:val="single" w:color="auto" w:sz="4" w:space="0"/>
              <w:right w:val="single" w:color="auto" w:sz="4" w:space="0"/>
            </w:tcBorders>
            <w:noWrap/>
            <w:vAlign w:val="center"/>
          </w:tcPr>
          <w:p>
            <w:pPr>
              <w:ind w:firstLine="160" w:firstLineChars="100"/>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w:t>
            </w:r>
          </w:p>
        </w:tc>
      </w:tr>
    </w:tbl>
    <w:p>
      <w:pPr>
        <w:pStyle w:val="12"/>
        <w:autoSpaceDE w:val="0"/>
        <w:spacing w:before="0" w:beforeAutospacing="0" w:line="600" w:lineRule="exact"/>
        <w:jc w:val="both"/>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rPr>
        <w:t>2022年驻村扶贫工作经费</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rPr>
        <w:t>2.67</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rPr>
        <w:t>优</w:t>
      </w:r>
      <w:r>
        <w:rPr>
          <w:rFonts w:hint="default" w:ascii="Times New Roman" w:hAnsi="Times New Roman" w:eastAsia="方正仿宋_GBK" w:cs="Times New Roman"/>
          <w:sz w:val="32"/>
          <w:szCs w:val="32"/>
          <w:shd w:val="clear" w:color="auto" w:fill="FFFFFF"/>
        </w:rPr>
        <w:t>，绩效评价未发现问题。</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指本年度从本级财政单位取得的财政拨款，包括一般公共预算财政拨款和政府性基金预算财政拨款。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 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刘洋          023-70618088</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重庆市丰都县旅游宣传营销中心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246.00</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201.18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246.00</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246.65</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0.65</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246.65</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246.65</w:t>
            </w:r>
            <w:r>
              <w:rPr>
                <w:rFonts w:hint="default" w:ascii="Times New Roman" w:hAnsi="Times New Roman" w:cs="Times New Roman"/>
                <w:color w:val="000000"/>
                <w:sz w:val="20"/>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重庆市丰都县旅游宣传营销中心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246.00</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246.00</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200.53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200.53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198.82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198.82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198.82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198.82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6.64</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重庆市丰都县旅游宣传营销中心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246.65</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246.65</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201.18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199.47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199.47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199.47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199.47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重庆市丰都县旅游宣传营销中心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246.00</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201.18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201.18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10.51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246.00</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246.65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246.65</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重庆市丰都县旅游宣传营销中心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246.65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246.65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201.18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201.18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199.47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199.47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199.47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199.47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1.70</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8.69</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10.51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6.64</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重庆市丰都县旅游宣传营销中心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212.39</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48.18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118.11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8.88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6.64</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214.66</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31.99</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重庆市丰都县旅游宣传营销中心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重庆市丰都县旅游宣传营销中心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重庆市丰都县旅游宣传营销中心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yOWNiMGEwMTczOTUxNzU4MTc1YWE2MWRjODYwZWEifQ=="/>
  </w:docVars>
  <w:rsids>
    <w:rsidRoot w:val="00B03CCD"/>
    <w:rsid w:val="001D3BB7"/>
    <w:rsid w:val="001E15AB"/>
    <w:rsid w:val="002B254B"/>
    <w:rsid w:val="00466C9B"/>
    <w:rsid w:val="00550ABE"/>
    <w:rsid w:val="006245F8"/>
    <w:rsid w:val="00770383"/>
    <w:rsid w:val="007819D4"/>
    <w:rsid w:val="007B419D"/>
    <w:rsid w:val="007B7C4B"/>
    <w:rsid w:val="007D3D39"/>
    <w:rsid w:val="00994AF7"/>
    <w:rsid w:val="009B67B8"/>
    <w:rsid w:val="009D2B67"/>
    <w:rsid w:val="00A566F9"/>
    <w:rsid w:val="00A6771F"/>
    <w:rsid w:val="00AF2751"/>
    <w:rsid w:val="00B03CCD"/>
    <w:rsid w:val="00B741A5"/>
    <w:rsid w:val="00BE2B89"/>
    <w:rsid w:val="00C10E9E"/>
    <w:rsid w:val="00C20C3E"/>
    <w:rsid w:val="00D163E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D74679"/>
    <w:rsid w:val="10DB53EB"/>
    <w:rsid w:val="10EC0126"/>
    <w:rsid w:val="10F70B9A"/>
    <w:rsid w:val="111445C7"/>
    <w:rsid w:val="114278C6"/>
    <w:rsid w:val="1158083A"/>
    <w:rsid w:val="11643A4B"/>
    <w:rsid w:val="11AA1C0A"/>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00349"/>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7E0787"/>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1A1F12"/>
    <w:rsid w:val="352930DB"/>
    <w:rsid w:val="35573069"/>
    <w:rsid w:val="355F6038"/>
    <w:rsid w:val="358C217E"/>
    <w:rsid w:val="36C9128A"/>
    <w:rsid w:val="37070849"/>
    <w:rsid w:val="37841E99"/>
    <w:rsid w:val="37BF1123"/>
    <w:rsid w:val="383C3F15"/>
    <w:rsid w:val="38BE4696"/>
    <w:rsid w:val="3939115E"/>
    <w:rsid w:val="39B82A39"/>
    <w:rsid w:val="39C42CA8"/>
    <w:rsid w:val="39DC4FD6"/>
    <w:rsid w:val="39F03D7A"/>
    <w:rsid w:val="39F33306"/>
    <w:rsid w:val="3A2C1C67"/>
    <w:rsid w:val="3ADD7F09"/>
    <w:rsid w:val="3AF33EB0"/>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E7D38"/>
    <w:rsid w:val="465B470D"/>
    <w:rsid w:val="469D6AD4"/>
    <w:rsid w:val="471E6C84"/>
    <w:rsid w:val="4748792B"/>
    <w:rsid w:val="475D719D"/>
    <w:rsid w:val="47674801"/>
    <w:rsid w:val="479C191B"/>
    <w:rsid w:val="48225EF7"/>
    <w:rsid w:val="488F422B"/>
    <w:rsid w:val="48E36915"/>
    <w:rsid w:val="48EB6572"/>
    <w:rsid w:val="495C4A24"/>
    <w:rsid w:val="497135DF"/>
    <w:rsid w:val="4A263DF2"/>
    <w:rsid w:val="4A6F6675"/>
    <w:rsid w:val="4B135857"/>
    <w:rsid w:val="4B7951CB"/>
    <w:rsid w:val="4B7C315C"/>
    <w:rsid w:val="4BAC0735"/>
    <w:rsid w:val="4D7265C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C6163E"/>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8C2214"/>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D415F"/>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1908</Words>
  <Characters>10879</Characters>
  <Lines>90</Lines>
  <Paragraphs>25</Paragraphs>
  <TotalTime>11</TotalTime>
  <ScaleCrop>false</ScaleCrop>
  <LinksUpToDate>false</LinksUpToDate>
  <CharactersWithSpaces>12762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2024-09-26T02:29:38Z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BB46EABDBB2749749395447164B066B3_12</vt:lpwstr>
  </property>
</Properties>
</file>