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kinsoku/>
        <w:overflowPunct/>
        <w:topLinePunct w:val="0"/>
        <w:autoSpaceDN/>
        <w:bidi w:val="0"/>
        <w:adjustRightInd/>
        <w:spacing w:before="0" w:beforeAutospacing="0" w:after="0" w:afterAutospacing="0" w:line="60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丰都县图书馆</w:t>
      </w:r>
    </w:p>
    <w:p>
      <w:pPr>
        <w:pStyle w:val="6"/>
        <w:keepNext w:val="0"/>
        <w:keepLines w:val="0"/>
        <w:pageBreakBefore w:val="0"/>
        <w:kinsoku/>
        <w:overflowPunct/>
        <w:topLinePunct w:val="0"/>
        <w:autoSpaceDN/>
        <w:bidi w:val="0"/>
        <w:adjustRightInd/>
        <w:spacing w:before="0" w:beforeAutospacing="0" w:after="0" w:afterAutospacing="0" w:line="60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2023年度决算公开说明</w:t>
      </w:r>
      <w:bookmarkStart w:id="0" w:name="_GoBack"/>
      <w:bookmarkEnd w:id="0"/>
    </w:p>
    <w:p>
      <w:pPr>
        <w:pStyle w:val="6"/>
        <w:keepNext w:val="0"/>
        <w:keepLines w:val="0"/>
        <w:pageBreakBefore w:val="0"/>
        <w:kinsoku/>
        <w:overflowPunct/>
        <w:topLinePunct w:val="0"/>
        <w:autoSpaceDN/>
        <w:bidi w:val="0"/>
        <w:adjustRightInd/>
        <w:spacing w:before="0" w:beforeAutospacing="0" w:after="0" w:afterAutospacing="0" w:line="600" w:lineRule="exact"/>
        <w:ind w:left="0" w:firstLine="640" w:firstLineChars="200"/>
        <w:rPr>
          <w:rStyle w:val="10"/>
          <w:rFonts w:hint="default" w:ascii="Times New Roman" w:hAnsi="Times New Roman" w:eastAsia="方正黑体_GBK" w:cs="Times New Roman"/>
          <w:b w:val="0"/>
          <w:sz w:val="32"/>
          <w:szCs w:val="32"/>
        </w:rPr>
      </w:pPr>
      <w:r>
        <w:rPr>
          <w:rStyle w:val="10"/>
          <w:rFonts w:hint="default" w:ascii="Times New Roman" w:hAnsi="Times New Roman" w:eastAsia="方正黑体_GBK" w:cs="Times New Roman"/>
          <w:b w:val="0"/>
          <w:sz w:val="32"/>
          <w:szCs w:val="32"/>
        </w:rPr>
        <w:t>一、单位基本情况</w:t>
      </w:r>
    </w:p>
    <w:p>
      <w:pPr>
        <w:keepNext w:val="0"/>
        <w:keepLines w:val="0"/>
        <w:pageBreakBefore w:val="0"/>
        <w:kinsoku/>
        <w:overflowPunct/>
        <w:topLinePunct w:val="0"/>
        <w:autoSpaceDN/>
        <w:bidi w:val="0"/>
        <w:adjustRightInd/>
        <w:spacing w:line="600" w:lineRule="exact"/>
        <w:ind w:left="0" w:firstLine="640" w:firstLineChars="200"/>
        <w:rPr>
          <w:rFonts w:hint="default" w:ascii="Times New Roman" w:hAnsi="Times New Roman" w:eastAsia="方正仿宋_GBK" w:cs="Times New Roman"/>
          <w:color w:val="000000"/>
          <w:sz w:val="32"/>
          <w:szCs w:val="32"/>
          <w:shd w:val="clear" w:color="auto" w:fill="FFFFFF"/>
          <w:lang w:eastAsia="zh-Hans"/>
        </w:rPr>
      </w:pPr>
      <w:r>
        <w:rPr>
          <w:rStyle w:val="10"/>
          <w:rFonts w:hint="default" w:ascii="Times New Roman" w:hAnsi="Times New Roman" w:eastAsia="方正楷体_GBK" w:cs="Times New Roman"/>
          <w:b w:val="0"/>
          <w:sz w:val="32"/>
          <w:szCs w:val="32"/>
        </w:rPr>
        <w:t>（一）职能职责。</w:t>
      </w:r>
      <w:r>
        <w:rPr>
          <w:rFonts w:hint="default" w:ascii="Times New Roman" w:hAnsi="Times New Roman" w:eastAsia="方正仿宋_GBK" w:cs="Times New Roman"/>
          <w:color w:val="000000"/>
          <w:sz w:val="32"/>
          <w:szCs w:val="32"/>
          <w:shd w:val="clear" w:color="auto" w:fill="FFFFFF"/>
          <w:lang w:eastAsia="zh-Hans"/>
        </w:rPr>
        <w:t>收藏流通开放利用文献，促进社会经济文化发展，负责文献收集、保存、流通、开发利用；新型图书馆业务拓展与服务；负责古籍业务指导；负责文化共享工程业务指导；负责利用馆藏资源传播知识文化；开展相关学科课题及学术研究。</w:t>
      </w:r>
    </w:p>
    <w:p>
      <w:pPr>
        <w:keepNext w:val="0"/>
        <w:keepLines w:val="0"/>
        <w:pageBreakBefore w:val="0"/>
        <w:kinsoku/>
        <w:overflowPunct/>
        <w:topLinePunct w:val="0"/>
        <w:autoSpaceDN/>
        <w:bidi w:val="0"/>
        <w:adjustRightInd/>
        <w:spacing w:line="600" w:lineRule="exact"/>
        <w:ind w:left="0" w:firstLine="640" w:firstLineChars="200"/>
        <w:rPr>
          <w:rFonts w:hint="default" w:ascii="Times New Roman" w:hAnsi="Times New Roman" w:eastAsia="方正仿宋_GBK" w:cs="Times New Roman"/>
          <w:color w:val="000000"/>
          <w:sz w:val="32"/>
          <w:szCs w:val="32"/>
          <w:shd w:val="clear" w:color="auto" w:fill="FFFFFF"/>
          <w:lang w:eastAsia="zh-Hans"/>
        </w:rPr>
      </w:pPr>
      <w:r>
        <w:rPr>
          <w:rFonts w:hint="default" w:ascii="Times New Roman" w:hAnsi="Times New Roman" w:eastAsia="方正楷体_GBK" w:cs="Times New Roman"/>
          <w:sz w:val="32"/>
          <w:szCs w:val="32"/>
        </w:rPr>
        <w:t>（二）机构设置。</w:t>
      </w:r>
      <w:r>
        <w:rPr>
          <w:rFonts w:hint="default" w:ascii="Times New Roman" w:hAnsi="Times New Roman" w:eastAsia="方正仿宋_GBK" w:cs="Times New Roman"/>
          <w:color w:val="000000"/>
          <w:sz w:val="32"/>
          <w:szCs w:val="32"/>
          <w:shd w:val="clear" w:color="auto" w:fill="FFFFFF"/>
          <w:lang w:eastAsia="zh-Hans"/>
        </w:rPr>
        <w:t>本单位无内设机构。</w:t>
      </w:r>
    </w:p>
    <w:p>
      <w:pPr>
        <w:pStyle w:val="6"/>
        <w:keepNext w:val="0"/>
        <w:keepLines w:val="0"/>
        <w:pageBreakBefore w:val="0"/>
        <w:shd w:val="clear" w:color="auto"/>
        <w:kinsoku/>
        <w:overflowPunct/>
        <w:topLinePunct w:val="0"/>
        <w:autoSpaceDN/>
        <w:bidi w:val="0"/>
        <w:adjustRightInd/>
        <w:spacing w:beforeAutospacing="0" w:afterAutospacing="0" w:line="600" w:lineRule="exact"/>
        <w:ind w:left="0" w:firstLine="722" w:firstLineChars="225"/>
        <w:rPr>
          <w:rStyle w:val="10"/>
          <w:rFonts w:hint="default" w:ascii="Times New Roman" w:hAnsi="Times New Roman" w:eastAsia="黑体"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二、单位决算情况说明</w:t>
      </w:r>
    </w:p>
    <w:p>
      <w:pPr>
        <w:pStyle w:val="11"/>
        <w:keepNext w:val="0"/>
        <w:keepLines w:val="0"/>
        <w:pageBreakBefore w:val="0"/>
        <w:shd w:val="clear"/>
        <w:kinsoku/>
        <w:overflowPunct/>
        <w:topLinePunct w:val="0"/>
        <w:autoSpaceDE w:val="0"/>
        <w:autoSpaceDN/>
        <w:bidi w:val="0"/>
        <w:adjustRightInd/>
        <w:spacing w:line="600" w:lineRule="exact"/>
        <w:ind w:left="0" w:firstLine="640"/>
        <w:rPr>
          <w:rStyle w:val="10"/>
          <w:rFonts w:hint="default" w:ascii="Times New Roman" w:hAnsi="Times New Roman" w:eastAsia="方正楷体_GBK" w:cs="Times New Roman"/>
          <w:b w:val="0"/>
          <w:sz w:val="32"/>
          <w:szCs w:val="32"/>
        </w:rPr>
      </w:pPr>
      <w:r>
        <w:rPr>
          <w:rStyle w:val="10"/>
          <w:rFonts w:hint="default" w:ascii="Times New Roman" w:hAnsi="Times New Roman" w:eastAsia="方正楷体_GBK" w:cs="Times New Roman"/>
          <w:b w:val="0"/>
          <w:sz w:val="32"/>
          <w:szCs w:val="32"/>
        </w:rPr>
        <w:t>（一）收入支出决算总体情况说明。</w:t>
      </w:r>
    </w:p>
    <w:p>
      <w:pPr>
        <w:pStyle w:val="6"/>
        <w:keepNext w:val="0"/>
        <w:keepLines w:val="0"/>
        <w:pageBreakBefore w:val="0"/>
        <w:shd w:val="clear" w:color="auto"/>
        <w:kinsoku/>
        <w:overflowPunct/>
        <w:topLinePunct w:val="0"/>
        <w:autoSpaceDN/>
        <w:bidi w:val="0"/>
        <w:adjustRightInd/>
        <w:spacing w:beforeAutospacing="0" w:afterAutospacing="0" w:line="600" w:lineRule="exact"/>
        <w:ind w:left="0" w:firstLine="642" w:firstLineChars="200"/>
        <w:rPr>
          <w:rFonts w:hint="default" w:ascii="Times New Roman" w:hAnsi="Times New Roman" w:eastAsia="方正仿宋_GBK" w:cs="Times New Roman"/>
          <w:color w:val="FF0000"/>
          <w:sz w:val="32"/>
          <w:szCs w:val="32"/>
          <w:shd w:val="clear" w:color="auto" w:fill="FFFFFF"/>
        </w:rPr>
      </w:pPr>
      <w:r>
        <w:rPr>
          <w:rStyle w:val="10"/>
          <w:rFonts w:hint="default" w:ascii="Times New Roman" w:hAnsi="Times New Roman" w:eastAsia="方正仿宋_GBK" w:cs="Times New Roman"/>
          <w:sz w:val="32"/>
          <w:szCs w:val="32"/>
          <w:shd w:val="clear" w:color="auto" w:fill="FFFFFF"/>
        </w:rPr>
        <w:t>1.总体情况。</w:t>
      </w:r>
      <w:r>
        <w:rPr>
          <w:rFonts w:hint="default" w:ascii="Times New Roman" w:hAnsi="Times New Roman" w:eastAsia="方正仿宋_GBK" w:cs="Times New Roman"/>
          <w:sz w:val="32"/>
          <w:szCs w:val="32"/>
          <w:shd w:val="clear" w:color="auto" w:fill="FFFFFF"/>
        </w:rPr>
        <w:t>2023年度收入总</w:t>
      </w:r>
      <w:r>
        <w:rPr>
          <w:rFonts w:hint="default" w:ascii="Times New Roman" w:hAnsi="Times New Roman" w:eastAsia="方正仿宋_GBK" w:cs="Times New Roman"/>
          <w:color w:val="auto"/>
          <w:sz w:val="32"/>
          <w:szCs w:val="32"/>
          <w:shd w:val="clear" w:color="auto" w:fill="FFFFFF"/>
        </w:rPr>
        <w:t>计329.21万元</w:t>
      </w:r>
      <w:r>
        <w:rPr>
          <w:rFonts w:hint="default" w:ascii="Times New Roman" w:hAnsi="Times New Roman" w:eastAsia="方正仿宋_GBK" w:cs="Times New Roman"/>
          <w:sz w:val="32"/>
          <w:szCs w:val="32"/>
          <w:shd w:val="clear" w:color="auto" w:fill="FFFFFF"/>
        </w:rPr>
        <w:t>，支出总计329.21万元。收支较上年决算数增加83.78万元，增长34.14%，主要原因是2023年统筹返还资金37.95万元在2023年中列支，上级专项资金收入支出今年增加。</w:t>
      </w:r>
    </w:p>
    <w:p>
      <w:pPr>
        <w:pStyle w:val="6"/>
        <w:keepNext w:val="0"/>
        <w:keepLines w:val="0"/>
        <w:pageBreakBefore w:val="0"/>
        <w:kinsoku/>
        <w:overflowPunct/>
        <w:topLinePunct w:val="0"/>
        <w:autoSpaceDN/>
        <w:bidi w:val="0"/>
        <w:adjustRightInd/>
        <w:snapToGrid w:val="0"/>
        <w:spacing w:before="0" w:beforeAutospacing="0" w:after="0" w:afterAutospacing="0" w:line="600" w:lineRule="exact"/>
        <w:ind w:left="0" w:firstLine="642" w:firstLineChars="200"/>
        <w:jc w:val="both"/>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2.收入情况。</w:t>
      </w:r>
      <w:r>
        <w:rPr>
          <w:rFonts w:hint="default" w:ascii="Times New Roman" w:hAnsi="Times New Roman" w:eastAsia="方正仿宋_GBK" w:cs="Times New Roman"/>
          <w:sz w:val="32"/>
          <w:szCs w:val="32"/>
          <w:shd w:val="clear" w:color="auto" w:fill="FFFFFF"/>
        </w:rPr>
        <w:t>2023年度收入</w:t>
      </w:r>
      <w:r>
        <w:rPr>
          <w:rFonts w:hint="default" w:ascii="Times New Roman" w:hAnsi="Times New Roman" w:eastAsia="方正仿宋_GBK" w:cs="Times New Roman"/>
          <w:color w:val="auto"/>
          <w:sz w:val="32"/>
          <w:szCs w:val="32"/>
          <w:shd w:val="clear" w:color="auto" w:fill="FFFFFF"/>
        </w:rPr>
        <w:t>合计291.26万</w:t>
      </w:r>
      <w:r>
        <w:rPr>
          <w:rFonts w:hint="default" w:ascii="Times New Roman" w:hAnsi="Times New Roman" w:eastAsia="方正仿宋_GBK" w:cs="Times New Roman"/>
          <w:sz w:val="32"/>
          <w:szCs w:val="32"/>
          <w:shd w:val="clear" w:color="auto" w:fill="FFFFFF"/>
        </w:rPr>
        <w:t>元，较上年决算数增加45.83万元，增长18.67%，主要原因是上级专项资金投入增加。其中：财政拨款收入</w:t>
      </w:r>
      <w:r>
        <w:rPr>
          <w:rFonts w:hint="default" w:ascii="Times New Roman" w:hAnsi="Times New Roman" w:eastAsia="方正仿宋_GBK" w:cs="Times New Roman"/>
          <w:sz w:val="32"/>
          <w:szCs w:val="32"/>
        </w:rPr>
        <w:t>291.26</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100.00</w:t>
      </w:r>
      <w:r>
        <w:rPr>
          <w:rFonts w:hint="default" w:ascii="Times New Roman" w:hAnsi="Times New Roman" w:eastAsia="方正仿宋_GBK" w:cs="Times New Roman"/>
          <w:sz w:val="32"/>
          <w:szCs w:val="32"/>
          <w:shd w:val="clear" w:color="auto" w:fill="FFFFFF"/>
        </w:rPr>
        <w:t>%；事业收入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万元，占0.00%；经营收入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万元，占0.00%；其他收入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万元，占0.00%。此外，使用非财政拨款结余和专用结余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万元，年初结转和结余</w:t>
      </w:r>
      <w:r>
        <w:rPr>
          <w:rFonts w:hint="default" w:ascii="Times New Roman" w:hAnsi="Times New Roman" w:eastAsia="方正仿宋_GBK" w:cs="Times New Roman"/>
          <w:sz w:val="32"/>
          <w:szCs w:val="32"/>
        </w:rPr>
        <w:t>37.95</w:t>
      </w:r>
      <w:r>
        <w:rPr>
          <w:rFonts w:hint="default" w:ascii="Times New Roman" w:hAnsi="Times New Roman" w:eastAsia="方正仿宋_GBK" w:cs="Times New Roman"/>
          <w:sz w:val="32"/>
          <w:szCs w:val="32"/>
          <w:shd w:val="clear" w:color="auto" w:fill="FFFFFF"/>
        </w:rPr>
        <w:t>万元。</w:t>
      </w:r>
    </w:p>
    <w:p>
      <w:pPr>
        <w:pStyle w:val="6"/>
        <w:keepNext w:val="0"/>
        <w:keepLines w:val="0"/>
        <w:pageBreakBefore w:val="0"/>
        <w:kinsoku/>
        <w:overflowPunct/>
        <w:topLinePunct w:val="0"/>
        <w:autoSpaceDN/>
        <w:bidi w:val="0"/>
        <w:adjustRightInd/>
        <w:snapToGrid w:val="0"/>
        <w:spacing w:before="0" w:beforeAutospacing="0" w:after="0" w:afterAutospacing="0" w:line="600" w:lineRule="exact"/>
        <w:ind w:left="0" w:firstLine="642" w:firstLineChars="200"/>
        <w:jc w:val="both"/>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3.支出情况。</w:t>
      </w:r>
      <w:r>
        <w:rPr>
          <w:rFonts w:hint="default" w:ascii="Times New Roman" w:hAnsi="Times New Roman" w:eastAsia="方正仿宋_GBK" w:cs="Times New Roman"/>
          <w:sz w:val="32"/>
          <w:szCs w:val="32"/>
          <w:shd w:val="clear" w:color="auto" w:fill="FFFFFF"/>
        </w:rPr>
        <w:t>2023年度支出合计</w:t>
      </w:r>
      <w:r>
        <w:rPr>
          <w:rFonts w:hint="default" w:ascii="Times New Roman" w:hAnsi="Times New Roman" w:eastAsia="方正仿宋_GBK" w:cs="Times New Roman"/>
          <w:sz w:val="32"/>
          <w:szCs w:val="32"/>
        </w:rPr>
        <w:t>329.21</w:t>
      </w:r>
      <w:r>
        <w:rPr>
          <w:rFonts w:hint="default" w:ascii="Times New Roman" w:hAnsi="Times New Roman" w:eastAsia="方正仿宋_GBK" w:cs="Times New Roman"/>
          <w:sz w:val="32"/>
          <w:szCs w:val="32"/>
          <w:shd w:val="clear" w:color="auto" w:fill="FFFFFF"/>
        </w:rPr>
        <w:t>万元，较上年决算数增加83.78万元，增长34.14%，主要原因是2023年统筹返还资金37.95万元在2023年中列支，上级专项资金投入今年增加。其中：基本支出</w:t>
      </w:r>
      <w:r>
        <w:rPr>
          <w:rFonts w:hint="default" w:ascii="Times New Roman" w:hAnsi="Times New Roman" w:eastAsia="方正仿宋_GBK" w:cs="Times New Roman"/>
          <w:sz w:val="32"/>
          <w:szCs w:val="32"/>
        </w:rPr>
        <w:t>166.36</w:t>
      </w:r>
      <w:r>
        <w:rPr>
          <w:rFonts w:hint="default" w:ascii="Times New Roman" w:hAnsi="Times New Roman" w:eastAsia="方正仿宋_GBK" w:cs="Times New Roman"/>
          <w:sz w:val="32"/>
          <w:szCs w:val="32"/>
          <w:shd w:val="clear" w:color="auto" w:fill="FFFFFF"/>
        </w:rPr>
        <w:t>万元，占50.53%；项目支出</w:t>
      </w:r>
      <w:r>
        <w:rPr>
          <w:rFonts w:hint="default" w:ascii="Times New Roman" w:hAnsi="Times New Roman" w:eastAsia="方正仿宋_GBK" w:cs="Times New Roman"/>
          <w:sz w:val="32"/>
          <w:szCs w:val="32"/>
        </w:rPr>
        <w:t>162.85</w:t>
      </w:r>
      <w:r>
        <w:rPr>
          <w:rFonts w:hint="default" w:ascii="Times New Roman" w:hAnsi="Times New Roman" w:eastAsia="方正仿宋_GBK" w:cs="Times New Roman"/>
          <w:sz w:val="32"/>
          <w:szCs w:val="32"/>
          <w:shd w:val="clear" w:color="auto" w:fill="FFFFFF"/>
        </w:rPr>
        <w:t>万元，占49.47%；经营支出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万元，占0.00%。此外，结余分配</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6"/>
        <w:keepNext w:val="0"/>
        <w:keepLines w:val="0"/>
        <w:pageBreakBefore w:val="0"/>
        <w:kinsoku/>
        <w:overflowPunct/>
        <w:topLinePunct w:val="0"/>
        <w:autoSpaceDN/>
        <w:bidi w:val="0"/>
        <w:adjustRightInd/>
        <w:snapToGrid w:val="0"/>
        <w:spacing w:before="0" w:beforeAutospacing="0" w:after="0" w:afterAutospacing="0" w:line="600" w:lineRule="exact"/>
        <w:ind w:left="0" w:firstLine="642"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4.结转结余情况。</w:t>
      </w:r>
      <w:r>
        <w:rPr>
          <w:rFonts w:hint="default" w:ascii="Times New Roman" w:hAnsi="Times New Roman" w:eastAsia="方正仿宋_GBK" w:cs="Times New Roman"/>
          <w:sz w:val="32"/>
          <w:szCs w:val="32"/>
          <w:shd w:val="clear" w:color="auto" w:fill="FFFFFF"/>
        </w:rPr>
        <w:t>2023年度年末结转和结余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w:t>
      </w:r>
    </w:p>
    <w:p>
      <w:pPr>
        <w:pStyle w:val="11"/>
        <w:keepNext w:val="0"/>
        <w:keepLines w:val="0"/>
        <w:pageBreakBefore w:val="0"/>
        <w:kinsoku/>
        <w:overflowPunct/>
        <w:topLinePunct w:val="0"/>
        <w:autoSpaceDE w:val="0"/>
        <w:autoSpaceDN/>
        <w:bidi w:val="0"/>
        <w:adjustRightInd/>
        <w:spacing w:line="600" w:lineRule="exact"/>
        <w:ind w:left="0" w:firstLine="640"/>
        <w:rPr>
          <w:rStyle w:val="10"/>
          <w:rFonts w:hint="default" w:ascii="Times New Roman" w:hAnsi="Times New Roman" w:eastAsia="方正楷体_GBK" w:cs="Times New Roman"/>
          <w:b w:val="0"/>
          <w:sz w:val="32"/>
          <w:szCs w:val="32"/>
        </w:rPr>
      </w:pPr>
      <w:r>
        <w:rPr>
          <w:rStyle w:val="10"/>
          <w:rFonts w:hint="default" w:ascii="Times New Roman" w:hAnsi="Times New Roman" w:eastAsia="方正楷体_GBK" w:cs="Times New Roman"/>
          <w:b w:val="0"/>
          <w:sz w:val="32"/>
          <w:szCs w:val="32"/>
        </w:rPr>
        <w:t>（二）财政拨款收入支出决算总体情况说明</w:t>
      </w:r>
    </w:p>
    <w:p>
      <w:pPr>
        <w:pStyle w:val="6"/>
        <w:keepNext w:val="0"/>
        <w:keepLines w:val="0"/>
        <w:pageBreakBefore w:val="0"/>
        <w:shd w:val="clear" w:color="auto"/>
        <w:kinsoku/>
        <w:overflowPunct/>
        <w:topLinePunct w:val="0"/>
        <w:autoSpaceDN/>
        <w:bidi w:val="0"/>
        <w:adjustRightInd/>
        <w:spacing w:beforeAutospacing="0" w:afterAutospacing="0" w:line="600" w:lineRule="exact"/>
        <w:ind w:left="0" w:firstLine="640" w:firstLineChars="200"/>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2023年度财政拨款收、支总计329.21万元。与2022年相比，财政拨款收、支总计各增加83.78万元，增长34.14%。主要原因是2023年统筹返还资金37.95万元在2023年中列支，上级专项资金财政拨款收入支出今年增加。</w:t>
      </w:r>
    </w:p>
    <w:p>
      <w:pPr>
        <w:pStyle w:val="11"/>
        <w:keepNext w:val="0"/>
        <w:keepLines w:val="0"/>
        <w:pageBreakBefore w:val="0"/>
        <w:kinsoku/>
        <w:overflowPunct/>
        <w:topLinePunct w:val="0"/>
        <w:autoSpaceDE w:val="0"/>
        <w:autoSpaceDN/>
        <w:bidi w:val="0"/>
        <w:adjustRightInd/>
        <w:spacing w:line="600" w:lineRule="exact"/>
        <w:ind w:left="0" w:firstLine="640"/>
        <w:rPr>
          <w:rStyle w:val="10"/>
          <w:rFonts w:hint="default" w:ascii="Times New Roman" w:hAnsi="Times New Roman" w:eastAsia="方正楷体_GBK" w:cs="Times New Roman"/>
          <w:b w:val="0"/>
          <w:sz w:val="32"/>
          <w:szCs w:val="32"/>
        </w:rPr>
      </w:pPr>
      <w:r>
        <w:rPr>
          <w:rStyle w:val="10"/>
          <w:rFonts w:hint="default" w:ascii="Times New Roman" w:hAnsi="Times New Roman" w:eastAsia="方正楷体_GBK" w:cs="Times New Roman"/>
          <w:b w:val="0"/>
          <w:sz w:val="32"/>
          <w:szCs w:val="32"/>
        </w:rPr>
        <w:t>（三）一般公共预算财政拨款收入支出决算情况说明</w:t>
      </w:r>
    </w:p>
    <w:p>
      <w:pPr>
        <w:pStyle w:val="6"/>
        <w:keepNext w:val="0"/>
        <w:keepLines w:val="0"/>
        <w:pageBreakBefore w:val="0"/>
        <w:kinsoku/>
        <w:overflowPunct/>
        <w:topLinePunct w:val="0"/>
        <w:autoSpaceDN/>
        <w:bidi w:val="0"/>
        <w:adjustRightInd/>
        <w:snapToGrid w:val="0"/>
        <w:spacing w:before="0" w:beforeAutospacing="0" w:after="0" w:afterAutospacing="0" w:line="600" w:lineRule="exact"/>
        <w:ind w:left="0" w:firstLine="642"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K" w:cs="Times New Roman"/>
          <w:sz w:val="32"/>
          <w:szCs w:val="32"/>
          <w:shd w:val="clear" w:color="auto" w:fill="FFFFFF"/>
        </w:rPr>
        <w:t>2023年度一般公共预算财政拨款收入</w:t>
      </w:r>
      <w:r>
        <w:rPr>
          <w:rFonts w:hint="default" w:ascii="Times New Roman" w:hAnsi="Times New Roman" w:eastAsia="方正仿宋_GBK" w:cs="Times New Roman"/>
          <w:sz w:val="32"/>
          <w:szCs w:val="32"/>
        </w:rPr>
        <w:t>291.26</w:t>
      </w:r>
      <w:r>
        <w:rPr>
          <w:rFonts w:hint="default" w:ascii="Times New Roman" w:hAnsi="Times New Roman" w:eastAsia="方正仿宋_GBK" w:cs="Times New Roman"/>
          <w:sz w:val="32"/>
          <w:szCs w:val="32"/>
          <w:shd w:val="clear" w:color="auto" w:fill="FFFFFF"/>
        </w:rPr>
        <w:t>万元，较上年决算数增加45.83万元，增长18.67%。主要原因是年中追加人员经费和公用经费，上级专项资金财政拨款收入增加。较年初预算数增加91.15万元，增长45.55%。主要原因是年中追加上级专项资金。此外，年初财政拨款结转和结余</w:t>
      </w:r>
      <w:r>
        <w:rPr>
          <w:rFonts w:hint="default" w:ascii="Times New Roman" w:hAnsi="Times New Roman" w:eastAsia="方正仿宋_GBK" w:cs="Times New Roman"/>
          <w:sz w:val="32"/>
          <w:szCs w:val="32"/>
        </w:rPr>
        <w:t>37.95</w:t>
      </w:r>
      <w:r>
        <w:rPr>
          <w:rFonts w:hint="default" w:ascii="Times New Roman" w:hAnsi="Times New Roman" w:eastAsia="方正仿宋_GBK" w:cs="Times New Roman"/>
          <w:sz w:val="32"/>
          <w:szCs w:val="32"/>
          <w:shd w:val="clear" w:color="auto" w:fill="FFFFFF"/>
        </w:rPr>
        <w:t>万元。</w:t>
      </w:r>
    </w:p>
    <w:p>
      <w:pPr>
        <w:pStyle w:val="6"/>
        <w:keepNext w:val="0"/>
        <w:keepLines w:val="0"/>
        <w:pageBreakBefore w:val="0"/>
        <w:shd w:val="clear" w:color="auto"/>
        <w:kinsoku/>
        <w:overflowPunct/>
        <w:topLinePunct w:val="0"/>
        <w:autoSpaceDN/>
        <w:bidi w:val="0"/>
        <w:adjustRightInd/>
        <w:spacing w:beforeAutospacing="0" w:afterAutospacing="0" w:line="600" w:lineRule="exact"/>
        <w:ind w:left="0" w:firstLine="642" w:firstLineChars="200"/>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sz w:val="32"/>
          <w:szCs w:val="32"/>
          <w:shd w:val="clear" w:color="auto" w:fill="FFFFFF"/>
        </w:rPr>
        <w:t>2023年度一般公共预算财政拨款支出</w:t>
      </w:r>
      <w:r>
        <w:rPr>
          <w:rFonts w:hint="default" w:ascii="Times New Roman" w:hAnsi="Times New Roman" w:eastAsia="方正仿宋_GBK" w:cs="Times New Roman"/>
          <w:sz w:val="32"/>
          <w:szCs w:val="32"/>
        </w:rPr>
        <w:t>329.21</w:t>
      </w:r>
      <w:r>
        <w:rPr>
          <w:rFonts w:hint="default" w:ascii="Times New Roman" w:hAnsi="Times New Roman" w:eastAsia="方正仿宋_GBK" w:cs="Times New Roman"/>
          <w:sz w:val="32"/>
          <w:szCs w:val="32"/>
          <w:shd w:val="clear" w:color="auto" w:fill="FFFFFF"/>
        </w:rPr>
        <w:t>万元，较上年决算数增加83.78万元，增长34.14%。主要原因是2023年统筹返还资金37.95万元在2023年中列支，上级专项资金财政拨款支出今年增加。较年初预算数增加129.10万元，增长64.51%。主要原因是2023年统筹返还资金37.95万元在2023年中列支，年中追加上级专项资金。</w:t>
      </w:r>
    </w:p>
    <w:p>
      <w:pPr>
        <w:pStyle w:val="6"/>
        <w:keepNext w:val="0"/>
        <w:keepLines w:val="0"/>
        <w:pageBreakBefore w:val="0"/>
        <w:shd w:val="clear" w:color="auto"/>
        <w:kinsoku/>
        <w:overflowPunct/>
        <w:topLinePunct w:val="0"/>
        <w:autoSpaceDN/>
        <w:bidi w:val="0"/>
        <w:adjustRightInd/>
        <w:spacing w:beforeAutospacing="0" w:afterAutospacing="0" w:line="600" w:lineRule="exact"/>
        <w:ind w:left="0" w:firstLine="642" w:firstLineChars="200"/>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3.结转结余情况。</w:t>
      </w:r>
      <w:r>
        <w:rPr>
          <w:rFonts w:hint="default" w:ascii="Times New Roman" w:hAnsi="Times New Roman" w:eastAsia="方正仿宋_GBK" w:cs="Times New Roman"/>
          <w:sz w:val="32"/>
          <w:szCs w:val="32"/>
          <w:shd w:val="clear" w:color="auto" w:fill="FFFFFF"/>
        </w:rPr>
        <w:t>2023年度年末一般公共预算财政拨款结转和结余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w:t>
      </w:r>
    </w:p>
    <w:p>
      <w:pPr>
        <w:pStyle w:val="6"/>
        <w:keepNext w:val="0"/>
        <w:keepLines w:val="0"/>
        <w:pageBreakBefore w:val="0"/>
        <w:shd w:val="clear"/>
        <w:kinsoku/>
        <w:overflowPunct/>
        <w:topLinePunct w:val="0"/>
        <w:autoSpaceDN/>
        <w:bidi w:val="0"/>
        <w:adjustRightInd/>
        <w:snapToGrid w:val="0"/>
        <w:spacing w:before="0" w:beforeAutospacing="0" w:after="0" w:afterAutospacing="0" w:line="600" w:lineRule="exact"/>
        <w:ind w:left="0" w:firstLine="642"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4.比较情况。</w:t>
      </w:r>
      <w:r>
        <w:rPr>
          <w:rFonts w:hint="default" w:ascii="Times New Roman" w:hAnsi="Times New Roman" w:eastAsia="方正仿宋_GBK" w:cs="Times New Roman"/>
          <w:sz w:val="32"/>
          <w:szCs w:val="32"/>
          <w:shd w:val="clear" w:color="auto" w:fill="FFFFFF"/>
        </w:rPr>
        <w:t>本单位2023年度一般公共预算财政拨款支出主要用于以下几个方面：</w:t>
      </w:r>
    </w:p>
    <w:p>
      <w:pPr>
        <w:pStyle w:val="6"/>
        <w:keepNext w:val="0"/>
        <w:keepLines w:val="0"/>
        <w:pageBreakBefore w:val="0"/>
        <w:kinsoku/>
        <w:overflowPunct/>
        <w:topLinePunct w:val="0"/>
        <w:autoSpaceDN/>
        <w:bidi w:val="0"/>
        <w:adjustRightInd/>
        <w:snapToGrid w:val="0"/>
        <w:spacing w:before="0" w:beforeAutospacing="0" w:after="0" w:afterAutospacing="0" w:line="600" w:lineRule="exact"/>
        <w:ind w:left="0"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（1）文化旅游体育与传媒支出</w:t>
      </w:r>
      <w:r>
        <w:rPr>
          <w:rFonts w:hint="default" w:ascii="Times New Roman" w:hAnsi="Times New Roman" w:eastAsia="方正仿宋_GBK" w:cs="Times New Roman"/>
          <w:sz w:val="32"/>
          <w:szCs w:val="32"/>
        </w:rPr>
        <w:t>289.10</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87.81</w:t>
      </w:r>
      <w:r>
        <w:rPr>
          <w:rFonts w:hint="default" w:ascii="Times New Roman" w:hAnsi="Times New Roman" w:eastAsia="方正仿宋_GBK" w:cs="Times New Roman"/>
          <w:sz w:val="32"/>
          <w:szCs w:val="32"/>
          <w:shd w:val="clear" w:color="auto" w:fill="FFFFFF"/>
        </w:rPr>
        <w:t>%，较年初预算数增加126.60万元，增长77.91%，主要原因是2023年统筹返还资金37.95万元在2023年中列支，上级专项资金财政拨款支出今年增加。</w:t>
      </w:r>
    </w:p>
    <w:p>
      <w:pPr>
        <w:pStyle w:val="6"/>
        <w:keepNext w:val="0"/>
        <w:keepLines w:val="0"/>
        <w:pageBreakBefore w:val="0"/>
        <w:kinsoku/>
        <w:overflowPunct/>
        <w:topLinePunct w:val="0"/>
        <w:autoSpaceDN/>
        <w:bidi w:val="0"/>
        <w:adjustRightInd/>
        <w:snapToGrid w:val="0"/>
        <w:spacing w:before="0" w:beforeAutospacing="0" w:after="0" w:afterAutospacing="0" w:line="600" w:lineRule="exact"/>
        <w:ind w:left="0"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（2）社会保障与就业支出</w:t>
      </w:r>
      <w:r>
        <w:rPr>
          <w:rFonts w:hint="default" w:ascii="Times New Roman" w:hAnsi="Times New Roman" w:eastAsia="方正仿宋_GBK" w:cs="Times New Roman"/>
          <w:sz w:val="32"/>
          <w:szCs w:val="32"/>
        </w:rPr>
        <w:t>26.06</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7.92</w:t>
      </w:r>
      <w:r>
        <w:rPr>
          <w:rFonts w:hint="default" w:ascii="Times New Roman" w:hAnsi="Times New Roman" w:eastAsia="方正仿宋_GBK" w:cs="Times New Roman"/>
          <w:sz w:val="32"/>
          <w:szCs w:val="32"/>
          <w:shd w:val="clear" w:color="auto" w:fill="FFFFFF"/>
        </w:rPr>
        <w:t>%，较年初预算数增加4.22万元，增长19.32%，主要原因是年中追加社会保障与就业支出经费。</w:t>
      </w:r>
    </w:p>
    <w:p>
      <w:pPr>
        <w:pStyle w:val="6"/>
        <w:keepNext w:val="0"/>
        <w:keepLines w:val="0"/>
        <w:pageBreakBefore w:val="0"/>
        <w:kinsoku/>
        <w:overflowPunct/>
        <w:topLinePunct w:val="0"/>
        <w:autoSpaceDN/>
        <w:bidi w:val="0"/>
        <w:adjustRightInd/>
        <w:snapToGrid w:val="0"/>
        <w:spacing w:before="0" w:beforeAutospacing="0" w:after="0" w:afterAutospacing="0" w:line="600" w:lineRule="exact"/>
        <w:ind w:left="0"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（3）卫生健康支出</w:t>
      </w:r>
      <w:r>
        <w:rPr>
          <w:rFonts w:hint="default" w:ascii="Times New Roman" w:hAnsi="Times New Roman" w:eastAsia="方正仿宋_GBK" w:cs="Times New Roman"/>
          <w:sz w:val="32"/>
          <w:szCs w:val="32"/>
        </w:rPr>
        <w:t>7.97</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2.42</w:t>
      </w:r>
      <w:r>
        <w:rPr>
          <w:rFonts w:hint="default" w:ascii="Times New Roman" w:hAnsi="Times New Roman" w:eastAsia="方正仿宋_GBK" w:cs="Times New Roman"/>
          <w:sz w:val="32"/>
          <w:szCs w:val="32"/>
          <w:shd w:val="clear" w:color="auto" w:fill="FFFFFF"/>
        </w:rPr>
        <w:t>%，较年初预算数减少0.32万元，下降3.86%，主要原因是调整预算卫生健康支出经费减少。</w:t>
      </w:r>
    </w:p>
    <w:p>
      <w:pPr>
        <w:pStyle w:val="6"/>
        <w:keepNext w:val="0"/>
        <w:keepLines w:val="0"/>
        <w:pageBreakBefore w:val="0"/>
        <w:kinsoku/>
        <w:overflowPunct/>
        <w:topLinePunct w:val="0"/>
        <w:autoSpaceDN/>
        <w:bidi w:val="0"/>
        <w:adjustRightInd/>
        <w:snapToGrid w:val="0"/>
        <w:spacing w:before="0" w:beforeAutospacing="0" w:after="0" w:afterAutospacing="0" w:line="600" w:lineRule="exact"/>
        <w:ind w:left="0"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（4）</w:t>
      </w:r>
      <w:r>
        <w:rPr>
          <w:rFonts w:hint="default" w:ascii="Times New Roman" w:hAnsi="Times New Roman" w:eastAsia="方正仿宋_GBK" w:cs="Times New Roman"/>
          <w:sz w:val="32"/>
          <w:szCs w:val="32"/>
        </w:rPr>
        <w:t>住房保障支出6.08</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1.85</w:t>
      </w:r>
      <w:r>
        <w:rPr>
          <w:rFonts w:hint="default" w:ascii="Times New Roman" w:hAnsi="Times New Roman" w:eastAsia="方正仿宋_GBK" w:cs="Times New Roman"/>
          <w:sz w:val="32"/>
          <w:szCs w:val="32"/>
          <w:shd w:val="clear" w:color="auto" w:fill="FFFFFF"/>
        </w:rPr>
        <w:t>%，较年初预算数减少1.39万元，下降18.61%，主要原因是调整预算</w:t>
      </w:r>
      <w:r>
        <w:rPr>
          <w:rFonts w:hint="default" w:ascii="Times New Roman" w:hAnsi="Times New Roman" w:eastAsia="方正仿宋_GBK" w:cs="Times New Roman"/>
          <w:sz w:val="32"/>
          <w:szCs w:val="32"/>
        </w:rPr>
        <w:t>住房保障支出</w:t>
      </w:r>
      <w:r>
        <w:rPr>
          <w:rFonts w:hint="default" w:ascii="Times New Roman" w:hAnsi="Times New Roman" w:eastAsia="方正仿宋_GBK" w:cs="Times New Roman"/>
          <w:sz w:val="32"/>
          <w:szCs w:val="32"/>
          <w:shd w:val="clear" w:color="auto" w:fill="FFFFFF"/>
        </w:rPr>
        <w:t>经费减少。</w:t>
      </w:r>
    </w:p>
    <w:p>
      <w:pPr>
        <w:pStyle w:val="11"/>
        <w:keepNext w:val="0"/>
        <w:keepLines w:val="0"/>
        <w:pageBreakBefore w:val="0"/>
        <w:kinsoku/>
        <w:overflowPunct/>
        <w:topLinePunct w:val="0"/>
        <w:autoSpaceDE w:val="0"/>
        <w:autoSpaceDN/>
        <w:bidi w:val="0"/>
        <w:adjustRightInd/>
        <w:spacing w:line="600" w:lineRule="exact"/>
        <w:ind w:left="0" w:firstLine="640"/>
        <w:rPr>
          <w:rStyle w:val="10"/>
          <w:rFonts w:hint="default" w:ascii="Times New Roman" w:hAnsi="Times New Roman" w:eastAsia="方正楷体_GBK" w:cs="Times New Roman"/>
          <w:b w:val="0"/>
          <w:sz w:val="32"/>
          <w:szCs w:val="32"/>
        </w:rPr>
      </w:pPr>
      <w:r>
        <w:rPr>
          <w:rStyle w:val="10"/>
          <w:rFonts w:hint="default" w:ascii="Times New Roman" w:hAnsi="Times New Roman" w:eastAsia="方正楷体_GBK" w:cs="Times New Roman"/>
          <w:b w:val="0"/>
          <w:sz w:val="32"/>
          <w:szCs w:val="32"/>
        </w:rPr>
        <w:t>（四）一般公共预算财政拨款基本支出决算情况说明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2023年度一般公共财政拨款基本支出</w:t>
      </w:r>
      <w:r>
        <w:rPr>
          <w:rFonts w:hint="default" w:ascii="Times New Roman" w:hAnsi="Times New Roman" w:eastAsia="方正仿宋_GBK" w:cs="Times New Roman"/>
          <w:sz w:val="32"/>
          <w:szCs w:val="32"/>
        </w:rPr>
        <w:t>166.36</w:t>
      </w:r>
      <w:r>
        <w:rPr>
          <w:rFonts w:hint="default" w:ascii="Times New Roman" w:hAnsi="Times New Roman" w:eastAsia="方正仿宋_GBK" w:cs="Times New Roman"/>
          <w:sz w:val="32"/>
          <w:szCs w:val="32"/>
          <w:shd w:val="clear" w:color="auto" w:fill="FFFFFF"/>
        </w:rPr>
        <w:t>万元。其中：人员经费</w:t>
      </w:r>
      <w:r>
        <w:rPr>
          <w:rFonts w:hint="default" w:ascii="Times New Roman" w:hAnsi="Times New Roman" w:eastAsia="方正仿宋_GBK" w:cs="Times New Roman"/>
          <w:sz w:val="32"/>
          <w:szCs w:val="32"/>
        </w:rPr>
        <w:t>143.2</w:t>
      </w:r>
      <w:r>
        <w:rPr>
          <w:rFonts w:hint="default" w:ascii="Times New Roman" w:hAnsi="Times New Roman" w:eastAsia="方正仿宋_GBK" w:cs="Times New Roman"/>
          <w:sz w:val="32"/>
          <w:szCs w:val="32"/>
          <w:shd w:val="clear" w:color="auto" w:fill="FFFFFF"/>
        </w:rPr>
        <w:t>1万元，较上年决算数减少2.10万元，下降1.45%，主要原因是调整预算导致人员经费减少。人员经费用途主要包括基本工资、津贴补贴、绩效工资、社会保障缴费、住房公积金、其他工资福利支出、退休人员生活补助等支出。公用经费23.15万元，较上年决算数增加9.03万元，增长63.95%，主要原因是调整预算导致公用经费增加。公用经费用途主要包括办公费、水费、电费、邮电费、差旅费、劳务费、维修（护）费、租赁费、培训费、工会经费、公务用车运行维护费、其他商品服务支出等。</w:t>
      </w:r>
    </w:p>
    <w:p>
      <w:pPr>
        <w:pStyle w:val="11"/>
        <w:keepNext w:val="0"/>
        <w:keepLines w:val="0"/>
        <w:pageBreakBefore w:val="0"/>
        <w:widowControl/>
        <w:kinsoku/>
        <w:wordWrap/>
        <w:overflowPunct/>
        <w:topLinePunct w:val="0"/>
        <w:autoSpaceDE w:val="0"/>
        <w:autoSpaceDN/>
        <w:bidi w:val="0"/>
        <w:adjustRightInd/>
        <w:spacing w:line="600" w:lineRule="exact"/>
        <w:ind w:left="0" w:firstLine="640"/>
        <w:textAlignment w:val="auto"/>
        <w:rPr>
          <w:rStyle w:val="10"/>
          <w:rFonts w:hint="default" w:ascii="Times New Roman" w:hAnsi="Times New Roman" w:eastAsia="方正楷体_GBK" w:cs="Times New Roman"/>
          <w:b w:val="0"/>
          <w:sz w:val="32"/>
          <w:szCs w:val="32"/>
        </w:rPr>
      </w:pPr>
      <w:r>
        <w:rPr>
          <w:rStyle w:val="10"/>
          <w:rFonts w:hint="default" w:ascii="Times New Roman" w:hAnsi="Times New Roman" w:eastAsia="方正楷体_GBK" w:cs="Times New Roman"/>
          <w:b w:val="0"/>
          <w:sz w:val="32"/>
          <w:szCs w:val="32"/>
        </w:rPr>
        <w:t>（五）政府性基金预算收支决算情况说明</w:t>
      </w:r>
    </w:p>
    <w:p>
      <w:pPr>
        <w:pStyle w:val="6"/>
        <w:keepNext w:val="0"/>
        <w:keepLines w:val="0"/>
        <w:pageBreakBefore w:val="0"/>
        <w:widowControl/>
        <w:shd w:val="clear" w:color="auto"/>
        <w:kinsoku/>
        <w:wordWrap/>
        <w:overflowPunct/>
        <w:topLinePunct w:val="0"/>
        <w:autoSpaceDN/>
        <w:bidi w:val="0"/>
        <w:adjustRightInd/>
        <w:spacing w:before="0" w:beforeAutospacing="0" w:after="0" w:afterAutospacing="0" w:line="600"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本单位2023年度无政府性基金预算财政拨款收支。</w:t>
      </w:r>
    </w:p>
    <w:p>
      <w:pPr>
        <w:pStyle w:val="11"/>
        <w:keepNext w:val="0"/>
        <w:keepLines w:val="0"/>
        <w:pageBreakBefore w:val="0"/>
        <w:widowControl/>
        <w:shd w:val="clear"/>
        <w:kinsoku/>
        <w:wordWrap/>
        <w:overflowPunct/>
        <w:topLinePunct w:val="0"/>
        <w:autoSpaceDE w:val="0"/>
        <w:autoSpaceDN/>
        <w:bidi w:val="0"/>
        <w:adjustRightInd/>
        <w:spacing w:line="600" w:lineRule="exact"/>
        <w:ind w:left="0" w:firstLine="640"/>
        <w:textAlignment w:val="auto"/>
        <w:rPr>
          <w:rStyle w:val="10"/>
          <w:rFonts w:hint="default" w:ascii="Times New Roman" w:hAnsi="Times New Roman" w:eastAsia="方正楷体_GBK" w:cs="Times New Roman"/>
          <w:b w:val="0"/>
          <w:sz w:val="32"/>
          <w:szCs w:val="32"/>
        </w:rPr>
      </w:pPr>
      <w:r>
        <w:rPr>
          <w:rStyle w:val="10"/>
          <w:rFonts w:hint="default" w:ascii="Times New Roman" w:hAnsi="Times New Roman" w:eastAsia="方正楷体_GBK" w:cs="Times New Roman"/>
          <w:b w:val="0"/>
          <w:sz w:val="32"/>
          <w:szCs w:val="32"/>
        </w:rPr>
        <w:t>（六）国有资本经营预算财政拨款支出决算情况说明</w:t>
      </w:r>
    </w:p>
    <w:p>
      <w:pPr>
        <w:pStyle w:val="6"/>
        <w:keepNext w:val="0"/>
        <w:keepLines w:val="0"/>
        <w:pageBreakBefore w:val="0"/>
        <w:widowControl/>
        <w:shd w:val="clear" w:color="auto"/>
        <w:kinsoku/>
        <w:wordWrap/>
        <w:overflowPunct/>
        <w:topLinePunct w:val="0"/>
        <w:autoSpaceDN/>
        <w:bidi w:val="0"/>
        <w:adjustRightInd/>
        <w:spacing w:before="0" w:beforeAutospacing="0" w:after="0" w:afterAutospacing="0" w:line="600"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本单位2023年度无国有资本经营预算财政拨款支出。</w:t>
      </w:r>
    </w:p>
    <w:p>
      <w:pPr>
        <w:pStyle w:val="6"/>
        <w:keepNext w:val="0"/>
        <w:keepLines w:val="0"/>
        <w:pageBreakBefore w:val="0"/>
        <w:shd w:val="clear" w:color="auto"/>
        <w:kinsoku/>
        <w:overflowPunct/>
        <w:topLinePunct w:val="0"/>
        <w:autoSpaceDN/>
        <w:bidi w:val="0"/>
        <w:adjustRightInd/>
        <w:spacing w:beforeAutospacing="0" w:afterAutospacing="0" w:line="600" w:lineRule="exact"/>
        <w:ind w:left="0" w:firstLine="722" w:firstLineChars="225"/>
        <w:rPr>
          <w:rStyle w:val="10"/>
          <w:rFonts w:hint="default" w:ascii="Times New Roman" w:hAnsi="Times New Roman" w:eastAsia="黑体"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三、“三公”经费情况说明</w:t>
      </w:r>
    </w:p>
    <w:p>
      <w:pPr>
        <w:pStyle w:val="11"/>
        <w:keepNext w:val="0"/>
        <w:keepLines w:val="0"/>
        <w:pageBreakBefore w:val="0"/>
        <w:shd w:val="clear"/>
        <w:kinsoku/>
        <w:overflowPunct/>
        <w:topLinePunct w:val="0"/>
        <w:autoSpaceDE w:val="0"/>
        <w:autoSpaceDN/>
        <w:bidi w:val="0"/>
        <w:adjustRightInd/>
        <w:spacing w:line="600" w:lineRule="exact"/>
        <w:ind w:left="0" w:firstLine="640"/>
        <w:rPr>
          <w:rStyle w:val="10"/>
          <w:rFonts w:hint="default" w:ascii="Times New Roman" w:hAnsi="Times New Roman" w:eastAsia="方正楷体_GBK" w:cs="Times New Roman"/>
          <w:b w:val="0"/>
          <w:sz w:val="32"/>
          <w:szCs w:val="32"/>
        </w:rPr>
      </w:pPr>
      <w:r>
        <w:rPr>
          <w:rStyle w:val="10"/>
          <w:rFonts w:hint="default" w:ascii="Times New Roman" w:hAnsi="Times New Roman" w:eastAsia="方正楷体_GBK" w:cs="Times New Roman"/>
          <w:b w:val="0"/>
          <w:sz w:val="32"/>
          <w:szCs w:val="32"/>
        </w:rPr>
        <w:t>（一）“三公”经费支出总体情况说明</w:t>
      </w:r>
    </w:p>
    <w:p>
      <w:pPr>
        <w:pStyle w:val="6"/>
        <w:keepNext w:val="0"/>
        <w:keepLines w:val="0"/>
        <w:pageBreakBefore w:val="0"/>
        <w:shd w:val="clear" w:color="auto"/>
        <w:kinsoku/>
        <w:overflowPunct/>
        <w:topLinePunct w:val="0"/>
        <w:autoSpaceDN/>
        <w:bidi w:val="0"/>
        <w:adjustRightInd/>
        <w:spacing w:before="0" w:beforeAutospacing="0" w:after="0" w:afterAutospacing="0" w:line="600" w:lineRule="exact"/>
        <w:ind w:left="0" w:firstLine="640" w:firstLineChars="200"/>
        <w:rPr>
          <w:rFonts w:hint="default" w:ascii="Times New Roman" w:hAnsi="Times New Roman" w:eastAsia="方正仿宋_GBK" w:cs="Times New Roman"/>
          <w:color w:val="000000"/>
          <w:sz w:val="32"/>
          <w:szCs w:val="32"/>
          <w:shd w:val="clear" w:color="auto" w:fill="FFFFFF"/>
        </w:rPr>
      </w:pPr>
      <w:r>
        <w:rPr>
          <w:rFonts w:hint="default" w:ascii="Times New Roman" w:hAnsi="Times New Roman" w:eastAsia="方正仿宋_GBK" w:cs="Times New Roman"/>
          <w:sz w:val="32"/>
          <w:szCs w:val="32"/>
          <w:shd w:val="clear" w:color="auto" w:fill="FFFFFF"/>
        </w:rPr>
        <w:t>2023年度“三公”经费支出共计</w:t>
      </w:r>
      <w:r>
        <w:rPr>
          <w:rFonts w:hint="default" w:ascii="Times New Roman" w:hAnsi="Times New Roman" w:eastAsia="方正仿宋_GBK" w:cs="Times New Roman"/>
          <w:sz w:val="32"/>
          <w:szCs w:val="32"/>
        </w:rPr>
        <w:t>1.01</w:t>
      </w:r>
      <w:r>
        <w:rPr>
          <w:rFonts w:hint="default" w:ascii="Times New Roman" w:hAnsi="Times New Roman" w:eastAsia="方正仿宋_GBK" w:cs="Times New Roman"/>
          <w:sz w:val="32"/>
          <w:szCs w:val="32"/>
          <w:shd w:val="clear" w:color="auto" w:fill="FFFFFF"/>
        </w:rPr>
        <w:t>万元，较年初预算数减少1.99万元，下降66.33%，</w:t>
      </w:r>
      <w:r>
        <w:rPr>
          <w:rFonts w:hint="default" w:ascii="Times New Roman" w:hAnsi="Times New Roman" w:eastAsia="方正仿宋_GBK" w:cs="Times New Roman"/>
          <w:color w:val="000000"/>
          <w:sz w:val="32"/>
          <w:szCs w:val="32"/>
          <w:shd w:val="clear" w:color="auto" w:fill="FFFFFF"/>
          <w:lang w:eastAsia="zh-Hans"/>
        </w:rPr>
        <w:t>主要原因是认真贯彻落实中央八项规定，</w:t>
      </w:r>
      <w:r>
        <w:rPr>
          <w:rFonts w:hint="default" w:ascii="Times New Roman" w:hAnsi="Times New Roman" w:eastAsia="方正仿宋_GBK" w:cs="Times New Roman"/>
          <w:color w:val="000000"/>
          <w:sz w:val="32"/>
          <w:szCs w:val="32"/>
          <w:shd w:val="clear" w:color="auto" w:fill="FFFFFF"/>
        </w:rPr>
        <w:t>树立过紧日子思想，压缩三公经费开支</w:t>
      </w:r>
      <w:r>
        <w:rPr>
          <w:rFonts w:hint="default" w:ascii="Times New Roman" w:hAnsi="Times New Roman" w:eastAsia="方正仿宋_GBK" w:cs="Times New Roman"/>
          <w:color w:val="000000"/>
          <w:sz w:val="32"/>
          <w:szCs w:val="32"/>
          <w:shd w:val="clear" w:color="auto" w:fill="FFFFFF"/>
          <w:lang w:eastAsia="zh-Hans"/>
        </w:rPr>
        <w:t>。</w:t>
      </w:r>
      <w:r>
        <w:rPr>
          <w:rFonts w:hint="default" w:ascii="Times New Roman" w:hAnsi="Times New Roman" w:eastAsia="方正仿宋_GBK" w:cs="Times New Roman"/>
          <w:sz w:val="32"/>
          <w:szCs w:val="32"/>
          <w:shd w:val="clear" w:color="auto" w:fill="FFFFFF"/>
        </w:rPr>
        <w:t>较上年支出数增加0.23万元，增长29.49%，</w:t>
      </w:r>
      <w:r>
        <w:rPr>
          <w:rFonts w:hint="default" w:ascii="Times New Roman" w:hAnsi="Times New Roman" w:eastAsia="方正仿宋_GBK" w:cs="Times New Roman"/>
          <w:color w:val="000000"/>
          <w:sz w:val="32"/>
          <w:szCs w:val="32"/>
          <w:shd w:val="clear" w:color="auto" w:fill="FFFFFF"/>
          <w:lang w:eastAsia="zh-Hans"/>
        </w:rPr>
        <w:t>主要原因是</w:t>
      </w:r>
      <w:r>
        <w:rPr>
          <w:rFonts w:hint="default" w:ascii="Times New Roman" w:hAnsi="Times New Roman" w:eastAsia="方正仿宋_GBK" w:cs="Times New Roman"/>
          <w:color w:val="000000"/>
          <w:sz w:val="32"/>
          <w:szCs w:val="32"/>
          <w:shd w:val="clear" w:color="auto" w:fill="FFFFFF"/>
        </w:rPr>
        <w:t>2023年</w:t>
      </w:r>
      <w:r>
        <w:rPr>
          <w:rFonts w:hint="default" w:ascii="Times New Roman" w:hAnsi="Times New Roman" w:eastAsia="方正仿宋_GBK" w:cs="Times New Roman"/>
          <w:color w:val="000000"/>
          <w:sz w:val="32"/>
          <w:szCs w:val="32"/>
          <w:shd w:val="clear" w:color="auto" w:fill="FFFFFF"/>
          <w:lang w:eastAsia="zh-Hans"/>
        </w:rPr>
        <w:t>送图书下乡</w:t>
      </w:r>
      <w:r>
        <w:rPr>
          <w:rFonts w:hint="default" w:ascii="Times New Roman" w:hAnsi="Times New Roman" w:eastAsia="方正仿宋_GBK" w:cs="Times New Roman"/>
          <w:color w:val="000000"/>
          <w:sz w:val="32"/>
          <w:szCs w:val="32"/>
          <w:shd w:val="clear" w:color="auto" w:fill="FFFFFF"/>
        </w:rPr>
        <w:t>及免费开放</w:t>
      </w:r>
      <w:r>
        <w:rPr>
          <w:rFonts w:hint="default" w:ascii="Times New Roman" w:hAnsi="Times New Roman" w:eastAsia="方正仿宋_GBK" w:cs="Times New Roman"/>
          <w:color w:val="000000"/>
          <w:sz w:val="32"/>
          <w:szCs w:val="32"/>
          <w:shd w:val="clear" w:color="auto" w:fill="FFFFFF"/>
          <w:lang w:eastAsia="zh-Hans"/>
        </w:rPr>
        <w:t>活动</w:t>
      </w:r>
      <w:r>
        <w:rPr>
          <w:rFonts w:hint="default" w:ascii="Times New Roman" w:hAnsi="Times New Roman" w:eastAsia="方正仿宋_GBK" w:cs="Times New Roman"/>
          <w:color w:val="000000"/>
          <w:sz w:val="32"/>
          <w:szCs w:val="32"/>
          <w:shd w:val="clear" w:color="auto" w:fill="FFFFFF"/>
        </w:rPr>
        <w:t>有所增加。</w:t>
      </w:r>
    </w:p>
    <w:p>
      <w:pPr>
        <w:pStyle w:val="11"/>
        <w:keepNext w:val="0"/>
        <w:keepLines w:val="0"/>
        <w:pageBreakBefore w:val="0"/>
        <w:shd w:val="clear"/>
        <w:kinsoku/>
        <w:overflowPunct/>
        <w:topLinePunct w:val="0"/>
        <w:autoSpaceDE w:val="0"/>
        <w:autoSpaceDN/>
        <w:bidi w:val="0"/>
        <w:adjustRightInd/>
        <w:spacing w:line="600" w:lineRule="exact"/>
        <w:ind w:left="0" w:firstLine="640"/>
        <w:rPr>
          <w:rStyle w:val="10"/>
          <w:rFonts w:hint="default" w:ascii="Times New Roman" w:hAnsi="Times New Roman" w:eastAsia="方正楷体_GBK" w:cs="Times New Roman"/>
          <w:b w:val="0"/>
          <w:sz w:val="32"/>
          <w:szCs w:val="32"/>
        </w:rPr>
      </w:pPr>
      <w:r>
        <w:rPr>
          <w:rStyle w:val="10"/>
          <w:rFonts w:hint="default" w:ascii="Times New Roman" w:hAnsi="Times New Roman" w:eastAsia="方正楷体_GBK" w:cs="Times New Roman"/>
          <w:b w:val="0"/>
          <w:sz w:val="32"/>
          <w:szCs w:val="32"/>
        </w:rPr>
        <w:t>（二）“三公”经费分项支出情况</w:t>
      </w:r>
    </w:p>
    <w:p>
      <w:pPr>
        <w:pStyle w:val="6"/>
        <w:keepNext w:val="0"/>
        <w:keepLines w:val="0"/>
        <w:pageBreakBefore w:val="0"/>
        <w:shd w:val="clear" w:color="auto"/>
        <w:kinsoku/>
        <w:overflowPunct/>
        <w:topLinePunct w:val="0"/>
        <w:autoSpaceDN/>
        <w:bidi w:val="0"/>
        <w:adjustRightInd/>
        <w:spacing w:before="0" w:beforeAutospacing="0" w:after="0" w:afterAutospacing="0" w:line="600" w:lineRule="exact"/>
        <w:ind w:left="0" w:firstLine="640" w:firstLineChars="200"/>
        <w:rPr>
          <w:rFonts w:hint="default" w:ascii="Times New Roman" w:hAnsi="Times New Roman" w:eastAsia="方正仿宋_GBK" w:cs="Times New Roman"/>
          <w:color w:val="000000"/>
          <w:sz w:val="32"/>
          <w:szCs w:val="32"/>
          <w:shd w:val="clear" w:color="auto" w:fill="FFFFFF"/>
          <w:lang w:eastAsia="zh-Hans"/>
        </w:rPr>
      </w:pPr>
      <w:r>
        <w:rPr>
          <w:rFonts w:hint="default" w:ascii="Times New Roman" w:hAnsi="Times New Roman" w:eastAsia="方正仿宋_GBK" w:cs="Times New Roman"/>
          <w:color w:val="000000"/>
          <w:sz w:val="32"/>
          <w:szCs w:val="32"/>
          <w:shd w:val="clear" w:color="auto" w:fill="FFFFFF"/>
          <w:lang w:eastAsia="zh-Hans"/>
        </w:rPr>
        <w:t>202</w:t>
      </w:r>
      <w:r>
        <w:rPr>
          <w:rFonts w:hint="default" w:ascii="Times New Roman" w:hAnsi="Times New Roman" w:eastAsia="方正仿宋_GBK" w:cs="Times New Roman"/>
          <w:color w:val="000000"/>
          <w:sz w:val="32"/>
          <w:szCs w:val="32"/>
          <w:shd w:val="clear" w:color="auto" w:fill="FFFFFF"/>
        </w:rPr>
        <w:t>3</w:t>
      </w:r>
      <w:r>
        <w:rPr>
          <w:rFonts w:hint="default" w:ascii="Times New Roman" w:hAnsi="Times New Roman" w:eastAsia="方正仿宋_GBK" w:cs="Times New Roman"/>
          <w:color w:val="000000"/>
          <w:sz w:val="32"/>
          <w:szCs w:val="32"/>
          <w:shd w:val="clear" w:color="auto" w:fill="FFFFFF"/>
          <w:lang w:eastAsia="zh-Hans"/>
        </w:rPr>
        <w:t>年度本单位未发生因公出国（境）费用支出。</w:t>
      </w:r>
    </w:p>
    <w:p>
      <w:pPr>
        <w:pStyle w:val="6"/>
        <w:keepNext w:val="0"/>
        <w:keepLines w:val="0"/>
        <w:pageBreakBefore w:val="0"/>
        <w:shd w:val="clear" w:color="auto"/>
        <w:kinsoku/>
        <w:overflowPunct/>
        <w:topLinePunct w:val="0"/>
        <w:autoSpaceDN/>
        <w:bidi w:val="0"/>
        <w:adjustRightInd/>
        <w:spacing w:before="0" w:beforeAutospacing="0" w:after="0" w:afterAutospacing="0" w:line="600" w:lineRule="exact"/>
        <w:ind w:left="0" w:firstLine="640" w:firstLineChars="200"/>
        <w:rPr>
          <w:rFonts w:hint="default" w:ascii="Times New Roman" w:hAnsi="Times New Roman" w:eastAsia="方正仿宋_GBK" w:cs="Times New Roman"/>
          <w:color w:val="000000"/>
          <w:sz w:val="32"/>
          <w:szCs w:val="32"/>
          <w:shd w:val="clear" w:color="auto" w:fill="FFFFFF"/>
          <w:lang w:eastAsia="zh-Hans"/>
        </w:rPr>
      </w:pPr>
      <w:r>
        <w:rPr>
          <w:rFonts w:hint="default" w:ascii="Times New Roman" w:hAnsi="Times New Roman" w:eastAsia="方正仿宋_GBK" w:cs="Times New Roman"/>
          <w:color w:val="000000"/>
          <w:sz w:val="32"/>
          <w:szCs w:val="32"/>
          <w:shd w:val="clear" w:color="auto" w:fill="FFFFFF"/>
          <w:lang w:eastAsia="zh-Hans"/>
        </w:rPr>
        <w:t>202</w:t>
      </w:r>
      <w:r>
        <w:rPr>
          <w:rFonts w:hint="default" w:ascii="Times New Roman" w:hAnsi="Times New Roman" w:eastAsia="方正仿宋_GBK" w:cs="Times New Roman"/>
          <w:color w:val="000000"/>
          <w:sz w:val="32"/>
          <w:szCs w:val="32"/>
          <w:shd w:val="clear" w:color="auto" w:fill="FFFFFF"/>
        </w:rPr>
        <w:t>3</w:t>
      </w:r>
      <w:r>
        <w:rPr>
          <w:rFonts w:hint="default" w:ascii="Times New Roman" w:hAnsi="Times New Roman" w:eastAsia="方正仿宋_GBK" w:cs="Times New Roman"/>
          <w:color w:val="000000"/>
          <w:sz w:val="32"/>
          <w:szCs w:val="32"/>
          <w:shd w:val="clear" w:color="auto" w:fill="FFFFFF"/>
          <w:lang w:eastAsia="zh-Hans"/>
        </w:rPr>
        <w:t>年度本单位未发生公务车购置费支出。</w:t>
      </w:r>
    </w:p>
    <w:p>
      <w:pPr>
        <w:pStyle w:val="6"/>
        <w:keepNext w:val="0"/>
        <w:keepLines w:val="0"/>
        <w:pageBreakBefore w:val="0"/>
        <w:shd w:val="clear" w:color="auto"/>
        <w:kinsoku/>
        <w:overflowPunct/>
        <w:topLinePunct w:val="0"/>
        <w:autoSpaceDN/>
        <w:bidi w:val="0"/>
        <w:adjustRightInd/>
        <w:spacing w:before="0" w:beforeAutospacing="0" w:after="0" w:afterAutospacing="0" w:line="600" w:lineRule="exact"/>
        <w:ind w:left="0" w:firstLine="640" w:firstLineChars="200"/>
        <w:rPr>
          <w:rFonts w:hint="default" w:ascii="Times New Roman" w:hAnsi="Times New Roman" w:eastAsia="方正仿宋_GBK" w:cs="Times New Roman"/>
          <w:color w:val="000000"/>
          <w:sz w:val="32"/>
          <w:szCs w:val="32"/>
          <w:shd w:val="clear" w:color="auto" w:fill="FFFFFF"/>
        </w:rPr>
      </w:pPr>
      <w:r>
        <w:rPr>
          <w:rFonts w:hint="default" w:ascii="Times New Roman" w:hAnsi="Times New Roman" w:eastAsia="方正仿宋_GBK" w:cs="Times New Roman"/>
          <w:sz w:val="32"/>
          <w:szCs w:val="32"/>
          <w:shd w:val="clear" w:color="auto" w:fill="FFFFFF"/>
        </w:rPr>
        <w:t>公务车运行维护费</w:t>
      </w:r>
      <w:r>
        <w:rPr>
          <w:rFonts w:hint="default" w:ascii="Times New Roman" w:hAnsi="Times New Roman" w:eastAsia="方正仿宋_GBK" w:cs="Times New Roman"/>
          <w:sz w:val="32"/>
          <w:szCs w:val="32"/>
        </w:rPr>
        <w:t>1.01</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color w:val="000000"/>
          <w:sz w:val="32"/>
          <w:szCs w:val="32"/>
          <w:shd w:val="clear" w:color="auto" w:fill="FFFFFF"/>
          <w:lang w:eastAsia="zh-Hans"/>
        </w:rPr>
        <w:t>主要用于送图书下乡</w:t>
      </w:r>
      <w:r>
        <w:rPr>
          <w:rFonts w:hint="default" w:ascii="Times New Roman" w:hAnsi="Times New Roman" w:eastAsia="方正仿宋_GBK" w:cs="Times New Roman"/>
          <w:color w:val="000000"/>
          <w:sz w:val="32"/>
          <w:szCs w:val="32"/>
          <w:shd w:val="clear" w:color="auto" w:fill="FFFFFF"/>
        </w:rPr>
        <w:t>及免费开放</w:t>
      </w:r>
      <w:r>
        <w:rPr>
          <w:rFonts w:hint="default" w:ascii="Times New Roman" w:hAnsi="Times New Roman" w:eastAsia="方正仿宋_GBK" w:cs="Times New Roman"/>
          <w:color w:val="000000"/>
          <w:sz w:val="32"/>
          <w:szCs w:val="32"/>
          <w:shd w:val="clear" w:color="auto" w:fill="FFFFFF"/>
          <w:lang w:eastAsia="zh-Hans"/>
        </w:rPr>
        <w:t>活动</w:t>
      </w:r>
      <w:r>
        <w:rPr>
          <w:rFonts w:hint="default" w:ascii="Times New Roman" w:hAnsi="Times New Roman" w:eastAsia="方正仿宋_GBK" w:cs="Times New Roman"/>
          <w:color w:val="000000"/>
          <w:sz w:val="32"/>
          <w:szCs w:val="32"/>
          <w:shd w:val="clear" w:color="auto" w:fill="FFFFFF"/>
        </w:rPr>
        <w:t>的</w:t>
      </w:r>
      <w:r>
        <w:rPr>
          <w:rFonts w:hint="default" w:ascii="Times New Roman" w:hAnsi="Times New Roman" w:eastAsia="方正仿宋_GBK" w:cs="Times New Roman"/>
          <w:color w:val="000000"/>
          <w:sz w:val="32"/>
          <w:szCs w:val="32"/>
          <w:shd w:val="clear" w:color="auto" w:fill="FFFFFF"/>
          <w:lang w:eastAsia="zh-Hans"/>
        </w:rPr>
        <w:t>公务车加油以及保险等日常运行开支。</w:t>
      </w:r>
      <w:r>
        <w:rPr>
          <w:rFonts w:hint="default" w:ascii="Times New Roman" w:hAnsi="Times New Roman" w:eastAsia="方正仿宋_GBK" w:cs="Times New Roman"/>
          <w:sz w:val="32"/>
          <w:szCs w:val="32"/>
          <w:shd w:val="clear" w:color="auto" w:fill="FFFFFF"/>
        </w:rPr>
        <w:t>费用支出较年初预算数减少1.99万元，下降66.33%，</w:t>
      </w:r>
      <w:r>
        <w:rPr>
          <w:rFonts w:hint="default" w:ascii="Times New Roman" w:hAnsi="Times New Roman" w:eastAsia="方正仿宋_GBK" w:cs="Times New Roman"/>
          <w:color w:val="000000"/>
          <w:sz w:val="32"/>
          <w:szCs w:val="32"/>
          <w:shd w:val="clear" w:color="auto" w:fill="FFFFFF"/>
          <w:lang w:eastAsia="zh-Hans"/>
        </w:rPr>
        <w:t>主要原因是认真贯彻落实中央八项规定，</w:t>
      </w:r>
      <w:r>
        <w:rPr>
          <w:rFonts w:hint="default" w:ascii="Times New Roman" w:hAnsi="Times New Roman" w:eastAsia="方正仿宋_GBK" w:cs="Times New Roman"/>
          <w:color w:val="000000"/>
          <w:sz w:val="32"/>
          <w:szCs w:val="32"/>
          <w:shd w:val="clear" w:color="auto" w:fill="FFFFFF"/>
        </w:rPr>
        <w:t>压缩支付，勤俭节约</w:t>
      </w:r>
      <w:r>
        <w:rPr>
          <w:rFonts w:hint="default" w:ascii="Times New Roman" w:hAnsi="Times New Roman" w:eastAsia="方正仿宋_GBK" w:cs="Times New Roman"/>
          <w:color w:val="000000"/>
          <w:sz w:val="32"/>
          <w:szCs w:val="32"/>
          <w:shd w:val="clear" w:color="auto" w:fill="FFFFFF"/>
          <w:lang w:eastAsia="zh-Hans"/>
        </w:rPr>
        <w:t>。</w:t>
      </w:r>
      <w:r>
        <w:rPr>
          <w:rFonts w:hint="default" w:ascii="Times New Roman" w:hAnsi="Times New Roman" w:eastAsia="方正仿宋_GBK" w:cs="Times New Roman"/>
          <w:sz w:val="32"/>
          <w:szCs w:val="32"/>
          <w:shd w:val="clear" w:color="auto" w:fill="FFFFFF"/>
        </w:rPr>
        <w:t>较上年支出数增加0.43万元，增长74.14%，</w:t>
      </w:r>
      <w:r>
        <w:rPr>
          <w:rFonts w:hint="default" w:ascii="Times New Roman" w:hAnsi="Times New Roman" w:eastAsia="方正仿宋_GBK" w:cs="Times New Roman"/>
          <w:color w:val="000000"/>
          <w:sz w:val="32"/>
          <w:szCs w:val="32"/>
          <w:shd w:val="clear" w:color="auto" w:fill="FFFFFF"/>
          <w:lang w:eastAsia="zh-Hans"/>
        </w:rPr>
        <w:t>主要原因是</w:t>
      </w:r>
      <w:r>
        <w:rPr>
          <w:rFonts w:hint="default" w:ascii="Times New Roman" w:hAnsi="Times New Roman" w:eastAsia="方正仿宋_GBK" w:cs="Times New Roman"/>
          <w:color w:val="000000"/>
          <w:sz w:val="32"/>
          <w:szCs w:val="32"/>
          <w:shd w:val="clear" w:color="auto" w:fill="FFFFFF"/>
        </w:rPr>
        <w:t>2023年</w:t>
      </w:r>
      <w:r>
        <w:rPr>
          <w:rFonts w:hint="default" w:ascii="Times New Roman" w:hAnsi="Times New Roman" w:eastAsia="方正仿宋_GBK" w:cs="Times New Roman"/>
          <w:color w:val="000000"/>
          <w:sz w:val="32"/>
          <w:szCs w:val="32"/>
          <w:shd w:val="clear" w:color="auto" w:fill="FFFFFF"/>
          <w:lang w:eastAsia="zh-Hans"/>
        </w:rPr>
        <w:t>送图书下乡</w:t>
      </w:r>
      <w:r>
        <w:rPr>
          <w:rFonts w:hint="default" w:ascii="Times New Roman" w:hAnsi="Times New Roman" w:eastAsia="方正仿宋_GBK" w:cs="Times New Roman"/>
          <w:color w:val="000000"/>
          <w:sz w:val="32"/>
          <w:szCs w:val="32"/>
          <w:shd w:val="clear" w:color="auto" w:fill="FFFFFF"/>
        </w:rPr>
        <w:t>及免费开放</w:t>
      </w:r>
      <w:r>
        <w:rPr>
          <w:rFonts w:hint="default" w:ascii="Times New Roman" w:hAnsi="Times New Roman" w:eastAsia="方正仿宋_GBK" w:cs="Times New Roman"/>
          <w:color w:val="000000"/>
          <w:sz w:val="32"/>
          <w:szCs w:val="32"/>
          <w:shd w:val="clear" w:color="auto" w:fill="FFFFFF"/>
          <w:lang w:eastAsia="zh-Hans"/>
        </w:rPr>
        <w:t>活动</w:t>
      </w:r>
      <w:r>
        <w:rPr>
          <w:rFonts w:hint="default" w:ascii="Times New Roman" w:hAnsi="Times New Roman" w:eastAsia="方正仿宋_GBK" w:cs="Times New Roman"/>
          <w:color w:val="000000"/>
          <w:sz w:val="32"/>
          <w:szCs w:val="32"/>
          <w:shd w:val="clear" w:color="auto" w:fill="FFFFFF"/>
        </w:rPr>
        <w:t>有所增加。</w:t>
      </w:r>
    </w:p>
    <w:p>
      <w:pPr>
        <w:pStyle w:val="6"/>
        <w:keepNext w:val="0"/>
        <w:keepLines w:val="0"/>
        <w:pageBreakBefore w:val="0"/>
        <w:kinsoku/>
        <w:overflowPunct/>
        <w:topLinePunct w:val="0"/>
        <w:autoSpaceDN/>
        <w:bidi w:val="0"/>
        <w:adjustRightInd/>
        <w:snapToGrid w:val="0"/>
        <w:spacing w:before="0" w:beforeAutospacing="0" w:after="0" w:afterAutospacing="0" w:line="600" w:lineRule="exact"/>
        <w:ind w:left="0"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公务接待费</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万元，费用支出较年初预算数无增减。较上年支出数减少0.21万元，下降100.00%，</w:t>
      </w:r>
      <w:r>
        <w:rPr>
          <w:rFonts w:hint="default" w:ascii="Times New Roman" w:hAnsi="Times New Roman" w:eastAsia="方正仿宋_GBK" w:cs="Times New Roman"/>
          <w:color w:val="000000"/>
          <w:sz w:val="32"/>
          <w:szCs w:val="32"/>
          <w:shd w:val="clear" w:color="auto" w:fill="FFFFFF"/>
          <w:lang w:eastAsia="zh-Hans"/>
        </w:rPr>
        <w:t>主要原因是认真贯彻落实中央八项规定，</w:t>
      </w:r>
      <w:r>
        <w:rPr>
          <w:rFonts w:hint="default" w:ascii="Times New Roman" w:hAnsi="Times New Roman" w:eastAsia="方正仿宋_GBK" w:cs="Times New Roman"/>
          <w:color w:val="000000"/>
          <w:sz w:val="32"/>
          <w:szCs w:val="32"/>
          <w:shd w:val="clear" w:color="auto" w:fill="FFFFFF"/>
        </w:rPr>
        <w:t>压缩支付，勤俭节约</w:t>
      </w:r>
      <w:r>
        <w:rPr>
          <w:rFonts w:hint="default" w:ascii="Times New Roman" w:hAnsi="Times New Roman" w:eastAsia="方正仿宋_GBK" w:cs="Times New Roman"/>
          <w:color w:val="000000"/>
          <w:sz w:val="32"/>
          <w:szCs w:val="32"/>
          <w:shd w:val="clear" w:color="auto" w:fill="FFFFFF"/>
          <w:lang w:eastAsia="zh-Hans"/>
        </w:rPr>
        <w:t>，严格遵守开支范围和开支标准。</w:t>
      </w:r>
    </w:p>
    <w:p>
      <w:pPr>
        <w:pStyle w:val="11"/>
        <w:keepNext w:val="0"/>
        <w:keepLines w:val="0"/>
        <w:pageBreakBefore w:val="0"/>
        <w:kinsoku/>
        <w:overflowPunct/>
        <w:topLinePunct w:val="0"/>
        <w:autoSpaceDE w:val="0"/>
        <w:autoSpaceDN/>
        <w:bidi w:val="0"/>
        <w:adjustRightInd/>
        <w:spacing w:line="600" w:lineRule="exact"/>
        <w:ind w:left="0" w:firstLine="640"/>
        <w:rPr>
          <w:rStyle w:val="10"/>
          <w:rFonts w:hint="default" w:ascii="Times New Roman" w:hAnsi="Times New Roman" w:eastAsia="方正楷体_GBK" w:cs="Times New Roman"/>
          <w:b w:val="0"/>
          <w:sz w:val="32"/>
          <w:szCs w:val="32"/>
        </w:rPr>
      </w:pPr>
      <w:r>
        <w:rPr>
          <w:rStyle w:val="10"/>
          <w:rFonts w:hint="default" w:ascii="Times New Roman" w:hAnsi="Times New Roman" w:eastAsia="方正楷体_GBK" w:cs="Times New Roman"/>
          <w:b w:val="0"/>
          <w:sz w:val="32"/>
          <w:szCs w:val="32"/>
        </w:rPr>
        <w:t>（三）“三公”经费实物量情况</w:t>
      </w:r>
    </w:p>
    <w:p>
      <w:pPr>
        <w:pStyle w:val="6"/>
        <w:keepNext w:val="0"/>
        <w:keepLines w:val="0"/>
        <w:pageBreakBefore w:val="0"/>
        <w:kinsoku/>
        <w:overflowPunct/>
        <w:topLinePunct w:val="0"/>
        <w:autoSpaceDN/>
        <w:bidi w:val="0"/>
        <w:adjustRightInd/>
        <w:snapToGrid w:val="0"/>
        <w:spacing w:before="0" w:beforeAutospacing="0" w:after="0" w:afterAutospacing="0" w:line="600" w:lineRule="exact"/>
        <w:ind w:left="0"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2023年度本单位因公出国（境）共计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个团组，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人；公务用车购置</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辆，公务车保有量为</w:t>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shd w:val="clear" w:color="auto" w:fill="FFFFFF"/>
        </w:rPr>
        <w:t>辆；国内公务接待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人，其中：国内外事接待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人；国（境）外公务接待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人。2023年本单位人均接待费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元，车均购置费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万元，车均维护费</w:t>
      </w:r>
      <w:r>
        <w:rPr>
          <w:rFonts w:hint="default" w:ascii="Times New Roman" w:hAnsi="Times New Roman" w:eastAsia="方正仿宋_GBK" w:cs="Times New Roman"/>
          <w:sz w:val="32"/>
          <w:szCs w:val="32"/>
        </w:rPr>
        <w:t>1.01</w:t>
      </w:r>
      <w:r>
        <w:rPr>
          <w:rFonts w:hint="default" w:ascii="Times New Roman" w:hAnsi="Times New Roman" w:eastAsia="方正仿宋_GBK" w:cs="Times New Roman"/>
          <w:sz w:val="32"/>
          <w:szCs w:val="32"/>
          <w:shd w:val="clear" w:color="auto" w:fill="FFFFFF"/>
        </w:rPr>
        <w:t>万元。</w:t>
      </w:r>
    </w:p>
    <w:p>
      <w:pPr>
        <w:pStyle w:val="6"/>
        <w:keepNext w:val="0"/>
        <w:keepLines w:val="0"/>
        <w:pageBreakBefore w:val="0"/>
        <w:shd w:val="clear" w:color="auto"/>
        <w:kinsoku/>
        <w:overflowPunct/>
        <w:topLinePunct w:val="0"/>
        <w:autoSpaceDN/>
        <w:bidi w:val="0"/>
        <w:adjustRightInd/>
        <w:spacing w:beforeAutospacing="0" w:afterAutospacing="0" w:line="600" w:lineRule="exact"/>
        <w:ind w:left="0" w:firstLine="722" w:firstLineChars="225"/>
        <w:rPr>
          <w:rStyle w:val="10"/>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四、其他需要说明的事项</w:t>
      </w:r>
    </w:p>
    <w:p>
      <w:pPr>
        <w:pStyle w:val="11"/>
        <w:keepNext w:val="0"/>
        <w:keepLines w:val="0"/>
        <w:pageBreakBefore w:val="0"/>
        <w:kinsoku/>
        <w:overflowPunct/>
        <w:topLinePunct w:val="0"/>
        <w:autoSpaceDE w:val="0"/>
        <w:autoSpaceDN/>
        <w:bidi w:val="0"/>
        <w:adjustRightInd/>
        <w:spacing w:line="600" w:lineRule="exact"/>
        <w:ind w:left="0" w:firstLine="640"/>
        <w:rPr>
          <w:rStyle w:val="10"/>
          <w:rFonts w:hint="default" w:ascii="Times New Roman" w:hAnsi="Times New Roman" w:eastAsia="方正楷体_GBK" w:cs="Times New Roman"/>
          <w:b w:val="0"/>
          <w:sz w:val="32"/>
          <w:szCs w:val="32"/>
        </w:rPr>
      </w:pPr>
      <w:r>
        <w:rPr>
          <w:rStyle w:val="10"/>
          <w:rFonts w:hint="default" w:ascii="Times New Roman" w:hAnsi="Times New Roman" w:eastAsia="方正楷体_GBK" w:cs="Times New Roman"/>
          <w:b w:val="0"/>
          <w:sz w:val="32"/>
          <w:szCs w:val="32"/>
        </w:rPr>
        <w:t>（一）财政拨款会议费和培训费情况说明</w:t>
      </w:r>
    </w:p>
    <w:p>
      <w:pPr>
        <w:pStyle w:val="6"/>
        <w:keepNext w:val="0"/>
        <w:keepLines w:val="0"/>
        <w:pageBreakBefore w:val="0"/>
        <w:kinsoku/>
        <w:overflowPunct/>
        <w:topLinePunct w:val="0"/>
        <w:autoSpaceDN/>
        <w:bidi w:val="0"/>
        <w:adjustRightInd/>
        <w:snapToGrid w:val="0"/>
        <w:spacing w:before="0" w:beforeAutospacing="0" w:after="0" w:afterAutospacing="0" w:line="600" w:lineRule="exact"/>
        <w:ind w:left="0" w:firstLine="720" w:firstLineChars="225"/>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本年度会议费支出</w:t>
      </w:r>
      <w:r>
        <w:rPr>
          <w:rFonts w:hint="default" w:ascii="Times New Roman" w:hAnsi="Times New Roman" w:eastAsia="方正仿宋_GBK" w:cs="Times New Roman"/>
          <w:sz w:val="32"/>
          <w:szCs w:val="32"/>
        </w:rPr>
        <w:t>1.24</w:t>
      </w:r>
      <w:r>
        <w:rPr>
          <w:rFonts w:hint="default" w:ascii="Times New Roman" w:hAnsi="Times New Roman" w:eastAsia="方正仿宋_GBK" w:cs="Times New Roman"/>
          <w:sz w:val="32"/>
          <w:szCs w:val="32"/>
          <w:shd w:val="clear" w:color="auto" w:fill="FFFFFF"/>
        </w:rPr>
        <w:t>万元，较上年决算数增加0.64万元，增长106.67%，主要原因是今年召开了几次专题会议。本年度培训费支出</w:t>
      </w:r>
      <w:r>
        <w:rPr>
          <w:rFonts w:hint="default" w:ascii="Times New Roman" w:hAnsi="Times New Roman" w:eastAsia="方正仿宋_GBK" w:cs="Times New Roman"/>
          <w:sz w:val="32"/>
          <w:szCs w:val="32"/>
        </w:rPr>
        <w:t>0.02</w:t>
      </w:r>
      <w:r>
        <w:rPr>
          <w:rFonts w:hint="default" w:ascii="Times New Roman" w:hAnsi="Times New Roman" w:eastAsia="方正仿宋_GBK" w:cs="Times New Roman"/>
          <w:sz w:val="32"/>
          <w:szCs w:val="32"/>
          <w:shd w:val="clear" w:color="auto" w:fill="FFFFFF"/>
        </w:rPr>
        <w:t>万元，较上年决算数减少0.02万元，下降50.00%，主要原因是上年未开展培训活动，今年开展了一次培训活动。</w:t>
      </w:r>
    </w:p>
    <w:p>
      <w:pPr>
        <w:pStyle w:val="11"/>
        <w:keepNext w:val="0"/>
        <w:keepLines w:val="0"/>
        <w:pageBreakBefore w:val="0"/>
        <w:kinsoku/>
        <w:overflowPunct/>
        <w:topLinePunct w:val="0"/>
        <w:autoSpaceDE w:val="0"/>
        <w:autoSpaceDN/>
        <w:bidi w:val="0"/>
        <w:adjustRightInd/>
        <w:spacing w:line="600" w:lineRule="exact"/>
        <w:ind w:left="0" w:firstLine="640"/>
        <w:rPr>
          <w:rStyle w:val="10"/>
          <w:rFonts w:hint="default" w:ascii="Times New Roman" w:hAnsi="Times New Roman" w:eastAsia="方正楷体_GBK" w:cs="Times New Roman"/>
          <w:b w:val="0"/>
          <w:sz w:val="32"/>
          <w:szCs w:val="32"/>
        </w:rPr>
      </w:pPr>
      <w:r>
        <w:rPr>
          <w:rStyle w:val="10"/>
          <w:rFonts w:hint="default" w:ascii="Times New Roman" w:hAnsi="Times New Roman" w:eastAsia="方正楷体_GBK" w:cs="Times New Roman"/>
          <w:b w:val="0"/>
          <w:sz w:val="32"/>
          <w:szCs w:val="32"/>
        </w:rPr>
        <w:t>（二）机关运行经费情况说明</w:t>
      </w:r>
    </w:p>
    <w:p>
      <w:pPr>
        <w:keepNext w:val="0"/>
        <w:keepLines w:val="0"/>
        <w:pageBreakBefore w:val="0"/>
        <w:kinsoku/>
        <w:overflowPunct/>
        <w:topLinePunct w:val="0"/>
        <w:autoSpaceDN/>
        <w:bidi w:val="0"/>
        <w:adjustRightInd/>
        <w:spacing w:line="600" w:lineRule="exact"/>
        <w:ind w:left="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我单位不在机关运行经费统计范围之内。</w:t>
      </w:r>
    </w:p>
    <w:p>
      <w:pPr>
        <w:pStyle w:val="11"/>
        <w:keepNext w:val="0"/>
        <w:keepLines w:val="0"/>
        <w:pageBreakBefore w:val="0"/>
        <w:kinsoku/>
        <w:overflowPunct/>
        <w:topLinePunct w:val="0"/>
        <w:autoSpaceDE w:val="0"/>
        <w:autoSpaceDN/>
        <w:bidi w:val="0"/>
        <w:adjustRightInd/>
        <w:spacing w:line="600" w:lineRule="exact"/>
        <w:ind w:left="0" w:firstLine="640"/>
        <w:rPr>
          <w:rStyle w:val="10"/>
          <w:rFonts w:hint="default" w:ascii="Times New Roman" w:hAnsi="Times New Roman" w:eastAsia="方正楷体_GBK" w:cs="Times New Roman"/>
          <w:b w:val="0"/>
          <w:sz w:val="32"/>
          <w:szCs w:val="32"/>
        </w:rPr>
      </w:pPr>
      <w:r>
        <w:rPr>
          <w:rStyle w:val="10"/>
          <w:rFonts w:hint="default" w:ascii="Times New Roman" w:hAnsi="Times New Roman" w:eastAsia="方正楷体_GBK" w:cs="Times New Roman"/>
          <w:b w:val="0"/>
          <w:sz w:val="32"/>
          <w:szCs w:val="32"/>
        </w:rPr>
        <w:t>（三）国有资产占用情况说明</w:t>
      </w:r>
    </w:p>
    <w:p>
      <w:pPr>
        <w:pStyle w:val="6"/>
        <w:keepNext w:val="0"/>
        <w:keepLines w:val="0"/>
        <w:pageBreakBefore w:val="0"/>
        <w:kinsoku/>
        <w:overflowPunct/>
        <w:topLinePunct w:val="0"/>
        <w:autoSpaceDN/>
        <w:bidi w:val="0"/>
        <w:adjustRightInd/>
        <w:snapToGrid w:val="0"/>
        <w:spacing w:before="0" w:beforeAutospacing="0" w:after="0" w:afterAutospacing="0" w:line="600" w:lineRule="exact"/>
        <w:ind w:left="0"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截至2023年12月31日，本单位共有车辆</w:t>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shd w:val="clear" w:color="auto" w:fill="FFFFFF"/>
        </w:rPr>
        <w:t>辆，其中，副部（省）级及以上领导用车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辆、主要负责人用车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辆、机要通信用车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辆、应急保障用车</w:t>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shd w:val="clear" w:color="auto" w:fill="FFFFFF"/>
        </w:rPr>
        <w:t>辆、执法执勤用车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辆，特种专业技术用车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辆，离退休干部用车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辆。单价100万元（含）以上专用设备</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台（套）。</w:t>
      </w:r>
    </w:p>
    <w:p>
      <w:pPr>
        <w:pStyle w:val="11"/>
        <w:keepNext w:val="0"/>
        <w:keepLines w:val="0"/>
        <w:pageBreakBefore w:val="0"/>
        <w:kinsoku/>
        <w:overflowPunct/>
        <w:topLinePunct w:val="0"/>
        <w:autoSpaceDE w:val="0"/>
        <w:autoSpaceDN/>
        <w:bidi w:val="0"/>
        <w:adjustRightInd/>
        <w:spacing w:line="600" w:lineRule="exact"/>
        <w:ind w:left="0" w:firstLine="640"/>
        <w:rPr>
          <w:rStyle w:val="10"/>
          <w:rFonts w:hint="default" w:ascii="Times New Roman" w:hAnsi="Times New Roman" w:eastAsia="方正楷体_GBK" w:cs="Times New Roman"/>
          <w:b w:val="0"/>
          <w:sz w:val="32"/>
          <w:szCs w:val="32"/>
        </w:rPr>
      </w:pPr>
      <w:r>
        <w:rPr>
          <w:rStyle w:val="10"/>
          <w:rFonts w:hint="default" w:ascii="Times New Roman" w:hAnsi="Times New Roman" w:eastAsia="方正楷体_GBK" w:cs="Times New Roman"/>
          <w:b w:val="0"/>
          <w:sz w:val="32"/>
          <w:szCs w:val="32"/>
        </w:rPr>
        <w:t>（四）政府采购支出情况说明</w:t>
      </w:r>
    </w:p>
    <w:p>
      <w:pPr>
        <w:pStyle w:val="6"/>
        <w:keepNext w:val="0"/>
        <w:keepLines w:val="0"/>
        <w:pageBreakBefore w:val="0"/>
        <w:kinsoku/>
        <w:overflowPunct/>
        <w:topLinePunct w:val="0"/>
        <w:autoSpaceDN/>
        <w:bidi w:val="0"/>
        <w:adjustRightInd/>
        <w:spacing w:before="0" w:beforeAutospacing="0" w:after="0" w:afterAutospacing="0" w:line="600" w:lineRule="exact"/>
        <w:ind w:left="0" w:firstLine="640" w:firstLineChars="200"/>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color w:val="000000"/>
          <w:sz w:val="32"/>
          <w:szCs w:val="32"/>
          <w:shd w:val="clear" w:color="auto" w:fill="FFFFFF"/>
        </w:rPr>
        <w:t>2023年度我单位未</w:t>
      </w:r>
      <w:r>
        <w:rPr>
          <w:rFonts w:hint="default" w:ascii="Times New Roman" w:hAnsi="Times New Roman" w:eastAsia="方正仿宋_GBK" w:cs="Times New Roman"/>
          <w:sz w:val="32"/>
          <w:szCs w:val="32"/>
        </w:rPr>
        <w:t>发生政府采购事项，无相关经费支出</w:t>
      </w:r>
      <w:r>
        <w:rPr>
          <w:rFonts w:hint="default" w:ascii="Times New Roman" w:hAnsi="Times New Roman" w:eastAsia="方正仿宋_GBK" w:cs="Times New Roman"/>
          <w:sz w:val="32"/>
          <w:szCs w:val="32"/>
          <w:lang w:eastAsia="zh-Hans"/>
        </w:rPr>
        <w:t>。</w:t>
      </w:r>
    </w:p>
    <w:p>
      <w:pPr>
        <w:pStyle w:val="6"/>
        <w:keepNext w:val="0"/>
        <w:keepLines w:val="0"/>
        <w:pageBreakBefore w:val="0"/>
        <w:shd w:val="clear" w:color="auto"/>
        <w:kinsoku/>
        <w:overflowPunct/>
        <w:topLinePunct w:val="0"/>
        <w:autoSpaceDN/>
        <w:bidi w:val="0"/>
        <w:adjustRightInd/>
        <w:spacing w:beforeAutospacing="0" w:afterAutospacing="0" w:line="600" w:lineRule="exact"/>
        <w:ind w:left="0" w:firstLine="722" w:firstLineChars="225"/>
        <w:rPr>
          <w:rStyle w:val="10"/>
          <w:rFonts w:hint="default" w:ascii="Times New Roman" w:hAnsi="Times New Roman" w:eastAsia="黑体"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五、预算绩效管理情况说明</w:t>
      </w:r>
    </w:p>
    <w:p>
      <w:pPr>
        <w:pStyle w:val="11"/>
        <w:keepNext w:val="0"/>
        <w:keepLines w:val="0"/>
        <w:pageBreakBefore w:val="0"/>
        <w:kinsoku/>
        <w:overflowPunct/>
        <w:topLinePunct w:val="0"/>
        <w:autoSpaceDE w:val="0"/>
        <w:autoSpaceDN/>
        <w:bidi w:val="0"/>
        <w:adjustRightInd/>
        <w:spacing w:line="600" w:lineRule="exact"/>
        <w:ind w:left="0" w:firstLine="640"/>
        <w:rPr>
          <w:rStyle w:val="10"/>
          <w:rFonts w:hint="default" w:ascii="Times New Roman" w:hAnsi="Times New Roman" w:eastAsia="方正楷体_GBK" w:cs="Times New Roman"/>
          <w:b w:val="0"/>
          <w:sz w:val="32"/>
          <w:szCs w:val="32"/>
        </w:rPr>
      </w:pPr>
      <w:r>
        <w:rPr>
          <w:rStyle w:val="10"/>
          <w:rFonts w:hint="default" w:ascii="Times New Roman" w:hAnsi="Times New Roman" w:eastAsia="方正楷体_GBK" w:cs="Times New Roman"/>
          <w:b w:val="0"/>
          <w:sz w:val="32"/>
          <w:szCs w:val="32"/>
        </w:rPr>
        <w:t>（一）单位自评情况</w:t>
      </w:r>
    </w:p>
    <w:p>
      <w:pPr>
        <w:pStyle w:val="6"/>
        <w:keepNext w:val="0"/>
        <w:keepLines w:val="0"/>
        <w:pageBreakBefore w:val="0"/>
        <w:widowControl w:val="0"/>
        <w:kinsoku/>
        <w:overflowPunct/>
        <w:topLinePunct w:val="0"/>
        <w:autoSpaceDN/>
        <w:bidi w:val="0"/>
        <w:adjustRightInd/>
        <w:spacing w:before="0" w:beforeAutospacing="0" w:after="0" w:afterAutospacing="0" w:line="600" w:lineRule="exact"/>
        <w:ind w:left="0" w:firstLine="640" w:firstLineChars="200"/>
        <w:rPr>
          <w:rFonts w:hint="default" w:ascii="Times New Roman" w:hAnsi="Times New Roman" w:eastAsia="方正仿宋_GBK" w:cs="Times New Roman"/>
          <w:color w:val="000000"/>
          <w:sz w:val="32"/>
          <w:szCs w:val="32"/>
          <w:shd w:val="clear" w:color="auto" w:fill="FFFFFF"/>
          <w:lang w:eastAsia="zh-Hans"/>
        </w:rPr>
      </w:pPr>
      <w:r>
        <w:rPr>
          <w:rFonts w:hint="default" w:ascii="Times New Roman" w:hAnsi="Times New Roman" w:eastAsia="方正仿宋_GBK" w:cs="Times New Roman"/>
          <w:sz w:val="32"/>
          <w:szCs w:val="32"/>
          <w:shd w:val="clear" w:color="auto" w:fill="FFFFFF"/>
        </w:rPr>
        <w:t>根据预算绩效管理要求，我单位对2023年图书馆县级免费开放项目、中央公共文化服务体系建设项目、图书馆漏水整治及阅览室维修项目等3个二级项目开展了绩效自评，涉及财政拨款项目支出资金162.85万元。</w:t>
      </w:r>
      <w:r>
        <w:rPr>
          <w:rFonts w:hint="default" w:ascii="Times New Roman" w:hAnsi="Times New Roman" w:eastAsia="方正仿宋_GBK" w:cs="Times New Roman"/>
          <w:color w:val="000000"/>
          <w:sz w:val="32"/>
          <w:szCs w:val="32"/>
          <w:shd w:val="clear" w:color="auto" w:fill="FFFFFF"/>
          <w:lang w:eastAsia="zh-Hans"/>
        </w:rPr>
        <w:t>从评价情况来看，项目立项较为规范，绩效目标明确，预算编制合理，管理科学规范，资金到位及时，总体完成情况较好，采购读者喜爱的正版图书，满足群众基本文化需求，提升读者阅读兴趣，提高群众文化素养，完成免费开放绩效考核指标。</w:t>
      </w:r>
    </w:p>
    <w:p>
      <w:pPr>
        <w:pStyle w:val="6"/>
        <w:keepNext w:val="0"/>
        <w:keepLines w:val="0"/>
        <w:pageBreakBefore w:val="0"/>
        <w:widowControl w:val="0"/>
        <w:kinsoku/>
        <w:overflowPunct/>
        <w:topLinePunct w:val="0"/>
        <w:autoSpaceDN/>
        <w:bidi w:val="0"/>
        <w:adjustRightInd/>
        <w:spacing w:before="0" w:beforeAutospacing="0" w:after="0" w:afterAutospacing="0" w:line="600" w:lineRule="exact"/>
        <w:ind w:left="0" w:firstLine="640" w:firstLineChars="200"/>
        <w:rPr>
          <w:rFonts w:hint="default" w:ascii="Times New Roman" w:hAnsi="Times New Roman" w:eastAsia="方正仿宋_GBK" w:cs="Times New Roman"/>
          <w:color w:val="000000"/>
          <w:sz w:val="32"/>
          <w:szCs w:val="32"/>
          <w:shd w:val="clear" w:color="auto" w:fill="FFFFFF"/>
          <w:lang w:eastAsia="zh-Hans"/>
        </w:rPr>
      </w:pPr>
      <w:r>
        <w:rPr>
          <w:rFonts w:hint="default" w:ascii="Times New Roman" w:hAnsi="Times New Roman" w:eastAsia="方正仿宋_GBK" w:cs="Times New Roman"/>
          <w:color w:val="000000"/>
          <w:sz w:val="32"/>
          <w:szCs w:val="32"/>
          <w:shd w:val="clear" w:color="auto" w:fill="FFFFFF"/>
        </w:rPr>
        <w:t>丰都县图书馆</w:t>
      </w:r>
      <w:r>
        <w:rPr>
          <w:rFonts w:hint="default" w:ascii="Times New Roman" w:hAnsi="Times New Roman" w:eastAsia="方正仿宋_GBK" w:cs="Times New Roman"/>
          <w:color w:val="000000"/>
          <w:sz w:val="32"/>
          <w:szCs w:val="32"/>
          <w:shd w:val="clear" w:color="auto" w:fill="FFFFFF"/>
          <w:lang w:eastAsia="zh-Hans"/>
        </w:rPr>
        <w:t>2023</w:t>
      </w:r>
      <w:r>
        <w:rPr>
          <w:rFonts w:hint="default" w:ascii="Times New Roman" w:hAnsi="Times New Roman" w:eastAsia="方正仿宋_GBK" w:cs="Times New Roman"/>
          <w:color w:val="000000"/>
          <w:sz w:val="32"/>
          <w:szCs w:val="32"/>
          <w:shd w:val="clear" w:color="auto" w:fill="FFFFFF"/>
        </w:rPr>
        <w:t>年度项目支出绩效自评情况表</w:t>
      </w:r>
    </w:p>
    <w:tbl>
      <w:tblPr>
        <w:tblStyle w:val="7"/>
        <w:tblpPr w:leftFromText="180" w:rightFromText="180" w:vertAnchor="text" w:horzAnchor="page" w:tblpX="549" w:tblpY="606"/>
        <w:tblOverlap w:val="never"/>
        <w:tblW w:w="10083" w:type="dxa"/>
        <w:tblInd w:w="0" w:type="dxa"/>
        <w:tblLayout w:type="fixed"/>
        <w:tblCellMar>
          <w:top w:w="0" w:type="dxa"/>
          <w:left w:w="0" w:type="dxa"/>
          <w:bottom w:w="0" w:type="dxa"/>
          <w:right w:w="0" w:type="dxa"/>
        </w:tblCellMar>
      </w:tblPr>
      <w:tblGrid>
        <w:gridCol w:w="790"/>
        <w:gridCol w:w="417"/>
        <w:gridCol w:w="552"/>
        <w:gridCol w:w="1376"/>
        <w:gridCol w:w="731"/>
        <w:gridCol w:w="1639"/>
        <w:gridCol w:w="744"/>
        <w:gridCol w:w="1376"/>
        <w:gridCol w:w="627"/>
        <w:gridCol w:w="701"/>
        <w:gridCol w:w="1130"/>
      </w:tblGrid>
      <w:tr>
        <w:tblPrEx>
          <w:tblCellMar>
            <w:top w:w="0" w:type="dxa"/>
            <w:left w:w="0" w:type="dxa"/>
            <w:bottom w:w="0" w:type="dxa"/>
            <w:right w:w="0" w:type="dxa"/>
          </w:tblCellMar>
        </w:tblPrEx>
        <w:trPr>
          <w:trHeight w:val="744" w:hRule="atLeast"/>
        </w:trPr>
        <w:tc>
          <w:tcPr>
            <w:tcW w:w="1008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eastAsia="微软雅黑" w:cs="Times New Roman"/>
                <w:b/>
                <w:color w:val="000000"/>
                <w:sz w:val="28"/>
                <w:szCs w:val="28"/>
              </w:rPr>
            </w:pPr>
            <w:r>
              <w:rPr>
                <w:rFonts w:hint="default" w:ascii="Times New Roman" w:hAnsi="Times New Roman" w:eastAsia="微软雅黑" w:cs="Times New Roman"/>
                <w:b/>
                <w:color w:val="000000"/>
                <w:sz w:val="28"/>
                <w:szCs w:val="28"/>
                <w:lang w:bidi="ar"/>
              </w:rPr>
              <w:t>2023年度二级项目绩效自评表</w:t>
            </w:r>
          </w:p>
        </w:tc>
      </w:tr>
      <w:tr>
        <w:tblPrEx>
          <w:tblCellMar>
            <w:top w:w="0" w:type="dxa"/>
            <w:left w:w="0" w:type="dxa"/>
            <w:bottom w:w="0" w:type="dxa"/>
            <w:right w:w="0" w:type="dxa"/>
          </w:tblCellMar>
        </w:tblPrEx>
        <w:trPr>
          <w:trHeight w:val="867"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项目名称：</w:t>
            </w:r>
          </w:p>
        </w:tc>
        <w:tc>
          <w:tcPr>
            <w:tcW w:w="9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firstLine="200" w:firstLineChars="1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2023年图书馆县级免费开放项目</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项目编码：</w:t>
            </w:r>
          </w:p>
        </w:tc>
        <w:tc>
          <w:tcPr>
            <w:tcW w:w="23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firstLine="200" w:firstLineChars="1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50023023T000002982899</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自评总分：</w:t>
            </w:r>
          </w:p>
        </w:tc>
        <w:tc>
          <w:tcPr>
            <w:tcW w:w="20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firstLine="200" w:firstLineChars="1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100.00</w:t>
            </w: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rPr>
                <w:rFonts w:hint="default" w:ascii="Times New Roman" w:hAnsi="Times New Roman" w:cs="Times New Roman"/>
                <w:b/>
                <w:color w:val="000000"/>
                <w:sz w:val="20"/>
                <w:szCs w:val="20"/>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20"/>
                <w:szCs w:val="20"/>
              </w:rPr>
            </w:pPr>
          </w:p>
        </w:tc>
      </w:tr>
      <w:tr>
        <w:tblPrEx>
          <w:tblCellMar>
            <w:top w:w="0" w:type="dxa"/>
            <w:left w:w="0" w:type="dxa"/>
            <w:bottom w:w="0" w:type="dxa"/>
            <w:right w:w="0" w:type="dxa"/>
          </w:tblCellMar>
        </w:tblPrEx>
        <w:trPr>
          <w:trHeight w:val="1148"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项目主管单位：</w:t>
            </w:r>
          </w:p>
        </w:tc>
        <w:tc>
          <w:tcPr>
            <w:tcW w:w="9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firstLine="200" w:firstLineChars="1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203-丰都县文化和旅游发展委员会</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财政归口处室：</w:t>
            </w:r>
          </w:p>
        </w:tc>
        <w:tc>
          <w:tcPr>
            <w:tcW w:w="23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firstLine="200" w:firstLineChars="1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002-教科文科</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单位联系人：</w:t>
            </w:r>
          </w:p>
        </w:tc>
        <w:tc>
          <w:tcPr>
            <w:tcW w:w="20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firstLine="200" w:firstLineChars="1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秦娟</w:t>
            </w: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联系电话：</w:t>
            </w: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17783762022</w:t>
            </w:r>
          </w:p>
        </w:tc>
      </w:tr>
      <w:tr>
        <w:tblPrEx>
          <w:tblCellMar>
            <w:top w:w="0" w:type="dxa"/>
            <w:left w:w="0" w:type="dxa"/>
            <w:bottom w:w="0" w:type="dxa"/>
            <w:right w:w="0" w:type="dxa"/>
          </w:tblCellMar>
        </w:tblPrEx>
        <w:trPr>
          <w:trHeight w:val="585" w:hRule="atLeast"/>
        </w:trPr>
        <w:tc>
          <w:tcPr>
            <w:tcW w:w="10083"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eastAsia="微软雅黑" w:cs="Times New Roman"/>
                <w:b/>
                <w:color w:val="808080"/>
                <w:sz w:val="20"/>
                <w:szCs w:val="20"/>
              </w:rPr>
            </w:pPr>
            <w:r>
              <w:rPr>
                <w:rFonts w:hint="default" w:ascii="Times New Roman" w:hAnsi="Times New Roman" w:eastAsia="微软雅黑" w:cs="Times New Roman"/>
                <w:b/>
                <w:color w:val="808080"/>
                <w:sz w:val="20"/>
                <w:szCs w:val="20"/>
                <w:lang w:bidi="ar"/>
              </w:rPr>
              <w:t>资金情况</w:t>
            </w:r>
          </w:p>
        </w:tc>
      </w:tr>
      <w:tr>
        <w:tblPrEx>
          <w:tblCellMar>
            <w:top w:w="0" w:type="dxa"/>
            <w:left w:w="0" w:type="dxa"/>
            <w:bottom w:w="0" w:type="dxa"/>
            <w:right w:w="0" w:type="dxa"/>
          </w:tblCellMar>
        </w:tblPrEx>
        <w:trPr>
          <w:trHeight w:val="585" w:hRule="atLeast"/>
        </w:trPr>
        <w:tc>
          <w:tcPr>
            <w:tcW w:w="12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color w:val="000000"/>
                <w:sz w:val="20"/>
                <w:szCs w:val="20"/>
              </w:rPr>
            </w:pPr>
          </w:p>
        </w:tc>
        <w:tc>
          <w:tcPr>
            <w:tcW w:w="192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年初预算数</w:t>
            </w:r>
          </w:p>
        </w:tc>
        <w:tc>
          <w:tcPr>
            <w:tcW w:w="23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全年（调整）预算数</w:t>
            </w: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全年执行数</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执行率</w:t>
            </w: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执行率权重</w:t>
            </w: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执行率得分</w:t>
            </w:r>
          </w:p>
        </w:tc>
      </w:tr>
      <w:tr>
        <w:tblPrEx>
          <w:tblCellMar>
            <w:top w:w="0" w:type="dxa"/>
            <w:left w:w="0" w:type="dxa"/>
            <w:bottom w:w="0" w:type="dxa"/>
            <w:right w:w="0" w:type="dxa"/>
          </w:tblCellMar>
        </w:tblPrEx>
        <w:trPr>
          <w:trHeight w:val="867" w:hRule="atLeast"/>
        </w:trPr>
        <w:tc>
          <w:tcPr>
            <w:tcW w:w="79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年度总金额</w:t>
            </w:r>
          </w:p>
        </w:tc>
        <w:tc>
          <w:tcPr>
            <w:tcW w:w="41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20"/>
                <w:szCs w:val="20"/>
              </w:rPr>
            </w:pPr>
          </w:p>
        </w:tc>
        <w:tc>
          <w:tcPr>
            <w:tcW w:w="55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20"/>
                <w:szCs w:val="20"/>
              </w:rPr>
            </w:pPr>
          </w:p>
        </w:tc>
        <w:tc>
          <w:tcPr>
            <w:tcW w:w="137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 xml:space="preserve">100,000.00 </w:t>
            </w:r>
          </w:p>
        </w:tc>
        <w:tc>
          <w:tcPr>
            <w:tcW w:w="73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20"/>
                <w:szCs w:val="20"/>
              </w:rPr>
            </w:pPr>
          </w:p>
        </w:tc>
        <w:tc>
          <w:tcPr>
            <w:tcW w:w="163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 xml:space="preserve">100,000.00 </w:t>
            </w:r>
          </w:p>
        </w:tc>
        <w:tc>
          <w:tcPr>
            <w:tcW w:w="74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20"/>
                <w:szCs w:val="20"/>
              </w:rPr>
            </w:pPr>
          </w:p>
        </w:tc>
        <w:tc>
          <w:tcPr>
            <w:tcW w:w="137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 xml:space="preserve">100,000.00 </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20"/>
                <w:szCs w:val="20"/>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20"/>
                <w:szCs w:val="20"/>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rPr>
                <w:rFonts w:hint="default" w:ascii="Times New Roman" w:hAnsi="Times New Roman" w:cs="Times New Roman"/>
                <w:color w:val="000000"/>
                <w:sz w:val="20"/>
                <w:szCs w:val="20"/>
              </w:rPr>
            </w:pPr>
          </w:p>
        </w:tc>
      </w:tr>
      <w:tr>
        <w:tblPrEx>
          <w:tblCellMar>
            <w:top w:w="0" w:type="dxa"/>
            <w:left w:w="0" w:type="dxa"/>
            <w:bottom w:w="0" w:type="dxa"/>
            <w:right w:w="0" w:type="dxa"/>
          </w:tblCellMar>
        </w:tblPrEx>
        <w:trPr>
          <w:trHeight w:val="867" w:hRule="atLeast"/>
        </w:trPr>
        <w:tc>
          <w:tcPr>
            <w:tcW w:w="79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其中：财政拨款</w:t>
            </w:r>
          </w:p>
        </w:tc>
        <w:tc>
          <w:tcPr>
            <w:tcW w:w="41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20"/>
                <w:szCs w:val="20"/>
              </w:rPr>
            </w:pPr>
          </w:p>
        </w:tc>
        <w:tc>
          <w:tcPr>
            <w:tcW w:w="55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20"/>
                <w:szCs w:val="20"/>
              </w:rPr>
            </w:pPr>
          </w:p>
        </w:tc>
        <w:tc>
          <w:tcPr>
            <w:tcW w:w="137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 xml:space="preserve">100,000.00 </w:t>
            </w:r>
          </w:p>
        </w:tc>
        <w:tc>
          <w:tcPr>
            <w:tcW w:w="73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20"/>
                <w:szCs w:val="20"/>
              </w:rPr>
            </w:pPr>
          </w:p>
        </w:tc>
        <w:tc>
          <w:tcPr>
            <w:tcW w:w="163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 xml:space="preserve">100,000.00 </w:t>
            </w:r>
          </w:p>
        </w:tc>
        <w:tc>
          <w:tcPr>
            <w:tcW w:w="74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20"/>
                <w:szCs w:val="20"/>
              </w:rPr>
            </w:pPr>
          </w:p>
        </w:tc>
        <w:tc>
          <w:tcPr>
            <w:tcW w:w="137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 xml:space="preserve">100,000.00 </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100</w:t>
            </w: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10.00</w:t>
            </w: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firstLine="200" w:firstLineChars="1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 xml:space="preserve">10 </w:t>
            </w:r>
          </w:p>
        </w:tc>
      </w:tr>
      <w:tr>
        <w:tblPrEx>
          <w:tblCellMar>
            <w:top w:w="0" w:type="dxa"/>
            <w:left w:w="0" w:type="dxa"/>
            <w:bottom w:w="0" w:type="dxa"/>
            <w:right w:w="0" w:type="dxa"/>
          </w:tblCellMar>
        </w:tblPrEx>
        <w:trPr>
          <w:trHeight w:val="867" w:hRule="atLeast"/>
        </w:trPr>
        <w:tc>
          <w:tcPr>
            <w:tcW w:w="79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一般公共预算</w:t>
            </w:r>
          </w:p>
        </w:tc>
        <w:tc>
          <w:tcPr>
            <w:tcW w:w="41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20"/>
                <w:szCs w:val="20"/>
              </w:rPr>
            </w:pPr>
          </w:p>
        </w:tc>
        <w:tc>
          <w:tcPr>
            <w:tcW w:w="55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20"/>
                <w:szCs w:val="20"/>
              </w:rPr>
            </w:pPr>
          </w:p>
        </w:tc>
        <w:tc>
          <w:tcPr>
            <w:tcW w:w="137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 xml:space="preserve">100,000.00 </w:t>
            </w:r>
          </w:p>
        </w:tc>
        <w:tc>
          <w:tcPr>
            <w:tcW w:w="73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20"/>
                <w:szCs w:val="20"/>
              </w:rPr>
            </w:pPr>
          </w:p>
        </w:tc>
        <w:tc>
          <w:tcPr>
            <w:tcW w:w="163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 xml:space="preserve">100,000.00 </w:t>
            </w:r>
          </w:p>
        </w:tc>
        <w:tc>
          <w:tcPr>
            <w:tcW w:w="74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20"/>
                <w:szCs w:val="20"/>
              </w:rPr>
            </w:pPr>
          </w:p>
        </w:tc>
        <w:tc>
          <w:tcPr>
            <w:tcW w:w="137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 xml:space="preserve">100,000.00 </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100</w:t>
            </w: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20"/>
                <w:szCs w:val="20"/>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rPr>
                <w:rFonts w:hint="default" w:ascii="Times New Roman" w:hAnsi="Times New Roman" w:cs="Times New Roman"/>
                <w:color w:val="000000"/>
                <w:sz w:val="20"/>
                <w:szCs w:val="20"/>
              </w:rPr>
            </w:pPr>
          </w:p>
        </w:tc>
      </w:tr>
      <w:tr>
        <w:tblPrEx>
          <w:tblCellMar>
            <w:top w:w="0" w:type="dxa"/>
            <w:left w:w="0" w:type="dxa"/>
            <w:bottom w:w="0" w:type="dxa"/>
            <w:right w:w="0" w:type="dxa"/>
          </w:tblCellMar>
        </w:tblPrEx>
        <w:trPr>
          <w:trHeight w:val="585" w:hRule="atLeast"/>
        </w:trPr>
        <w:tc>
          <w:tcPr>
            <w:tcW w:w="10083"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eastAsia="微软雅黑" w:cs="Times New Roman"/>
                <w:b/>
                <w:color w:val="808080"/>
                <w:sz w:val="20"/>
                <w:szCs w:val="20"/>
              </w:rPr>
            </w:pPr>
            <w:r>
              <w:rPr>
                <w:rFonts w:hint="default" w:ascii="Times New Roman" w:hAnsi="Times New Roman" w:eastAsia="微软雅黑" w:cs="Times New Roman"/>
                <w:b/>
                <w:color w:val="808080"/>
                <w:sz w:val="20"/>
                <w:szCs w:val="20"/>
                <w:lang w:bidi="ar"/>
              </w:rPr>
              <w:t>绩效目标</w:t>
            </w:r>
          </w:p>
        </w:tc>
      </w:tr>
      <w:tr>
        <w:tblPrEx>
          <w:tblCellMar>
            <w:top w:w="0" w:type="dxa"/>
            <w:left w:w="0" w:type="dxa"/>
            <w:bottom w:w="0" w:type="dxa"/>
            <w:right w:w="0" w:type="dxa"/>
          </w:tblCellMar>
        </w:tblPrEx>
        <w:trPr>
          <w:trHeight w:val="474" w:hRule="atLeast"/>
        </w:trPr>
        <w:tc>
          <w:tcPr>
            <w:tcW w:w="313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年初绩效目标</w:t>
            </w:r>
          </w:p>
        </w:tc>
        <w:tc>
          <w:tcPr>
            <w:tcW w:w="449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全年（调整）绩效目标</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全年目标实际完成情况</w:t>
            </w:r>
          </w:p>
        </w:tc>
      </w:tr>
      <w:tr>
        <w:tblPrEx>
          <w:tblCellMar>
            <w:top w:w="0" w:type="dxa"/>
            <w:left w:w="0" w:type="dxa"/>
            <w:bottom w:w="0" w:type="dxa"/>
            <w:right w:w="0" w:type="dxa"/>
          </w:tblCellMar>
        </w:tblPrEx>
        <w:trPr>
          <w:trHeight w:val="2273" w:hRule="atLeast"/>
        </w:trPr>
        <w:tc>
          <w:tcPr>
            <w:tcW w:w="313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keepNext w:val="0"/>
              <w:keepLines w:val="0"/>
              <w:pageBreakBefore w:val="0"/>
              <w:kinsoku/>
              <w:overflowPunct/>
              <w:topLinePunct w:val="0"/>
              <w:autoSpaceDN/>
              <w:bidi w:val="0"/>
              <w:adjustRightInd/>
              <w:spacing w:line="600" w:lineRule="exact"/>
              <w:ind w:left="0"/>
              <w:textAlignment w:val="top"/>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"1.有资金正常缴纳水电费，确保图书馆能正常运行。2.每层楼每天有1个以上工作人员值班维护图书馆免费开放秩序。3.各项阅读活动能正常开展。4.完成免费开放绩效考核指标。</w:t>
            </w:r>
            <w:r>
              <w:rPr>
                <w:rStyle w:val="16"/>
                <w:rFonts w:hint="default" w:ascii="Times New Roman" w:hAnsi="Times New Roman" w:cs="Times New Roman"/>
                <w:lang w:bidi="ar"/>
              </w:rPr>
              <w:t xml:space="preserve">         </w:t>
            </w:r>
            <w:r>
              <w:rPr>
                <w:rStyle w:val="17"/>
                <w:rFonts w:hint="default" w:ascii="Times New Roman" w:hAnsi="Times New Roman" w:cs="Times New Roman"/>
                <w:lang w:bidi="ar"/>
              </w:rPr>
              <w:br w:type="textWrapping"/>
            </w:r>
            <w:r>
              <w:rPr>
                <w:rStyle w:val="16"/>
                <w:rFonts w:hint="default" w:ascii="Times New Roman" w:hAnsi="Times New Roman" w:cs="Times New Roman"/>
                <w:lang w:bidi="ar"/>
              </w:rPr>
              <w:t xml:space="preserve">       </w:t>
            </w:r>
            <w:r>
              <w:rPr>
                <w:rStyle w:val="17"/>
                <w:rFonts w:hint="default" w:ascii="Times New Roman" w:hAnsi="Times New Roman" w:cs="Times New Roman"/>
                <w:lang w:bidi="ar"/>
              </w:rPr>
              <w:br w:type="textWrapping"/>
            </w:r>
            <w:r>
              <w:rPr>
                <w:rStyle w:val="16"/>
                <w:rFonts w:hint="default" w:ascii="Times New Roman" w:hAnsi="Times New Roman" w:cs="Times New Roman"/>
                <w:lang w:bidi="ar"/>
              </w:rPr>
              <w:t xml:space="preserve">       </w:t>
            </w:r>
          </w:p>
        </w:tc>
        <w:tc>
          <w:tcPr>
            <w:tcW w:w="449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keepNext w:val="0"/>
              <w:keepLines w:val="0"/>
              <w:pageBreakBefore w:val="0"/>
              <w:kinsoku/>
              <w:overflowPunct/>
              <w:topLinePunct w:val="0"/>
              <w:autoSpaceDN/>
              <w:bidi w:val="0"/>
              <w:adjustRightInd/>
              <w:spacing w:line="600" w:lineRule="exact"/>
              <w:ind w:left="0"/>
              <w:textAlignment w:val="top"/>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"1.有资金正常缴纳水电费，确保图书馆能正常运行。2.每层楼每天有1个以上工作人员值班维护图书馆免费开放秩序。3.各项阅读活动能正常开展。4.完成免费开放绩效考核指标。</w:t>
            </w:r>
            <w:r>
              <w:rPr>
                <w:rStyle w:val="16"/>
                <w:rFonts w:hint="default" w:ascii="Times New Roman" w:hAnsi="Times New Roman" w:cs="Times New Roman"/>
                <w:lang w:bidi="ar"/>
              </w:rPr>
              <w:t xml:space="preserve">      </w:t>
            </w:r>
            <w:r>
              <w:rPr>
                <w:rStyle w:val="17"/>
                <w:rFonts w:hint="default" w:ascii="Times New Roman" w:hAnsi="Times New Roman" w:cs="Times New Roman"/>
                <w:lang w:bidi="ar"/>
              </w:rPr>
              <w:br w:type="textWrapping"/>
            </w:r>
            <w:r>
              <w:rPr>
                <w:rStyle w:val="16"/>
                <w:rFonts w:hint="default" w:ascii="Times New Roman" w:hAnsi="Times New Roman" w:cs="Times New Roman"/>
                <w:lang w:bidi="ar"/>
              </w:rPr>
              <w:t xml:space="preserve">       </w:t>
            </w:r>
            <w:r>
              <w:rPr>
                <w:rStyle w:val="17"/>
                <w:rFonts w:hint="default" w:ascii="Times New Roman" w:hAnsi="Times New Roman" w:cs="Times New Roman"/>
                <w:lang w:bidi="ar"/>
              </w:rPr>
              <w:br w:type="textWrapping"/>
            </w:r>
            <w:r>
              <w:rPr>
                <w:rStyle w:val="16"/>
                <w:rFonts w:hint="default" w:ascii="Times New Roman" w:hAnsi="Times New Roman" w:cs="Times New Roman"/>
                <w:lang w:bidi="ar"/>
              </w:rPr>
              <w:t xml:space="preserve">       </w:t>
            </w:r>
            <w:r>
              <w:rPr>
                <w:rStyle w:val="17"/>
                <w:rFonts w:hint="default" w:ascii="Times New Roman" w:hAnsi="Times New Roman" w:cs="Times New Roman"/>
                <w:lang w:bidi="ar"/>
              </w:rPr>
              <w:br w:type="textWrapping"/>
            </w:r>
            <w:r>
              <w:rPr>
                <w:rStyle w:val="16"/>
                <w:rFonts w:hint="default" w:ascii="Times New Roman" w:hAnsi="Times New Roman" w:cs="Times New Roman"/>
                <w:lang w:bidi="ar"/>
              </w:rPr>
              <w:t xml:space="preserve">       </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keepNext w:val="0"/>
              <w:keepLines w:val="0"/>
              <w:pageBreakBefore w:val="0"/>
              <w:kinsoku/>
              <w:overflowPunct/>
              <w:topLinePunct w:val="0"/>
              <w:autoSpaceDN/>
              <w:bidi w:val="0"/>
              <w:adjustRightInd/>
              <w:spacing w:line="600" w:lineRule="exact"/>
              <w:ind w:left="0"/>
              <w:textAlignment w:val="top"/>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1.水电费正常缴纳，图书馆正常运行。2.每层楼每天有1个以上工作人员值班维护图书馆免费开放秩序。3.各项阅读活动能正常开展。4.免费开放绩效考核指标达成。</w:t>
            </w:r>
          </w:p>
        </w:tc>
      </w:tr>
      <w:tr>
        <w:tblPrEx>
          <w:tblCellMar>
            <w:top w:w="0" w:type="dxa"/>
            <w:left w:w="0" w:type="dxa"/>
            <w:bottom w:w="0" w:type="dxa"/>
            <w:right w:w="0" w:type="dxa"/>
          </w:tblCellMar>
        </w:tblPrEx>
        <w:trPr>
          <w:trHeight w:val="585" w:hRule="atLeast"/>
        </w:trPr>
        <w:tc>
          <w:tcPr>
            <w:tcW w:w="10083"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eastAsia="微软雅黑" w:cs="Times New Roman"/>
                <w:b/>
                <w:color w:val="808080"/>
                <w:sz w:val="20"/>
                <w:szCs w:val="20"/>
              </w:rPr>
            </w:pPr>
            <w:r>
              <w:rPr>
                <w:rFonts w:hint="default" w:ascii="Times New Roman" w:hAnsi="Times New Roman" w:eastAsia="微软雅黑" w:cs="Times New Roman"/>
                <w:b/>
                <w:color w:val="808080"/>
                <w:sz w:val="20"/>
                <w:szCs w:val="20"/>
                <w:lang w:bidi="ar"/>
              </w:rPr>
              <w:t>绩效指标</w:t>
            </w:r>
          </w:p>
        </w:tc>
      </w:tr>
      <w:tr>
        <w:tblPrEx>
          <w:tblCellMar>
            <w:top w:w="0" w:type="dxa"/>
            <w:left w:w="0" w:type="dxa"/>
            <w:bottom w:w="0" w:type="dxa"/>
            <w:right w:w="0" w:type="dxa"/>
          </w:tblCellMar>
        </w:tblPrEx>
        <w:trPr>
          <w:trHeight w:val="585"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指标名称</w:t>
            </w:r>
          </w:p>
        </w:tc>
        <w:tc>
          <w:tcPr>
            <w:tcW w:w="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计量单位</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指标性质</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指标值</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全年完成值</w:t>
            </w:r>
          </w:p>
        </w:tc>
        <w:tc>
          <w:tcPr>
            <w:tcW w:w="16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偏离度（%）</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得分系数（%）</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指标权重</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指标得分</w:t>
            </w: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是否核心指标</w:t>
            </w: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说明</w:t>
            </w:r>
          </w:p>
        </w:tc>
      </w:tr>
      <w:tr>
        <w:tblPrEx>
          <w:tblCellMar>
            <w:top w:w="0" w:type="dxa"/>
            <w:left w:w="0" w:type="dxa"/>
            <w:bottom w:w="0" w:type="dxa"/>
            <w:right w:w="0" w:type="dxa"/>
          </w:tblCellMar>
        </w:tblPrEx>
        <w:trPr>
          <w:trHeight w:val="867"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服务读者数量</w:t>
            </w:r>
          </w:p>
        </w:tc>
        <w:tc>
          <w:tcPr>
            <w:tcW w:w="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firstLine="200" w:firstLineChars="1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万人次</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firstLine="200" w:firstLineChars="1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40</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40</w:t>
            </w:r>
          </w:p>
        </w:tc>
        <w:tc>
          <w:tcPr>
            <w:tcW w:w="16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0</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100</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20</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20</w:t>
            </w: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20"/>
                <w:szCs w:val="20"/>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20"/>
                <w:szCs w:val="20"/>
              </w:rPr>
            </w:pPr>
          </w:p>
        </w:tc>
      </w:tr>
      <w:tr>
        <w:tblPrEx>
          <w:tblCellMar>
            <w:top w:w="0" w:type="dxa"/>
            <w:left w:w="0" w:type="dxa"/>
            <w:bottom w:w="0" w:type="dxa"/>
            <w:right w:w="0" w:type="dxa"/>
          </w:tblCellMar>
        </w:tblPrEx>
        <w:trPr>
          <w:trHeight w:val="1148"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开展阅读活动场次</w:t>
            </w:r>
          </w:p>
        </w:tc>
        <w:tc>
          <w:tcPr>
            <w:tcW w:w="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firstLine="200" w:firstLineChars="1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场次</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firstLine="200" w:firstLineChars="1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100</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100</w:t>
            </w:r>
          </w:p>
        </w:tc>
        <w:tc>
          <w:tcPr>
            <w:tcW w:w="16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0</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100</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20</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20</w:t>
            </w: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20"/>
                <w:szCs w:val="20"/>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20"/>
                <w:szCs w:val="20"/>
              </w:rPr>
            </w:pPr>
          </w:p>
        </w:tc>
      </w:tr>
      <w:tr>
        <w:tblPrEx>
          <w:tblCellMar>
            <w:top w:w="0" w:type="dxa"/>
            <w:left w:w="0" w:type="dxa"/>
            <w:bottom w:w="0" w:type="dxa"/>
            <w:right w:w="0" w:type="dxa"/>
          </w:tblCellMar>
        </w:tblPrEx>
        <w:trPr>
          <w:trHeight w:val="1148"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免费开放服务效能</w:t>
            </w:r>
          </w:p>
        </w:tc>
        <w:tc>
          <w:tcPr>
            <w:tcW w:w="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20"/>
                <w:szCs w:val="20"/>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firstLine="200" w:firstLineChars="1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定性</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优</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w:t>
            </w:r>
          </w:p>
        </w:tc>
        <w:tc>
          <w:tcPr>
            <w:tcW w:w="16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0</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100</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20</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20</w:t>
            </w: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20"/>
                <w:szCs w:val="20"/>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20"/>
                <w:szCs w:val="20"/>
              </w:rPr>
            </w:pPr>
          </w:p>
        </w:tc>
      </w:tr>
      <w:tr>
        <w:tblPrEx>
          <w:tblCellMar>
            <w:top w:w="0" w:type="dxa"/>
            <w:left w:w="0" w:type="dxa"/>
            <w:bottom w:w="0" w:type="dxa"/>
            <w:right w:w="0" w:type="dxa"/>
          </w:tblCellMar>
        </w:tblPrEx>
        <w:trPr>
          <w:trHeight w:val="1148"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群众文化素养提升</w:t>
            </w:r>
          </w:p>
        </w:tc>
        <w:tc>
          <w:tcPr>
            <w:tcW w:w="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firstLine="200" w:firstLineChars="1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firstLine="200" w:firstLineChars="1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5</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5</w:t>
            </w:r>
          </w:p>
        </w:tc>
        <w:tc>
          <w:tcPr>
            <w:tcW w:w="16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0</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100</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20</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20</w:t>
            </w: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20"/>
                <w:szCs w:val="20"/>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20"/>
                <w:szCs w:val="20"/>
              </w:rPr>
            </w:pPr>
          </w:p>
        </w:tc>
      </w:tr>
      <w:tr>
        <w:tblPrEx>
          <w:tblCellMar>
            <w:top w:w="0" w:type="dxa"/>
            <w:left w:w="0" w:type="dxa"/>
            <w:bottom w:w="0" w:type="dxa"/>
            <w:right w:w="0" w:type="dxa"/>
          </w:tblCellMar>
        </w:tblPrEx>
        <w:trPr>
          <w:trHeight w:val="876"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读者满意度</w:t>
            </w:r>
          </w:p>
        </w:tc>
        <w:tc>
          <w:tcPr>
            <w:tcW w:w="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firstLine="200" w:firstLineChars="1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firstLine="200" w:firstLineChars="1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95</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95</w:t>
            </w:r>
          </w:p>
        </w:tc>
        <w:tc>
          <w:tcPr>
            <w:tcW w:w="16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0</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100</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w:t>
            </w: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20"/>
                <w:szCs w:val="20"/>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20"/>
                <w:szCs w:val="20"/>
              </w:rPr>
            </w:pPr>
          </w:p>
        </w:tc>
      </w:tr>
    </w:tbl>
    <w:p>
      <w:pPr>
        <w:pStyle w:val="6"/>
        <w:keepNext w:val="0"/>
        <w:keepLines w:val="0"/>
        <w:pageBreakBefore w:val="0"/>
        <w:widowControl w:val="0"/>
        <w:kinsoku/>
        <w:overflowPunct/>
        <w:topLinePunct w:val="0"/>
        <w:autoSpaceDN/>
        <w:bidi w:val="0"/>
        <w:adjustRightInd/>
        <w:spacing w:before="0" w:beforeAutospacing="0" w:after="0" w:afterAutospacing="0" w:line="600" w:lineRule="exact"/>
        <w:ind w:left="0" w:firstLine="640" w:firstLineChars="200"/>
        <w:rPr>
          <w:rFonts w:hint="default" w:ascii="Times New Roman" w:hAnsi="Times New Roman" w:eastAsia="方正仿宋_GBK" w:cs="Times New Roman"/>
          <w:color w:val="000000"/>
          <w:sz w:val="32"/>
          <w:szCs w:val="32"/>
          <w:shd w:val="clear" w:color="auto" w:fill="FFFFFF"/>
          <w:lang w:eastAsia="zh-Hans"/>
        </w:rPr>
      </w:pPr>
    </w:p>
    <w:tbl>
      <w:tblPr>
        <w:tblStyle w:val="7"/>
        <w:tblpPr w:leftFromText="180" w:rightFromText="180" w:vertAnchor="text" w:horzAnchor="page" w:tblpX="534" w:tblpY="445"/>
        <w:tblOverlap w:val="never"/>
        <w:tblW w:w="10335" w:type="dxa"/>
        <w:tblInd w:w="0" w:type="dxa"/>
        <w:tblLayout w:type="autofit"/>
        <w:tblCellMar>
          <w:top w:w="0" w:type="dxa"/>
          <w:left w:w="0" w:type="dxa"/>
          <w:bottom w:w="0" w:type="dxa"/>
          <w:right w:w="0" w:type="dxa"/>
        </w:tblCellMar>
      </w:tblPr>
      <w:tblGrid>
        <w:gridCol w:w="835"/>
        <w:gridCol w:w="630"/>
        <w:gridCol w:w="590"/>
        <w:gridCol w:w="1268"/>
        <w:gridCol w:w="885"/>
        <w:gridCol w:w="1509"/>
        <w:gridCol w:w="870"/>
        <w:gridCol w:w="1268"/>
        <w:gridCol w:w="636"/>
        <w:gridCol w:w="714"/>
        <w:gridCol w:w="1130"/>
      </w:tblGrid>
      <w:tr>
        <w:tblPrEx>
          <w:tblCellMar>
            <w:top w:w="0" w:type="dxa"/>
            <w:left w:w="0" w:type="dxa"/>
            <w:bottom w:w="0" w:type="dxa"/>
            <w:right w:w="0" w:type="dxa"/>
          </w:tblCellMar>
        </w:tblPrEx>
        <w:trPr>
          <w:trHeight w:val="540" w:hRule="atLeast"/>
        </w:trPr>
        <w:tc>
          <w:tcPr>
            <w:tcW w:w="10335"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eastAsia="微软雅黑" w:cs="Times New Roman"/>
                <w:b/>
                <w:color w:val="000000"/>
                <w:sz w:val="28"/>
                <w:szCs w:val="28"/>
              </w:rPr>
            </w:pPr>
            <w:r>
              <w:rPr>
                <w:rFonts w:hint="default" w:ascii="Times New Roman" w:hAnsi="Times New Roman" w:eastAsia="微软雅黑" w:cs="Times New Roman"/>
                <w:b/>
                <w:color w:val="000000"/>
                <w:sz w:val="28"/>
                <w:szCs w:val="28"/>
                <w:lang w:bidi="ar"/>
              </w:rPr>
              <w:t>2023年度二级项目绩效自评表</w:t>
            </w:r>
          </w:p>
        </w:tc>
      </w:tr>
      <w:tr>
        <w:tblPrEx>
          <w:tblCellMar>
            <w:top w:w="0" w:type="dxa"/>
            <w:left w:w="0" w:type="dxa"/>
            <w:bottom w:w="0" w:type="dxa"/>
            <w:right w:w="0" w:type="dxa"/>
          </w:tblCellMar>
        </w:tblPrEx>
        <w:trPr>
          <w:trHeight w:val="6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项目名称：</w:t>
            </w:r>
          </w:p>
        </w:tc>
        <w:tc>
          <w:tcPr>
            <w:tcW w:w="12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firstLine="200" w:firstLineChars="1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中央公共文化服务体系建设项目</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项目编码：</w:t>
            </w:r>
          </w:p>
        </w:tc>
        <w:tc>
          <w:tcPr>
            <w:tcW w:w="23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firstLine="200" w:firstLineChars="1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50023023T000002866359</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自评总分：</w:t>
            </w:r>
          </w:p>
        </w:tc>
        <w:tc>
          <w:tcPr>
            <w:tcW w:w="19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firstLine="200" w:firstLineChars="1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100.00</w:t>
            </w: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rPr>
                <w:rFonts w:hint="default" w:ascii="Times New Roman" w:hAnsi="Times New Roman" w:cs="Times New Roman"/>
                <w:b/>
                <w:color w:val="000000"/>
                <w:sz w:val="20"/>
                <w:szCs w:val="20"/>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20"/>
                <w:szCs w:val="20"/>
              </w:rPr>
            </w:pPr>
          </w:p>
        </w:tc>
      </w:tr>
      <w:tr>
        <w:tblPrEx>
          <w:tblCellMar>
            <w:top w:w="0" w:type="dxa"/>
            <w:left w:w="0" w:type="dxa"/>
            <w:bottom w:w="0" w:type="dxa"/>
            <w:right w:w="0" w:type="dxa"/>
          </w:tblCellMar>
        </w:tblPrEx>
        <w:trPr>
          <w:trHeight w:val="62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项目主管单位：</w:t>
            </w:r>
          </w:p>
        </w:tc>
        <w:tc>
          <w:tcPr>
            <w:tcW w:w="12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firstLine="200" w:firstLineChars="1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203-丰都县文化和旅游发展委员会</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财政归口处室：</w:t>
            </w:r>
          </w:p>
        </w:tc>
        <w:tc>
          <w:tcPr>
            <w:tcW w:w="23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firstLine="200" w:firstLineChars="1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002-教科文科</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单位联系人：</w:t>
            </w:r>
          </w:p>
        </w:tc>
        <w:tc>
          <w:tcPr>
            <w:tcW w:w="19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firstLine="200" w:firstLineChars="1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秦娟</w:t>
            </w: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联系电话：</w:t>
            </w: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17783762022</w:t>
            </w:r>
          </w:p>
        </w:tc>
      </w:tr>
      <w:tr>
        <w:tblPrEx>
          <w:tblCellMar>
            <w:top w:w="0" w:type="dxa"/>
            <w:left w:w="0" w:type="dxa"/>
            <w:bottom w:w="0" w:type="dxa"/>
            <w:right w:w="0" w:type="dxa"/>
          </w:tblCellMar>
        </w:tblPrEx>
        <w:trPr>
          <w:trHeight w:val="420" w:hRule="atLeast"/>
        </w:trPr>
        <w:tc>
          <w:tcPr>
            <w:tcW w:w="10335"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eastAsia="微软雅黑" w:cs="Times New Roman"/>
                <w:b/>
                <w:color w:val="808080"/>
                <w:sz w:val="20"/>
                <w:szCs w:val="20"/>
              </w:rPr>
            </w:pPr>
            <w:r>
              <w:rPr>
                <w:rFonts w:hint="default" w:ascii="Times New Roman" w:hAnsi="Times New Roman" w:eastAsia="微软雅黑" w:cs="Times New Roman"/>
                <w:b/>
                <w:color w:val="808080"/>
                <w:sz w:val="20"/>
                <w:szCs w:val="20"/>
                <w:lang w:bidi="ar"/>
              </w:rPr>
              <w:t>资金情况</w:t>
            </w:r>
          </w:p>
        </w:tc>
      </w:tr>
      <w:tr>
        <w:tblPrEx>
          <w:tblCellMar>
            <w:top w:w="0" w:type="dxa"/>
            <w:left w:w="0" w:type="dxa"/>
            <w:bottom w:w="0" w:type="dxa"/>
            <w:right w:w="0" w:type="dxa"/>
          </w:tblCellMar>
        </w:tblPrEx>
        <w:trPr>
          <w:trHeight w:val="460" w:hRule="atLeast"/>
        </w:trPr>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color w:val="000000"/>
                <w:sz w:val="20"/>
                <w:szCs w:val="20"/>
              </w:rPr>
            </w:pPr>
          </w:p>
        </w:tc>
        <w:tc>
          <w:tcPr>
            <w:tcW w:w="18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年初预算数</w:t>
            </w:r>
          </w:p>
        </w:tc>
        <w:tc>
          <w:tcPr>
            <w:tcW w:w="23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全年（调整）预算数</w:t>
            </w:r>
          </w:p>
        </w:tc>
        <w:tc>
          <w:tcPr>
            <w:tcW w:w="21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全年执行数</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执行率</w:t>
            </w: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执行率权重</w:t>
            </w: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执行率得分</w:t>
            </w:r>
          </w:p>
        </w:tc>
      </w:tr>
      <w:tr>
        <w:tblPrEx>
          <w:tblCellMar>
            <w:top w:w="0" w:type="dxa"/>
            <w:left w:w="0" w:type="dxa"/>
            <w:bottom w:w="0" w:type="dxa"/>
            <w:right w:w="0" w:type="dxa"/>
          </w:tblCellMar>
        </w:tblPrEx>
        <w:trPr>
          <w:trHeight w:val="500" w:hRule="atLeast"/>
        </w:trPr>
        <w:tc>
          <w:tcPr>
            <w:tcW w:w="84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年度总金额</w:t>
            </w:r>
          </w:p>
        </w:tc>
        <w:tc>
          <w:tcPr>
            <w:tcW w:w="6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20"/>
                <w:szCs w:val="20"/>
              </w:rPr>
            </w:pPr>
          </w:p>
        </w:tc>
        <w:tc>
          <w:tcPr>
            <w:tcW w:w="59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20"/>
                <w:szCs w:val="20"/>
              </w:rPr>
            </w:pPr>
          </w:p>
        </w:tc>
        <w:tc>
          <w:tcPr>
            <w:tcW w:w="127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 xml:space="preserve">911,418.32 </w:t>
            </w:r>
          </w:p>
        </w:tc>
        <w:tc>
          <w:tcPr>
            <w:tcW w:w="86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20"/>
                <w:szCs w:val="20"/>
              </w:rPr>
            </w:pPr>
          </w:p>
        </w:tc>
        <w:tc>
          <w:tcPr>
            <w:tcW w:w="150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 xml:space="preserve">911,418.32 </w:t>
            </w:r>
          </w:p>
        </w:tc>
        <w:tc>
          <w:tcPr>
            <w:tcW w:w="87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20"/>
                <w:szCs w:val="20"/>
              </w:rPr>
            </w:pPr>
          </w:p>
        </w:tc>
        <w:tc>
          <w:tcPr>
            <w:tcW w:w="127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 xml:space="preserve">911,418.32 </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20"/>
                <w:szCs w:val="20"/>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20"/>
                <w:szCs w:val="20"/>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rPr>
                <w:rFonts w:hint="default" w:ascii="Times New Roman" w:hAnsi="Times New Roman" w:cs="Times New Roman"/>
                <w:color w:val="000000"/>
                <w:sz w:val="20"/>
                <w:szCs w:val="20"/>
              </w:rPr>
            </w:pPr>
          </w:p>
        </w:tc>
      </w:tr>
      <w:tr>
        <w:tblPrEx>
          <w:tblCellMar>
            <w:top w:w="0" w:type="dxa"/>
            <w:left w:w="0" w:type="dxa"/>
            <w:bottom w:w="0" w:type="dxa"/>
            <w:right w:w="0" w:type="dxa"/>
          </w:tblCellMar>
        </w:tblPrEx>
        <w:trPr>
          <w:trHeight w:val="500" w:hRule="atLeast"/>
        </w:trPr>
        <w:tc>
          <w:tcPr>
            <w:tcW w:w="84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其中：财政拨款</w:t>
            </w:r>
          </w:p>
        </w:tc>
        <w:tc>
          <w:tcPr>
            <w:tcW w:w="6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20"/>
                <w:szCs w:val="20"/>
              </w:rPr>
            </w:pPr>
          </w:p>
        </w:tc>
        <w:tc>
          <w:tcPr>
            <w:tcW w:w="59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20"/>
                <w:szCs w:val="20"/>
              </w:rPr>
            </w:pPr>
          </w:p>
        </w:tc>
        <w:tc>
          <w:tcPr>
            <w:tcW w:w="127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 xml:space="preserve">911,418.32 </w:t>
            </w:r>
          </w:p>
        </w:tc>
        <w:tc>
          <w:tcPr>
            <w:tcW w:w="86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20"/>
                <w:szCs w:val="20"/>
              </w:rPr>
            </w:pPr>
          </w:p>
        </w:tc>
        <w:tc>
          <w:tcPr>
            <w:tcW w:w="150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 xml:space="preserve">911,418.32 </w:t>
            </w:r>
          </w:p>
        </w:tc>
        <w:tc>
          <w:tcPr>
            <w:tcW w:w="87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20"/>
                <w:szCs w:val="20"/>
              </w:rPr>
            </w:pPr>
          </w:p>
        </w:tc>
        <w:tc>
          <w:tcPr>
            <w:tcW w:w="127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 xml:space="preserve">911,418.32 </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100</w:t>
            </w: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10.00</w:t>
            </w: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 xml:space="preserve">10 </w:t>
            </w:r>
          </w:p>
        </w:tc>
      </w:tr>
      <w:tr>
        <w:tblPrEx>
          <w:tblCellMar>
            <w:top w:w="0" w:type="dxa"/>
            <w:left w:w="0" w:type="dxa"/>
            <w:bottom w:w="0" w:type="dxa"/>
            <w:right w:w="0" w:type="dxa"/>
          </w:tblCellMar>
        </w:tblPrEx>
        <w:trPr>
          <w:trHeight w:val="500" w:hRule="atLeast"/>
        </w:trPr>
        <w:tc>
          <w:tcPr>
            <w:tcW w:w="84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一般公共预算</w:t>
            </w:r>
          </w:p>
        </w:tc>
        <w:tc>
          <w:tcPr>
            <w:tcW w:w="6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20"/>
                <w:szCs w:val="20"/>
              </w:rPr>
            </w:pPr>
          </w:p>
        </w:tc>
        <w:tc>
          <w:tcPr>
            <w:tcW w:w="59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20"/>
                <w:szCs w:val="20"/>
              </w:rPr>
            </w:pPr>
          </w:p>
        </w:tc>
        <w:tc>
          <w:tcPr>
            <w:tcW w:w="127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 xml:space="preserve">911,418.32 </w:t>
            </w:r>
          </w:p>
        </w:tc>
        <w:tc>
          <w:tcPr>
            <w:tcW w:w="86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20"/>
                <w:szCs w:val="20"/>
              </w:rPr>
            </w:pPr>
          </w:p>
        </w:tc>
        <w:tc>
          <w:tcPr>
            <w:tcW w:w="150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 xml:space="preserve">911,418.32 </w:t>
            </w:r>
          </w:p>
        </w:tc>
        <w:tc>
          <w:tcPr>
            <w:tcW w:w="87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20"/>
                <w:szCs w:val="20"/>
              </w:rPr>
            </w:pPr>
          </w:p>
        </w:tc>
        <w:tc>
          <w:tcPr>
            <w:tcW w:w="127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 xml:space="preserve">911,418.32 </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100</w:t>
            </w: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20"/>
                <w:szCs w:val="20"/>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rPr>
                <w:rFonts w:hint="default" w:ascii="Times New Roman" w:hAnsi="Times New Roman" w:cs="Times New Roman"/>
                <w:color w:val="000000"/>
                <w:sz w:val="20"/>
                <w:szCs w:val="20"/>
              </w:rPr>
            </w:pPr>
          </w:p>
        </w:tc>
      </w:tr>
      <w:tr>
        <w:tblPrEx>
          <w:tblCellMar>
            <w:top w:w="0" w:type="dxa"/>
            <w:left w:w="0" w:type="dxa"/>
            <w:bottom w:w="0" w:type="dxa"/>
            <w:right w:w="0" w:type="dxa"/>
          </w:tblCellMar>
        </w:tblPrEx>
        <w:trPr>
          <w:trHeight w:val="600" w:hRule="atLeast"/>
        </w:trPr>
        <w:tc>
          <w:tcPr>
            <w:tcW w:w="10335"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eastAsia="微软雅黑" w:cs="Times New Roman"/>
                <w:b/>
                <w:color w:val="808080"/>
                <w:sz w:val="20"/>
                <w:szCs w:val="20"/>
              </w:rPr>
            </w:pPr>
            <w:r>
              <w:rPr>
                <w:rFonts w:hint="default" w:ascii="Times New Roman" w:hAnsi="Times New Roman" w:eastAsia="微软雅黑" w:cs="Times New Roman"/>
                <w:b/>
                <w:color w:val="808080"/>
                <w:sz w:val="20"/>
                <w:szCs w:val="20"/>
                <w:lang w:bidi="ar"/>
              </w:rPr>
              <w:t>绩效目标</w:t>
            </w:r>
          </w:p>
        </w:tc>
      </w:tr>
      <w:tr>
        <w:tblPrEx>
          <w:tblCellMar>
            <w:top w:w="0" w:type="dxa"/>
            <w:left w:w="0" w:type="dxa"/>
            <w:bottom w:w="0" w:type="dxa"/>
            <w:right w:w="0" w:type="dxa"/>
          </w:tblCellMar>
        </w:tblPrEx>
        <w:trPr>
          <w:trHeight w:val="500" w:hRule="atLeast"/>
        </w:trPr>
        <w:tc>
          <w:tcPr>
            <w:tcW w:w="333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年初绩效目标</w:t>
            </w:r>
          </w:p>
        </w:tc>
        <w:tc>
          <w:tcPr>
            <w:tcW w:w="451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全年（调整）绩效目标</w:t>
            </w:r>
          </w:p>
        </w:tc>
        <w:tc>
          <w:tcPr>
            <w:tcW w:w="248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全年目标实际完成情况</w:t>
            </w:r>
          </w:p>
        </w:tc>
      </w:tr>
      <w:tr>
        <w:tblPrEx>
          <w:tblCellMar>
            <w:top w:w="0" w:type="dxa"/>
            <w:left w:w="0" w:type="dxa"/>
            <w:bottom w:w="0" w:type="dxa"/>
            <w:right w:w="0" w:type="dxa"/>
          </w:tblCellMar>
        </w:tblPrEx>
        <w:trPr>
          <w:trHeight w:val="820" w:hRule="atLeast"/>
        </w:trPr>
        <w:tc>
          <w:tcPr>
            <w:tcW w:w="333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keepNext w:val="0"/>
              <w:keepLines w:val="0"/>
              <w:pageBreakBefore w:val="0"/>
              <w:kinsoku/>
              <w:overflowPunct/>
              <w:topLinePunct w:val="0"/>
              <w:autoSpaceDN/>
              <w:bidi w:val="0"/>
              <w:adjustRightInd/>
              <w:spacing w:line="600" w:lineRule="exact"/>
              <w:ind w:left="0"/>
              <w:textAlignment w:val="top"/>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维护图书馆数字设施设备，确保基本数字服务正常免费开放</w:t>
            </w:r>
          </w:p>
        </w:tc>
        <w:tc>
          <w:tcPr>
            <w:tcW w:w="451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keepNext w:val="0"/>
              <w:keepLines w:val="0"/>
              <w:pageBreakBefore w:val="0"/>
              <w:kinsoku/>
              <w:overflowPunct/>
              <w:topLinePunct w:val="0"/>
              <w:autoSpaceDN/>
              <w:bidi w:val="0"/>
              <w:adjustRightInd/>
              <w:spacing w:line="600" w:lineRule="exact"/>
              <w:ind w:left="0"/>
              <w:textAlignment w:val="top"/>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维护图书馆数字设施设备，确保基本数字服务正常免费开放</w:t>
            </w:r>
          </w:p>
        </w:tc>
        <w:tc>
          <w:tcPr>
            <w:tcW w:w="248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keepNext w:val="0"/>
              <w:keepLines w:val="0"/>
              <w:pageBreakBefore w:val="0"/>
              <w:kinsoku/>
              <w:overflowPunct/>
              <w:topLinePunct w:val="0"/>
              <w:autoSpaceDN/>
              <w:bidi w:val="0"/>
              <w:adjustRightInd/>
              <w:spacing w:line="600" w:lineRule="exact"/>
              <w:ind w:left="0"/>
              <w:textAlignment w:val="top"/>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 xml:space="preserve"> </w:t>
            </w:r>
            <w:r>
              <w:rPr>
                <w:rStyle w:val="18"/>
                <w:rFonts w:hint="default" w:ascii="Times New Roman" w:hAnsi="Times New Roman" w:cs="Times New Roman"/>
                <w:lang w:bidi="ar"/>
              </w:rPr>
              <w:t>图书馆数字设施设备正常运行，基本数字服务正常免费开放</w:t>
            </w:r>
          </w:p>
        </w:tc>
      </w:tr>
      <w:tr>
        <w:tblPrEx>
          <w:tblCellMar>
            <w:top w:w="0" w:type="dxa"/>
            <w:left w:w="0" w:type="dxa"/>
            <w:bottom w:w="0" w:type="dxa"/>
            <w:right w:w="0" w:type="dxa"/>
          </w:tblCellMar>
        </w:tblPrEx>
        <w:trPr>
          <w:trHeight w:val="440" w:hRule="atLeast"/>
        </w:trPr>
        <w:tc>
          <w:tcPr>
            <w:tcW w:w="10335"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eastAsia="微软雅黑" w:cs="Times New Roman"/>
                <w:b/>
                <w:color w:val="808080"/>
                <w:sz w:val="20"/>
                <w:szCs w:val="20"/>
              </w:rPr>
            </w:pPr>
            <w:r>
              <w:rPr>
                <w:rFonts w:hint="default" w:ascii="Times New Roman" w:hAnsi="Times New Roman" w:eastAsia="微软雅黑" w:cs="Times New Roman"/>
                <w:b/>
                <w:color w:val="808080"/>
                <w:sz w:val="20"/>
                <w:szCs w:val="20"/>
                <w:lang w:bidi="ar"/>
              </w:rPr>
              <w:t>绩效指标</w:t>
            </w:r>
          </w:p>
        </w:tc>
      </w:tr>
      <w:tr>
        <w:tblPrEx>
          <w:tblCellMar>
            <w:top w:w="0" w:type="dxa"/>
            <w:left w:w="0" w:type="dxa"/>
            <w:bottom w:w="0" w:type="dxa"/>
            <w:right w:w="0" w:type="dxa"/>
          </w:tblCellMar>
        </w:tblPrEx>
        <w:trPr>
          <w:trHeight w:val="58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指标名称</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计量单位</w:t>
            </w:r>
          </w:p>
        </w:tc>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指标性质</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指标值</w:t>
            </w:r>
          </w:p>
        </w:tc>
        <w:tc>
          <w:tcPr>
            <w:tcW w:w="8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全年完成值</w:t>
            </w:r>
          </w:p>
        </w:tc>
        <w:tc>
          <w:tcPr>
            <w:tcW w:w="1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偏离度（%）</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得分系数（%）</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指标权重</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指标得分</w:t>
            </w: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是否核心指标</w:t>
            </w: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说明</w:t>
            </w:r>
          </w:p>
        </w:tc>
      </w:tr>
      <w:tr>
        <w:tblPrEx>
          <w:tblCellMar>
            <w:top w:w="0" w:type="dxa"/>
            <w:left w:w="0" w:type="dxa"/>
            <w:bottom w:w="0" w:type="dxa"/>
            <w:right w:w="0" w:type="dxa"/>
          </w:tblCellMar>
        </w:tblPrEx>
        <w:trPr>
          <w:trHeight w:val="56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firstLine="200" w:firstLineChars="1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维护数字服务设备数量</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firstLine="200" w:firstLineChars="1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个（台、套、件、辆）</w:t>
            </w:r>
          </w:p>
        </w:tc>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firstLine="200" w:firstLineChars="1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5</w:t>
            </w:r>
          </w:p>
        </w:tc>
        <w:tc>
          <w:tcPr>
            <w:tcW w:w="8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5</w:t>
            </w:r>
          </w:p>
        </w:tc>
        <w:tc>
          <w:tcPr>
            <w:tcW w:w="1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0</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100</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20</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20</w:t>
            </w: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20"/>
                <w:szCs w:val="20"/>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20"/>
                <w:szCs w:val="20"/>
              </w:rPr>
            </w:pPr>
          </w:p>
        </w:tc>
      </w:tr>
      <w:tr>
        <w:tblPrEx>
          <w:tblCellMar>
            <w:top w:w="0" w:type="dxa"/>
            <w:left w:w="0" w:type="dxa"/>
            <w:bottom w:w="0" w:type="dxa"/>
            <w:right w:w="0" w:type="dxa"/>
          </w:tblCellMar>
        </w:tblPrEx>
        <w:trPr>
          <w:trHeight w:val="56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firstLine="200" w:firstLineChars="1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正常开放天数</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firstLine="200" w:firstLineChars="1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天</w:t>
            </w:r>
          </w:p>
        </w:tc>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firstLine="200" w:firstLineChars="1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360</w:t>
            </w:r>
          </w:p>
        </w:tc>
        <w:tc>
          <w:tcPr>
            <w:tcW w:w="8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360</w:t>
            </w:r>
          </w:p>
        </w:tc>
        <w:tc>
          <w:tcPr>
            <w:tcW w:w="1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0</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100</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20</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20</w:t>
            </w: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20"/>
                <w:szCs w:val="20"/>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20"/>
                <w:szCs w:val="20"/>
              </w:rPr>
            </w:pPr>
          </w:p>
        </w:tc>
      </w:tr>
      <w:tr>
        <w:tblPrEx>
          <w:tblCellMar>
            <w:top w:w="0" w:type="dxa"/>
            <w:left w:w="0" w:type="dxa"/>
            <w:bottom w:w="0" w:type="dxa"/>
            <w:right w:w="0" w:type="dxa"/>
          </w:tblCellMar>
        </w:tblPrEx>
        <w:trPr>
          <w:trHeight w:val="56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firstLine="200" w:firstLineChars="1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数字服务效能</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20"/>
                <w:szCs w:val="20"/>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firstLine="200" w:firstLineChars="1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定性</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提升</w:t>
            </w:r>
          </w:p>
        </w:tc>
        <w:tc>
          <w:tcPr>
            <w:tcW w:w="8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w:t>
            </w:r>
          </w:p>
        </w:tc>
        <w:tc>
          <w:tcPr>
            <w:tcW w:w="1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0</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100</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20</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20</w:t>
            </w: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20"/>
                <w:szCs w:val="20"/>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20"/>
                <w:szCs w:val="20"/>
              </w:rPr>
            </w:pPr>
          </w:p>
        </w:tc>
      </w:tr>
      <w:tr>
        <w:tblPrEx>
          <w:tblCellMar>
            <w:top w:w="0" w:type="dxa"/>
            <w:left w:w="0" w:type="dxa"/>
            <w:bottom w:w="0" w:type="dxa"/>
            <w:right w:w="0" w:type="dxa"/>
          </w:tblCellMar>
        </w:tblPrEx>
        <w:trPr>
          <w:trHeight w:val="56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firstLine="200" w:firstLineChars="1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全民幸福感、获得感</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20"/>
                <w:szCs w:val="20"/>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firstLine="200" w:firstLineChars="1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定性</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增强</w:t>
            </w:r>
          </w:p>
        </w:tc>
        <w:tc>
          <w:tcPr>
            <w:tcW w:w="8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w:t>
            </w:r>
          </w:p>
        </w:tc>
        <w:tc>
          <w:tcPr>
            <w:tcW w:w="1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0</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100</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20</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20</w:t>
            </w: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20"/>
                <w:szCs w:val="20"/>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20"/>
                <w:szCs w:val="20"/>
              </w:rPr>
            </w:pPr>
          </w:p>
        </w:tc>
      </w:tr>
      <w:tr>
        <w:tblPrEx>
          <w:tblCellMar>
            <w:top w:w="0" w:type="dxa"/>
            <w:left w:w="0" w:type="dxa"/>
            <w:bottom w:w="0" w:type="dxa"/>
            <w:right w:w="0" w:type="dxa"/>
          </w:tblCellMar>
        </w:tblPrEx>
        <w:trPr>
          <w:trHeight w:val="56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firstLine="200" w:firstLineChars="1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读者满意度</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firstLine="200" w:firstLineChars="1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w:t>
            </w:r>
          </w:p>
        </w:tc>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firstLine="200" w:firstLineChars="1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90</w:t>
            </w:r>
          </w:p>
        </w:tc>
        <w:tc>
          <w:tcPr>
            <w:tcW w:w="8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90</w:t>
            </w:r>
          </w:p>
        </w:tc>
        <w:tc>
          <w:tcPr>
            <w:tcW w:w="1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0</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100</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w:t>
            </w: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20"/>
                <w:szCs w:val="20"/>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20"/>
                <w:szCs w:val="20"/>
              </w:rPr>
            </w:pPr>
          </w:p>
        </w:tc>
      </w:tr>
    </w:tbl>
    <w:p>
      <w:pPr>
        <w:pStyle w:val="6"/>
        <w:keepNext w:val="0"/>
        <w:keepLines w:val="0"/>
        <w:pageBreakBefore w:val="0"/>
        <w:widowControl w:val="0"/>
        <w:kinsoku/>
        <w:overflowPunct/>
        <w:topLinePunct w:val="0"/>
        <w:autoSpaceDN/>
        <w:bidi w:val="0"/>
        <w:adjustRightInd/>
        <w:spacing w:before="0" w:beforeAutospacing="0" w:after="0" w:afterAutospacing="0" w:line="600" w:lineRule="exact"/>
        <w:ind w:left="0" w:firstLine="640" w:firstLineChars="200"/>
        <w:rPr>
          <w:rFonts w:hint="default" w:ascii="Times New Roman" w:hAnsi="Times New Roman" w:eastAsia="方正仿宋_GBK" w:cs="Times New Roman"/>
          <w:color w:val="000000"/>
          <w:sz w:val="32"/>
          <w:szCs w:val="32"/>
          <w:shd w:val="clear" w:color="auto" w:fill="FFFFFF"/>
          <w:lang w:eastAsia="zh-Hans"/>
        </w:rPr>
      </w:pPr>
    </w:p>
    <w:tbl>
      <w:tblPr>
        <w:tblStyle w:val="7"/>
        <w:tblW w:w="10240" w:type="dxa"/>
        <w:tblInd w:w="-732" w:type="dxa"/>
        <w:tblLayout w:type="fixed"/>
        <w:tblCellMar>
          <w:top w:w="0" w:type="dxa"/>
          <w:left w:w="0" w:type="dxa"/>
          <w:bottom w:w="0" w:type="dxa"/>
          <w:right w:w="0" w:type="dxa"/>
        </w:tblCellMar>
      </w:tblPr>
      <w:tblGrid>
        <w:gridCol w:w="1495"/>
        <w:gridCol w:w="590"/>
        <w:gridCol w:w="729"/>
        <w:gridCol w:w="621"/>
        <w:gridCol w:w="952"/>
        <w:gridCol w:w="1550"/>
        <w:gridCol w:w="709"/>
        <w:gridCol w:w="1208"/>
        <w:gridCol w:w="590"/>
        <w:gridCol w:w="594"/>
        <w:gridCol w:w="1202"/>
      </w:tblGrid>
      <w:tr>
        <w:tblPrEx>
          <w:tblCellMar>
            <w:top w:w="0" w:type="dxa"/>
            <w:left w:w="0" w:type="dxa"/>
            <w:bottom w:w="0" w:type="dxa"/>
            <w:right w:w="0" w:type="dxa"/>
          </w:tblCellMar>
        </w:tblPrEx>
        <w:trPr>
          <w:trHeight w:val="702" w:hRule="atLeast"/>
        </w:trPr>
        <w:tc>
          <w:tcPr>
            <w:tcW w:w="1024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eastAsia="微软雅黑" w:cs="Times New Roman"/>
                <w:b/>
                <w:color w:val="000000"/>
              </w:rPr>
            </w:pPr>
            <w:r>
              <w:rPr>
                <w:rFonts w:hint="default" w:ascii="Times New Roman" w:hAnsi="Times New Roman" w:eastAsia="微软雅黑" w:cs="Times New Roman"/>
                <w:b/>
                <w:color w:val="000000"/>
                <w:lang w:bidi="ar"/>
              </w:rPr>
              <w:t>2023年度二级项目绩效自评表</w:t>
            </w:r>
          </w:p>
        </w:tc>
      </w:tr>
      <w:tr>
        <w:tblPrEx>
          <w:tblCellMar>
            <w:top w:w="0" w:type="dxa"/>
            <w:left w:w="0" w:type="dxa"/>
            <w:bottom w:w="0" w:type="dxa"/>
            <w:right w:w="0" w:type="dxa"/>
          </w:tblCellMar>
        </w:tblPrEx>
        <w:trPr>
          <w:trHeight w:val="1353" w:hRule="atLeast"/>
        </w:trPr>
        <w:tc>
          <w:tcPr>
            <w:tcW w:w="1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项目名称：</w:t>
            </w:r>
          </w:p>
        </w:tc>
        <w:tc>
          <w:tcPr>
            <w:tcW w:w="13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firstLine="200" w:firstLineChars="1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图书馆漏水整治及阅览室维修项目</w:t>
            </w: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项目编码：</w:t>
            </w:r>
          </w:p>
        </w:tc>
        <w:tc>
          <w:tcPr>
            <w:tcW w:w="25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firstLine="200" w:firstLineChars="1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50023023T000002798553</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自评总分：</w:t>
            </w:r>
          </w:p>
        </w:tc>
        <w:tc>
          <w:tcPr>
            <w:tcW w:w="17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firstLine="200" w:firstLineChars="1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100.00</w:t>
            </w:r>
          </w:p>
        </w:tc>
        <w:tc>
          <w:tcPr>
            <w:tcW w:w="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b/>
                <w:color w:val="000000"/>
                <w:sz w:val="20"/>
                <w:szCs w:val="20"/>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color w:val="000000"/>
                <w:sz w:val="20"/>
                <w:szCs w:val="20"/>
              </w:rPr>
            </w:pPr>
          </w:p>
        </w:tc>
      </w:tr>
      <w:tr>
        <w:tblPrEx>
          <w:tblCellMar>
            <w:top w:w="0" w:type="dxa"/>
            <w:left w:w="0" w:type="dxa"/>
            <w:bottom w:w="0" w:type="dxa"/>
            <w:right w:w="0" w:type="dxa"/>
          </w:tblCellMar>
        </w:tblPrEx>
        <w:trPr>
          <w:trHeight w:val="994" w:hRule="atLeast"/>
        </w:trPr>
        <w:tc>
          <w:tcPr>
            <w:tcW w:w="1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项目主管单位：</w:t>
            </w:r>
          </w:p>
        </w:tc>
        <w:tc>
          <w:tcPr>
            <w:tcW w:w="13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firstLine="200" w:firstLineChars="1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203-丰都县文化和旅游发展委员会</w:t>
            </w: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财政归口处室：</w:t>
            </w:r>
          </w:p>
        </w:tc>
        <w:tc>
          <w:tcPr>
            <w:tcW w:w="25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firstLine="200" w:firstLineChars="1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002-教科文科</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单位联系人：</w:t>
            </w:r>
          </w:p>
        </w:tc>
        <w:tc>
          <w:tcPr>
            <w:tcW w:w="17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firstLine="200" w:firstLineChars="1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秦娟</w:t>
            </w:r>
          </w:p>
        </w:tc>
        <w:tc>
          <w:tcPr>
            <w:tcW w:w="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联系电话：</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17783762022</w:t>
            </w:r>
          </w:p>
        </w:tc>
      </w:tr>
      <w:tr>
        <w:tblPrEx>
          <w:tblCellMar>
            <w:top w:w="0" w:type="dxa"/>
            <w:left w:w="0" w:type="dxa"/>
            <w:bottom w:w="0" w:type="dxa"/>
            <w:right w:w="0" w:type="dxa"/>
          </w:tblCellMar>
        </w:tblPrEx>
        <w:trPr>
          <w:trHeight w:val="702" w:hRule="atLeast"/>
        </w:trPr>
        <w:tc>
          <w:tcPr>
            <w:tcW w:w="1024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eastAsia="微软雅黑" w:cs="Times New Roman"/>
                <w:b/>
                <w:color w:val="808080"/>
                <w:sz w:val="20"/>
                <w:szCs w:val="20"/>
              </w:rPr>
            </w:pPr>
            <w:r>
              <w:rPr>
                <w:rFonts w:hint="default" w:ascii="Times New Roman" w:hAnsi="Times New Roman" w:eastAsia="微软雅黑" w:cs="Times New Roman"/>
                <w:b/>
                <w:color w:val="808080"/>
                <w:sz w:val="20"/>
                <w:szCs w:val="20"/>
                <w:lang w:bidi="ar"/>
              </w:rPr>
              <w:t>资金情况</w:t>
            </w:r>
          </w:p>
        </w:tc>
      </w:tr>
      <w:tr>
        <w:tblPrEx>
          <w:tblCellMar>
            <w:top w:w="0" w:type="dxa"/>
            <w:left w:w="0" w:type="dxa"/>
            <w:bottom w:w="0" w:type="dxa"/>
            <w:right w:w="0" w:type="dxa"/>
          </w:tblCellMar>
        </w:tblPrEx>
        <w:trPr>
          <w:trHeight w:val="1027" w:hRule="atLeast"/>
        </w:trPr>
        <w:tc>
          <w:tcPr>
            <w:tcW w:w="20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color w:val="000000"/>
                <w:sz w:val="20"/>
                <w:szCs w:val="20"/>
              </w:rPr>
            </w:pP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年初预算数</w:t>
            </w:r>
          </w:p>
        </w:tc>
        <w:tc>
          <w:tcPr>
            <w:tcW w:w="25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全年（调整）预算数</w:t>
            </w:r>
          </w:p>
        </w:tc>
        <w:tc>
          <w:tcPr>
            <w:tcW w:w="19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全年执行数</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执行率</w:t>
            </w:r>
          </w:p>
        </w:tc>
        <w:tc>
          <w:tcPr>
            <w:tcW w:w="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执行率权重</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执行率得分</w:t>
            </w:r>
          </w:p>
        </w:tc>
      </w:tr>
      <w:tr>
        <w:tblPrEx>
          <w:tblCellMar>
            <w:top w:w="0" w:type="dxa"/>
            <w:left w:w="0" w:type="dxa"/>
            <w:bottom w:w="0" w:type="dxa"/>
            <w:right w:w="0" w:type="dxa"/>
          </w:tblCellMar>
        </w:tblPrEx>
        <w:trPr>
          <w:trHeight w:val="573" w:hRule="atLeast"/>
        </w:trPr>
        <w:tc>
          <w:tcPr>
            <w:tcW w:w="149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年度总金额</w:t>
            </w:r>
          </w:p>
        </w:tc>
        <w:tc>
          <w:tcPr>
            <w:tcW w:w="59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20"/>
                <w:szCs w:val="20"/>
              </w:rPr>
            </w:pPr>
          </w:p>
        </w:tc>
        <w:tc>
          <w:tcPr>
            <w:tcW w:w="72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20"/>
                <w:szCs w:val="20"/>
              </w:rPr>
            </w:pPr>
          </w:p>
        </w:tc>
        <w:tc>
          <w:tcPr>
            <w:tcW w:w="62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 xml:space="preserve">0.00 </w:t>
            </w:r>
          </w:p>
        </w:tc>
        <w:tc>
          <w:tcPr>
            <w:tcW w:w="95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20"/>
                <w:szCs w:val="20"/>
              </w:rPr>
            </w:pPr>
          </w:p>
        </w:tc>
        <w:tc>
          <w:tcPr>
            <w:tcW w:w="15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 xml:space="preserve">124,438.80 </w:t>
            </w:r>
          </w:p>
        </w:tc>
        <w:tc>
          <w:tcPr>
            <w:tcW w:w="70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20"/>
                <w:szCs w:val="20"/>
              </w:rPr>
            </w:pPr>
          </w:p>
        </w:tc>
        <w:tc>
          <w:tcPr>
            <w:tcW w:w="120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 xml:space="preserve">124,438.80 </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20"/>
                <w:szCs w:val="20"/>
              </w:rPr>
            </w:pPr>
          </w:p>
        </w:tc>
        <w:tc>
          <w:tcPr>
            <w:tcW w:w="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color w:val="000000"/>
                <w:sz w:val="20"/>
                <w:szCs w:val="20"/>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color w:val="000000"/>
                <w:sz w:val="20"/>
                <w:szCs w:val="20"/>
              </w:rPr>
            </w:pPr>
          </w:p>
        </w:tc>
      </w:tr>
      <w:tr>
        <w:tblPrEx>
          <w:tblCellMar>
            <w:top w:w="0" w:type="dxa"/>
            <w:left w:w="0" w:type="dxa"/>
            <w:bottom w:w="0" w:type="dxa"/>
            <w:right w:w="0" w:type="dxa"/>
          </w:tblCellMar>
        </w:tblPrEx>
        <w:trPr>
          <w:trHeight w:val="702" w:hRule="atLeast"/>
        </w:trPr>
        <w:tc>
          <w:tcPr>
            <w:tcW w:w="149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其中：财政拨款</w:t>
            </w:r>
          </w:p>
        </w:tc>
        <w:tc>
          <w:tcPr>
            <w:tcW w:w="59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20"/>
                <w:szCs w:val="20"/>
              </w:rPr>
            </w:pPr>
          </w:p>
        </w:tc>
        <w:tc>
          <w:tcPr>
            <w:tcW w:w="72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20"/>
                <w:szCs w:val="20"/>
              </w:rPr>
            </w:pPr>
          </w:p>
        </w:tc>
        <w:tc>
          <w:tcPr>
            <w:tcW w:w="62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 xml:space="preserve">0.00 </w:t>
            </w:r>
          </w:p>
        </w:tc>
        <w:tc>
          <w:tcPr>
            <w:tcW w:w="95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20"/>
                <w:szCs w:val="20"/>
              </w:rPr>
            </w:pPr>
          </w:p>
        </w:tc>
        <w:tc>
          <w:tcPr>
            <w:tcW w:w="15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 xml:space="preserve">124,438.80 </w:t>
            </w:r>
          </w:p>
        </w:tc>
        <w:tc>
          <w:tcPr>
            <w:tcW w:w="70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20"/>
                <w:szCs w:val="20"/>
              </w:rPr>
            </w:pPr>
          </w:p>
        </w:tc>
        <w:tc>
          <w:tcPr>
            <w:tcW w:w="120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 xml:space="preserve">124,438.80 </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100</w:t>
            </w:r>
          </w:p>
        </w:tc>
        <w:tc>
          <w:tcPr>
            <w:tcW w:w="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 xml:space="preserve">10 </w:t>
            </w:r>
          </w:p>
        </w:tc>
      </w:tr>
      <w:tr>
        <w:tblPrEx>
          <w:tblCellMar>
            <w:top w:w="0" w:type="dxa"/>
            <w:left w:w="0" w:type="dxa"/>
            <w:bottom w:w="0" w:type="dxa"/>
            <w:right w:w="0" w:type="dxa"/>
          </w:tblCellMar>
        </w:tblPrEx>
        <w:trPr>
          <w:trHeight w:val="702" w:hRule="atLeast"/>
        </w:trPr>
        <w:tc>
          <w:tcPr>
            <w:tcW w:w="149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一般公共预算</w:t>
            </w:r>
          </w:p>
        </w:tc>
        <w:tc>
          <w:tcPr>
            <w:tcW w:w="59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20"/>
                <w:szCs w:val="20"/>
              </w:rPr>
            </w:pPr>
          </w:p>
        </w:tc>
        <w:tc>
          <w:tcPr>
            <w:tcW w:w="72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20"/>
                <w:szCs w:val="20"/>
              </w:rPr>
            </w:pPr>
          </w:p>
        </w:tc>
        <w:tc>
          <w:tcPr>
            <w:tcW w:w="62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 xml:space="preserve">0.00 </w:t>
            </w:r>
          </w:p>
        </w:tc>
        <w:tc>
          <w:tcPr>
            <w:tcW w:w="95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20"/>
                <w:szCs w:val="20"/>
              </w:rPr>
            </w:pPr>
          </w:p>
        </w:tc>
        <w:tc>
          <w:tcPr>
            <w:tcW w:w="15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 xml:space="preserve">124,438.80 </w:t>
            </w:r>
          </w:p>
        </w:tc>
        <w:tc>
          <w:tcPr>
            <w:tcW w:w="70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20"/>
                <w:szCs w:val="20"/>
              </w:rPr>
            </w:pPr>
          </w:p>
        </w:tc>
        <w:tc>
          <w:tcPr>
            <w:tcW w:w="120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 xml:space="preserve">124,438.80 </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100</w:t>
            </w:r>
          </w:p>
        </w:tc>
        <w:tc>
          <w:tcPr>
            <w:tcW w:w="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color w:val="000000"/>
                <w:sz w:val="20"/>
                <w:szCs w:val="20"/>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color w:val="000000"/>
                <w:sz w:val="20"/>
                <w:szCs w:val="20"/>
              </w:rPr>
            </w:pPr>
          </w:p>
        </w:tc>
      </w:tr>
      <w:tr>
        <w:tblPrEx>
          <w:tblCellMar>
            <w:top w:w="0" w:type="dxa"/>
            <w:left w:w="0" w:type="dxa"/>
            <w:bottom w:w="0" w:type="dxa"/>
            <w:right w:w="0" w:type="dxa"/>
          </w:tblCellMar>
        </w:tblPrEx>
        <w:trPr>
          <w:trHeight w:val="702" w:hRule="atLeast"/>
        </w:trPr>
        <w:tc>
          <w:tcPr>
            <w:tcW w:w="1024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eastAsia="微软雅黑" w:cs="Times New Roman"/>
                <w:b/>
                <w:color w:val="808080"/>
                <w:sz w:val="20"/>
                <w:szCs w:val="20"/>
              </w:rPr>
            </w:pPr>
            <w:r>
              <w:rPr>
                <w:rFonts w:hint="default" w:ascii="Times New Roman" w:hAnsi="Times New Roman" w:eastAsia="微软雅黑" w:cs="Times New Roman"/>
                <w:b/>
                <w:color w:val="808080"/>
                <w:sz w:val="20"/>
                <w:szCs w:val="20"/>
                <w:lang w:bidi="ar"/>
              </w:rPr>
              <w:t>绩效目标</w:t>
            </w:r>
          </w:p>
        </w:tc>
      </w:tr>
      <w:tr>
        <w:tblPrEx>
          <w:tblCellMar>
            <w:top w:w="0" w:type="dxa"/>
            <w:left w:w="0" w:type="dxa"/>
            <w:bottom w:w="0" w:type="dxa"/>
            <w:right w:w="0" w:type="dxa"/>
          </w:tblCellMar>
        </w:tblPrEx>
        <w:trPr>
          <w:trHeight w:val="573" w:hRule="atLeast"/>
        </w:trPr>
        <w:tc>
          <w:tcPr>
            <w:tcW w:w="343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年初绩效目标</w:t>
            </w:r>
          </w:p>
        </w:tc>
        <w:tc>
          <w:tcPr>
            <w:tcW w:w="441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全年（调整）绩效目标</w:t>
            </w:r>
          </w:p>
        </w:tc>
        <w:tc>
          <w:tcPr>
            <w:tcW w:w="23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全年目标实际完成情况</w:t>
            </w:r>
          </w:p>
        </w:tc>
      </w:tr>
      <w:tr>
        <w:tblPrEx>
          <w:tblCellMar>
            <w:top w:w="0" w:type="dxa"/>
            <w:left w:w="0" w:type="dxa"/>
            <w:bottom w:w="0" w:type="dxa"/>
            <w:right w:w="0" w:type="dxa"/>
          </w:tblCellMar>
        </w:tblPrEx>
        <w:trPr>
          <w:trHeight w:val="1027" w:hRule="atLeast"/>
        </w:trPr>
        <w:tc>
          <w:tcPr>
            <w:tcW w:w="343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keepNext w:val="0"/>
              <w:keepLines w:val="0"/>
              <w:pageBreakBefore w:val="0"/>
              <w:kinsoku/>
              <w:overflowPunct/>
              <w:topLinePunct w:val="0"/>
              <w:autoSpaceDN/>
              <w:bidi w:val="0"/>
              <w:adjustRightInd/>
              <w:spacing w:line="600" w:lineRule="exact"/>
              <w:ind w:left="0"/>
              <w:textAlignment w:val="top"/>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整治图书馆屋面漏水、卫生间漏水，及阅览室装修维护</w:t>
            </w:r>
          </w:p>
        </w:tc>
        <w:tc>
          <w:tcPr>
            <w:tcW w:w="441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keepNext w:val="0"/>
              <w:keepLines w:val="0"/>
              <w:pageBreakBefore w:val="0"/>
              <w:kinsoku/>
              <w:overflowPunct/>
              <w:topLinePunct w:val="0"/>
              <w:autoSpaceDN/>
              <w:bidi w:val="0"/>
              <w:adjustRightInd/>
              <w:spacing w:line="600" w:lineRule="exact"/>
              <w:ind w:left="0"/>
              <w:textAlignment w:val="top"/>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整治图书馆屋面漏水、卫生间漏水，及阅览室装修维护</w:t>
            </w:r>
          </w:p>
        </w:tc>
        <w:tc>
          <w:tcPr>
            <w:tcW w:w="23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keepNext w:val="0"/>
              <w:keepLines w:val="0"/>
              <w:pageBreakBefore w:val="0"/>
              <w:kinsoku/>
              <w:overflowPunct/>
              <w:topLinePunct w:val="0"/>
              <w:autoSpaceDN/>
              <w:bidi w:val="0"/>
              <w:adjustRightInd/>
              <w:spacing w:line="600" w:lineRule="exact"/>
              <w:ind w:left="0"/>
              <w:textAlignment w:val="top"/>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图书馆屋面漏水、卫生间漏水，阅览室装修维护工作全部完成</w:t>
            </w:r>
          </w:p>
        </w:tc>
      </w:tr>
      <w:tr>
        <w:tblPrEx>
          <w:tblCellMar>
            <w:top w:w="0" w:type="dxa"/>
            <w:left w:w="0" w:type="dxa"/>
            <w:bottom w:w="0" w:type="dxa"/>
            <w:right w:w="0" w:type="dxa"/>
          </w:tblCellMar>
        </w:tblPrEx>
        <w:trPr>
          <w:trHeight w:val="702" w:hRule="atLeast"/>
        </w:trPr>
        <w:tc>
          <w:tcPr>
            <w:tcW w:w="1024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eastAsia="微软雅黑" w:cs="Times New Roman"/>
                <w:b/>
                <w:color w:val="808080"/>
                <w:sz w:val="20"/>
                <w:szCs w:val="20"/>
              </w:rPr>
            </w:pPr>
            <w:r>
              <w:rPr>
                <w:rFonts w:hint="default" w:ascii="Times New Roman" w:hAnsi="Times New Roman" w:eastAsia="微软雅黑" w:cs="Times New Roman"/>
                <w:b/>
                <w:color w:val="808080"/>
                <w:sz w:val="20"/>
                <w:szCs w:val="20"/>
                <w:lang w:bidi="ar"/>
              </w:rPr>
              <w:t>绩效指标</w:t>
            </w:r>
          </w:p>
        </w:tc>
      </w:tr>
      <w:tr>
        <w:tblPrEx>
          <w:tblCellMar>
            <w:top w:w="0" w:type="dxa"/>
            <w:left w:w="0" w:type="dxa"/>
            <w:bottom w:w="0" w:type="dxa"/>
            <w:right w:w="0" w:type="dxa"/>
          </w:tblCellMar>
        </w:tblPrEx>
        <w:trPr>
          <w:trHeight w:val="1027" w:hRule="atLeast"/>
        </w:trPr>
        <w:tc>
          <w:tcPr>
            <w:tcW w:w="1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指标名称</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计量单位</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指标性质</w:t>
            </w: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指标值</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全年完成值</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偏离度（%）</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得分系数（%）</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指标权重</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指标得分</w:t>
            </w:r>
          </w:p>
        </w:tc>
        <w:tc>
          <w:tcPr>
            <w:tcW w:w="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是否核心指标</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说明</w:t>
            </w:r>
          </w:p>
        </w:tc>
      </w:tr>
      <w:tr>
        <w:tblPrEx>
          <w:tblCellMar>
            <w:top w:w="0" w:type="dxa"/>
            <w:left w:w="0" w:type="dxa"/>
            <w:bottom w:w="0" w:type="dxa"/>
            <w:right w:w="0" w:type="dxa"/>
          </w:tblCellMar>
        </w:tblPrEx>
        <w:trPr>
          <w:trHeight w:val="702" w:hRule="atLeast"/>
        </w:trPr>
        <w:tc>
          <w:tcPr>
            <w:tcW w:w="1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keepNext w:val="0"/>
              <w:keepLines w:val="0"/>
              <w:pageBreakBefore w:val="0"/>
              <w:kinsoku/>
              <w:overflowPunct/>
              <w:topLinePunct w:val="0"/>
              <w:autoSpaceDN/>
              <w:bidi w:val="0"/>
              <w:adjustRightInd/>
              <w:spacing w:line="600" w:lineRule="exact"/>
              <w:ind w:left="0"/>
              <w:jc w:val="center"/>
              <w:textAlignment w:val="top"/>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卫生间漏水整治面积</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firstLine="200" w:firstLineChars="1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平米</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firstLine="200" w:firstLineChars="1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w:t>
            </w: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150</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150</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0</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100</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20</w:t>
            </w:r>
          </w:p>
        </w:tc>
        <w:tc>
          <w:tcPr>
            <w:tcW w:w="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color w:val="000000"/>
                <w:sz w:val="20"/>
                <w:szCs w:val="20"/>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color w:val="000000"/>
                <w:sz w:val="20"/>
                <w:szCs w:val="20"/>
              </w:rPr>
            </w:pPr>
          </w:p>
        </w:tc>
      </w:tr>
      <w:tr>
        <w:tblPrEx>
          <w:tblCellMar>
            <w:top w:w="0" w:type="dxa"/>
            <w:left w:w="0" w:type="dxa"/>
            <w:bottom w:w="0" w:type="dxa"/>
            <w:right w:w="0" w:type="dxa"/>
          </w:tblCellMar>
        </w:tblPrEx>
        <w:trPr>
          <w:trHeight w:val="702" w:hRule="atLeast"/>
        </w:trPr>
        <w:tc>
          <w:tcPr>
            <w:tcW w:w="1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keepNext w:val="0"/>
              <w:keepLines w:val="0"/>
              <w:pageBreakBefore w:val="0"/>
              <w:kinsoku/>
              <w:overflowPunct/>
              <w:topLinePunct w:val="0"/>
              <w:autoSpaceDN/>
              <w:bidi w:val="0"/>
              <w:adjustRightInd/>
              <w:spacing w:line="600" w:lineRule="exact"/>
              <w:ind w:left="0"/>
              <w:jc w:val="center"/>
              <w:textAlignment w:val="top"/>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屋面漏水整治面积</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firstLine="200" w:firstLineChars="1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平米</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firstLine="200" w:firstLineChars="1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w:t>
            </w: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1000</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1000</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0</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100</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20</w:t>
            </w:r>
          </w:p>
        </w:tc>
        <w:tc>
          <w:tcPr>
            <w:tcW w:w="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color w:val="000000"/>
                <w:sz w:val="20"/>
                <w:szCs w:val="20"/>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color w:val="000000"/>
                <w:sz w:val="20"/>
                <w:szCs w:val="20"/>
              </w:rPr>
            </w:pPr>
          </w:p>
        </w:tc>
      </w:tr>
      <w:tr>
        <w:tblPrEx>
          <w:tblCellMar>
            <w:top w:w="0" w:type="dxa"/>
            <w:left w:w="0" w:type="dxa"/>
            <w:bottom w:w="0" w:type="dxa"/>
            <w:right w:w="0" w:type="dxa"/>
          </w:tblCellMar>
        </w:tblPrEx>
        <w:trPr>
          <w:trHeight w:val="702" w:hRule="atLeast"/>
        </w:trPr>
        <w:tc>
          <w:tcPr>
            <w:tcW w:w="1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keepNext w:val="0"/>
              <w:keepLines w:val="0"/>
              <w:pageBreakBefore w:val="0"/>
              <w:kinsoku/>
              <w:overflowPunct/>
              <w:topLinePunct w:val="0"/>
              <w:autoSpaceDN/>
              <w:bidi w:val="0"/>
              <w:adjustRightInd/>
              <w:spacing w:line="600" w:lineRule="exact"/>
              <w:ind w:left="0"/>
              <w:jc w:val="center"/>
              <w:textAlignment w:val="top"/>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阅览室维修面积</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firstLine="200" w:firstLineChars="1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平米</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firstLine="200" w:firstLineChars="1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w:t>
            </w: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150</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150</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0</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100</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20</w:t>
            </w:r>
          </w:p>
        </w:tc>
        <w:tc>
          <w:tcPr>
            <w:tcW w:w="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color w:val="000000"/>
                <w:sz w:val="20"/>
                <w:szCs w:val="20"/>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color w:val="000000"/>
                <w:sz w:val="20"/>
                <w:szCs w:val="20"/>
              </w:rPr>
            </w:pPr>
          </w:p>
        </w:tc>
      </w:tr>
      <w:tr>
        <w:tblPrEx>
          <w:tblCellMar>
            <w:top w:w="0" w:type="dxa"/>
            <w:left w:w="0" w:type="dxa"/>
            <w:bottom w:w="0" w:type="dxa"/>
            <w:right w:w="0" w:type="dxa"/>
          </w:tblCellMar>
        </w:tblPrEx>
        <w:trPr>
          <w:trHeight w:val="702" w:hRule="atLeast"/>
        </w:trPr>
        <w:tc>
          <w:tcPr>
            <w:tcW w:w="1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keepNext w:val="0"/>
              <w:keepLines w:val="0"/>
              <w:pageBreakBefore w:val="0"/>
              <w:kinsoku/>
              <w:overflowPunct/>
              <w:topLinePunct w:val="0"/>
              <w:autoSpaceDN/>
              <w:bidi w:val="0"/>
              <w:adjustRightInd/>
              <w:spacing w:line="600" w:lineRule="exact"/>
              <w:ind w:left="0"/>
              <w:jc w:val="center"/>
              <w:textAlignment w:val="top"/>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服务环境</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20"/>
                <w:szCs w:val="20"/>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firstLine="200" w:firstLineChars="1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定性</w:t>
            </w: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提升</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0</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100</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20</w:t>
            </w:r>
          </w:p>
        </w:tc>
        <w:tc>
          <w:tcPr>
            <w:tcW w:w="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color w:val="000000"/>
                <w:sz w:val="20"/>
                <w:szCs w:val="20"/>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color w:val="000000"/>
                <w:sz w:val="20"/>
                <w:szCs w:val="20"/>
              </w:rPr>
            </w:pPr>
          </w:p>
        </w:tc>
      </w:tr>
      <w:tr>
        <w:tblPrEx>
          <w:tblCellMar>
            <w:top w:w="0" w:type="dxa"/>
            <w:left w:w="0" w:type="dxa"/>
            <w:bottom w:w="0" w:type="dxa"/>
            <w:right w:w="0" w:type="dxa"/>
          </w:tblCellMar>
        </w:tblPrEx>
        <w:trPr>
          <w:trHeight w:val="593" w:hRule="atLeast"/>
        </w:trPr>
        <w:tc>
          <w:tcPr>
            <w:tcW w:w="1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keepNext w:val="0"/>
              <w:keepLines w:val="0"/>
              <w:pageBreakBefore w:val="0"/>
              <w:kinsoku/>
              <w:overflowPunct/>
              <w:topLinePunct w:val="0"/>
              <w:autoSpaceDN/>
              <w:bidi w:val="0"/>
              <w:adjustRightInd/>
              <w:spacing w:line="600" w:lineRule="exact"/>
              <w:ind w:left="0"/>
              <w:jc w:val="center"/>
              <w:textAlignment w:val="top"/>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读者满意度</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firstLine="200" w:firstLineChars="1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firstLine="200" w:firstLineChars="1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w:t>
            </w: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90</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90</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0</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100</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w:t>
            </w:r>
          </w:p>
        </w:tc>
        <w:tc>
          <w:tcPr>
            <w:tcW w:w="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color w:val="000000"/>
                <w:sz w:val="20"/>
                <w:szCs w:val="20"/>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color w:val="000000"/>
                <w:sz w:val="20"/>
                <w:szCs w:val="20"/>
              </w:rPr>
            </w:pPr>
          </w:p>
        </w:tc>
      </w:tr>
    </w:tbl>
    <w:p>
      <w:pPr>
        <w:pStyle w:val="11"/>
        <w:keepNext w:val="0"/>
        <w:keepLines w:val="0"/>
        <w:pageBreakBefore w:val="0"/>
        <w:kinsoku/>
        <w:overflowPunct/>
        <w:topLinePunct w:val="0"/>
        <w:autoSpaceDE w:val="0"/>
        <w:autoSpaceDN/>
        <w:bidi w:val="0"/>
        <w:adjustRightInd/>
        <w:spacing w:line="600" w:lineRule="exact"/>
        <w:ind w:left="0" w:firstLine="640"/>
        <w:rPr>
          <w:rStyle w:val="10"/>
          <w:rFonts w:hint="default" w:ascii="Times New Roman" w:hAnsi="Times New Roman" w:eastAsia="方正楷体_GBK" w:cs="Times New Roman"/>
          <w:b w:val="0"/>
          <w:sz w:val="32"/>
          <w:szCs w:val="32"/>
        </w:rPr>
      </w:pPr>
      <w:r>
        <w:rPr>
          <w:rStyle w:val="10"/>
          <w:rFonts w:hint="default" w:ascii="Times New Roman" w:hAnsi="Times New Roman" w:eastAsia="方正楷体_GBK" w:cs="Times New Roman"/>
          <w:b w:val="0"/>
          <w:sz w:val="32"/>
          <w:szCs w:val="32"/>
        </w:rPr>
        <w:t>（二）单位绩效评价情况</w:t>
      </w:r>
    </w:p>
    <w:p>
      <w:pPr>
        <w:pStyle w:val="11"/>
        <w:keepNext w:val="0"/>
        <w:keepLines w:val="0"/>
        <w:pageBreakBefore w:val="0"/>
        <w:kinsoku/>
        <w:overflowPunct/>
        <w:topLinePunct w:val="0"/>
        <w:autoSpaceDE w:val="0"/>
        <w:autoSpaceDN/>
        <w:bidi w:val="0"/>
        <w:adjustRightInd/>
        <w:spacing w:line="600" w:lineRule="exact"/>
        <w:ind w:left="0" w:firstLine="640"/>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我单位未组织开展绩效评价。</w:t>
      </w:r>
    </w:p>
    <w:p>
      <w:pPr>
        <w:pStyle w:val="11"/>
        <w:keepNext w:val="0"/>
        <w:keepLines w:val="0"/>
        <w:pageBreakBefore w:val="0"/>
        <w:kinsoku/>
        <w:overflowPunct/>
        <w:topLinePunct w:val="0"/>
        <w:autoSpaceDE w:val="0"/>
        <w:autoSpaceDN/>
        <w:bidi w:val="0"/>
        <w:adjustRightInd/>
        <w:spacing w:line="600" w:lineRule="exact"/>
        <w:ind w:left="0" w:firstLine="640"/>
        <w:rPr>
          <w:rStyle w:val="10"/>
          <w:rFonts w:hint="default" w:ascii="Times New Roman" w:hAnsi="Times New Roman" w:eastAsia="方正楷体_GBK" w:cs="Times New Roman"/>
          <w:b w:val="0"/>
          <w:sz w:val="32"/>
          <w:szCs w:val="32"/>
        </w:rPr>
      </w:pPr>
      <w:r>
        <w:rPr>
          <w:rStyle w:val="10"/>
          <w:rFonts w:hint="default" w:ascii="Times New Roman" w:hAnsi="Times New Roman" w:eastAsia="方正楷体_GBK" w:cs="Times New Roman"/>
          <w:b w:val="0"/>
          <w:sz w:val="32"/>
          <w:szCs w:val="32"/>
        </w:rPr>
        <w:t>（三）财政绩效评价情况</w:t>
      </w:r>
    </w:p>
    <w:p>
      <w:pPr>
        <w:pStyle w:val="11"/>
        <w:keepNext w:val="0"/>
        <w:keepLines w:val="0"/>
        <w:pageBreakBefore w:val="0"/>
        <w:kinsoku/>
        <w:overflowPunct/>
        <w:topLinePunct w:val="0"/>
        <w:autoSpaceDE w:val="0"/>
        <w:autoSpaceDN/>
        <w:bidi w:val="0"/>
        <w:adjustRightInd/>
        <w:spacing w:line="600" w:lineRule="exact"/>
        <w:ind w:left="0" w:firstLine="640"/>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县财政局未委托第三方对我单位开展绩效评价。</w:t>
      </w:r>
    </w:p>
    <w:p>
      <w:pPr>
        <w:pStyle w:val="6"/>
        <w:keepNext w:val="0"/>
        <w:keepLines w:val="0"/>
        <w:pageBreakBefore w:val="0"/>
        <w:shd w:val="clear" w:color="auto"/>
        <w:kinsoku/>
        <w:overflowPunct/>
        <w:topLinePunct w:val="0"/>
        <w:autoSpaceDN/>
        <w:bidi w:val="0"/>
        <w:adjustRightInd/>
        <w:spacing w:beforeAutospacing="0" w:afterAutospacing="0" w:line="600" w:lineRule="exact"/>
        <w:ind w:left="0" w:firstLine="722" w:firstLineChars="225"/>
        <w:rPr>
          <w:rStyle w:val="10"/>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六、专业名词解释</w:t>
      </w:r>
    </w:p>
    <w:p>
      <w:pPr>
        <w:pStyle w:val="6"/>
        <w:keepNext w:val="0"/>
        <w:keepLines w:val="0"/>
        <w:pageBreakBefore w:val="0"/>
        <w:shd w:val="clear" w:color="auto"/>
        <w:kinsoku/>
        <w:overflowPunct/>
        <w:topLinePunct w:val="0"/>
        <w:autoSpaceDN/>
        <w:bidi w:val="0"/>
        <w:adjustRightInd/>
        <w:spacing w:before="0" w:beforeAutospacing="0" w:after="0" w:afterAutospacing="0" w:line="600" w:lineRule="exact"/>
        <w:ind w:left="0" w:firstLine="640" w:firstLineChars="200"/>
        <w:rPr>
          <w:rFonts w:hint="default" w:ascii="Times New Roman" w:hAnsi="Times New Roman" w:eastAsia="方正仿宋_GBK" w:cs="Times New Roman"/>
          <w:kern w:val="2"/>
          <w:sz w:val="32"/>
          <w:szCs w:val="32"/>
          <w:lang w:eastAsia="zh-Hans"/>
        </w:rPr>
      </w:pPr>
      <w:r>
        <w:rPr>
          <w:rStyle w:val="10"/>
          <w:rFonts w:hint="default" w:ascii="Times New Roman" w:hAnsi="Times New Roman" w:eastAsia="方正楷体_GBK" w:cs="Times New Roman"/>
          <w:b w:val="0"/>
          <w:sz w:val="32"/>
          <w:szCs w:val="32"/>
          <w:lang w:eastAsia="zh-Hans"/>
        </w:rPr>
        <w:t>（一）财政拨款收入：</w:t>
      </w:r>
      <w:r>
        <w:rPr>
          <w:rFonts w:hint="default" w:ascii="Times New Roman" w:hAnsi="Times New Roman" w:eastAsia="方正仿宋_GBK" w:cs="Times New Roman"/>
          <w:kern w:val="2"/>
          <w:sz w:val="32"/>
          <w:szCs w:val="32"/>
          <w:lang w:eastAsia="zh-Hans"/>
        </w:rPr>
        <w:t>指本年度从本级财政单位取得的财政拨款，包括一般公共预算财政拨款和政府性基金预算财政拨款。</w:t>
      </w:r>
    </w:p>
    <w:p>
      <w:pPr>
        <w:pStyle w:val="6"/>
        <w:keepNext w:val="0"/>
        <w:keepLines w:val="0"/>
        <w:pageBreakBefore w:val="0"/>
        <w:shd w:val="clear" w:color="auto"/>
        <w:kinsoku/>
        <w:overflowPunct/>
        <w:topLinePunct w:val="0"/>
        <w:autoSpaceDN/>
        <w:bidi w:val="0"/>
        <w:adjustRightInd/>
        <w:spacing w:before="0" w:beforeAutospacing="0" w:after="0" w:afterAutospacing="0" w:line="600" w:lineRule="exact"/>
        <w:ind w:left="0" w:firstLine="640" w:firstLineChars="200"/>
        <w:rPr>
          <w:rFonts w:hint="default" w:ascii="Times New Roman" w:hAnsi="Times New Roman" w:eastAsia="方正仿宋_GBK" w:cs="Times New Roman"/>
          <w:kern w:val="2"/>
          <w:sz w:val="32"/>
          <w:szCs w:val="32"/>
          <w:lang w:eastAsia="zh-Hans"/>
        </w:rPr>
      </w:pPr>
      <w:r>
        <w:rPr>
          <w:rStyle w:val="10"/>
          <w:rFonts w:hint="default" w:ascii="Times New Roman" w:hAnsi="Times New Roman" w:eastAsia="方正楷体_GBK" w:cs="Times New Roman"/>
          <w:b w:val="0"/>
          <w:sz w:val="32"/>
          <w:szCs w:val="32"/>
          <w:lang w:eastAsia="zh-Hans"/>
        </w:rPr>
        <w:t>（二）事业收入：</w:t>
      </w:r>
      <w:r>
        <w:rPr>
          <w:rFonts w:hint="default" w:ascii="Times New Roman" w:hAnsi="Times New Roman" w:eastAsia="方正仿宋_GBK" w:cs="Times New Roman"/>
          <w:kern w:val="2"/>
          <w:sz w:val="32"/>
          <w:szCs w:val="32"/>
          <w:lang w:eastAsia="zh-Hans"/>
        </w:rPr>
        <w:t>指事业单位开展专业业务活动及其辅助活动取得的现金流入；事业单位收到的财政专户实际核拨的教育收费等资金在此反映。</w:t>
      </w:r>
    </w:p>
    <w:p>
      <w:pPr>
        <w:pStyle w:val="6"/>
        <w:keepNext w:val="0"/>
        <w:keepLines w:val="0"/>
        <w:pageBreakBefore w:val="0"/>
        <w:shd w:val="clear" w:color="auto"/>
        <w:kinsoku/>
        <w:overflowPunct/>
        <w:topLinePunct w:val="0"/>
        <w:autoSpaceDN/>
        <w:bidi w:val="0"/>
        <w:adjustRightInd/>
        <w:spacing w:before="0" w:beforeAutospacing="0" w:after="0" w:afterAutospacing="0" w:line="600" w:lineRule="exact"/>
        <w:ind w:left="0" w:firstLine="640" w:firstLineChars="200"/>
        <w:rPr>
          <w:rFonts w:hint="default" w:ascii="Times New Roman" w:hAnsi="Times New Roman" w:eastAsia="方正仿宋_GBK" w:cs="Times New Roman"/>
          <w:kern w:val="2"/>
          <w:sz w:val="32"/>
          <w:szCs w:val="32"/>
          <w:lang w:eastAsia="zh-Hans"/>
        </w:rPr>
      </w:pPr>
      <w:r>
        <w:rPr>
          <w:rStyle w:val="10"/>
          <w:rFonts w:hint="default" w:ascii="Times New Roman" w:hAnsi="Times New Roman" w:eastAsia="方正楷体_GBK" w:cs="Times New Roman"/>
          <w:b w:val="0"/>
          <w:sz w:val="32"/>
          <w:szCs w:val="32"/>
          <w:lang w:eastAsia="zh-Hans"/>
        </w:rPr>
        <w:t>（</w:t>
      </w:r>
      <w:r>
        <w:rPr>
          <w:rStyle w:val="10"/>
          <w:rFonts w:hint="default" w:ascii="Times New Roman" w:hAnsi="Times New Roman" w:eastAsia="方正楷体_GBK" w:cs="Times New Roman"/>
          <w:b w:val="0"/>
          <w:sz w:val="32"/>
          <w:szCs w:val="32"/>
        </w:rPr>
        <w:t>三</w:t>
      </w:r>
      <w:r>
        <w:rPr>
          <w:rStyle w:val="10"/>
          <w:rFonts w:hint="default" w:ascii="Times New Roman" w:hAnsi="Times New Roman" w:eastAsia="方正楷体_GBK" w:cs="Times New Roman"/>
          <w:b w:val="0"/>
          <w:sz w:val="32"/>
          <w:szCs w:val="32"/>
          <w:lang w:eastAsia="zh-Hans"/>
        </w:rPr>
        <w:t>）其他收入：</w:t>
      </w:r>
      <w:r>
        <w:rPr>
          <w:rFonts w:hint="default" w:ascii="Times New Roman" w:hAnsi="Times New Roman" w:eastAsia="方正仿宋_GBK" w:cs="Times New Roman"/>
          <w:kern w:val="2"/>
          <w:sz w:val="32"/>
          <w:szCs w:val="32"/>
          <w:lang w:eastAsia="zh-Hans"/>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单位以外的同级单位取得的经费、从非本级财政单位取得的经费，以及行政单位收到的财政专户管理资金反映在本项内。</w:t>
      </w:r>
    </w:p>
    <w:p>
      <w:pPr>
        <w:pStyle w:val="6"/>
        <w:keepNext w:val="0"/>
        <w:keepLines w:val="0"/>
        <w:pageBreakBefore w:val="0"/>
        <w:shd w:val="clear" w:color="auto"/>
        <w:kinsoku/>
        <w:overflowPunct/>
        <w:topLinePunct w:val="0"/>
        <w:autoSpaceDN/>
        <w:bidi w:val="0"/>
        <w:adjustRightInd/>
        <w:spacing w:before="0" w:beforeAutospacing="0" w:after="0" w:afterAutospacing="0" w:line="600" w:lineRule="exact"/>
        <w:ind w:left="0" w:firstLine="640" w:firstLineChars="200"/>
        <w:rPr>
          <w:rFonts w:hint="default" w:ascii="Times New Roman" w:hAnsi="Times New Roman" w:eastAsia="方正仿宋_GBK" w:cs="Times New Roman"/>
          <w:kern w:val="2"/>
          <w:sz w:val="32"/>
          <w:szCs w:val="32"/>
          <w:lang w:eastAsia="zh-Hans"/>
        </w:rPr>
      </w:pPr>
      <w:r>
        <w:rPr>
          <w:rStyle w:val="10"/>
          <w:rFonts w:hint="default" w:ascii="Times New Roman" w:hAnsi="Times New Roman" w:eastAsia="方正楷体_GBK" w:cs="Times New Roman"/>
          <w:b w:val="0"/>
          <w:sz w:val="32"/>
          <w:szCs w:val="32"/>
          <w:lang w:eastAsia="zh-Hans"/>
        </w:rPr>
        <w:t>（</w:t>
      </w:r>
      <w:r>
        <w:rPr>
          <w:rStyle w:val="10"/>
          <w:rFonts w:hint="default" w:ascii="Times New Roman" w:hAnsi="Times New Roman" w:eastAsia="方正楷体_GBK" w:cs="Times New Roman"/>
          <w:b w:val="0"/>
          <w:sz w:val="32"/>
          <w:szCs w:val="32"/>
        </w:rPr>
        <w:t>四</w:t>
      </w:r>
      <w:r>
        <w:rPr>
          <w:rStyle w:val="10"/>
          <w:rFonts w:hint="default" w:ascii="Times New Roman" w:hAnsi="Times New Roman" w:eastAsia="方正楷体_GBK" w:cs="Times New Roman"/>
          <w:b w:val="0"/>
          <w:sz w:val="32"/>
          <w:szCs w:val="32"/>
          <w:lang w:eastAsia="zh-Hans"/>
        </w:rPr>
        <w:t>）使用非财政拨款结余：</w:t>
      </w:r>
      <w:r>
        <w:rPr>
          <w:rFonts w:hint="default" w:ascii="Times New Roman" w:hAnsi="Times New Roman" w:eastAsia="方正仿宋_GBK" w:cs="Times New Roman"/>
          <w:kern w:val="2"/>
          <w:sz w:val="32"/>
          <w:szCs w:val="32"/>
          <w:lang w:eastAsia="zh-Hans"/>
        </w:rPr>
        <w:t>指单位在当年的“财政拨款收入”、“事业收入”、“经营收入”、“其他收入”等不足以安排当年支出的情况下，使用以前年度积累的非财政拨款结余弥补本年度收支缺口的资金。</w:t>
      </w:r>
    </w:p>
    <w:p>
      <w:pPr>
        <w:pStyle w:val="6"/>
        <w:keepNext w:val="0"/>
        <w:keepLines w:val="0"/>
        <w:pageBreakBefore w:val="0"/>
        <w:shd w:val="clear" w:color="auto"/>
        <w:kinsoku/>
        <w:overflowPunct/>
        <w:topLinePunct w:val="0"/>
        <w:autoSpaceDN/>
        <w:bidi w:val="0"/>
        <w:adjustRightInd/>
        <w:spacing w:before="0" w:beforeAutospacing="0" w:after="0" w:afterAutospacing="0" w:line="600" w:lineRule="exact"/>
        <w:ind w:left="0" w:firstLine="640" w:firstLineChars="200"/>
        <w:rPr>
          <w:rFonts w:hint="default" w:ascii="Times New Roman" w:hAnsi="Times New Roman" w:eastAsia="方正仿宋_GBK" w:cs="Times New Roman"/>
          <w:kern w:val="2"/>
          <w:sz w:val="32"/>
          <w:szCs w:val="32"/>
          <w:lang w:eastAsia="zh-Hans"/>
        </w:rPr>
      </w:pPr>
      <w:r>
        <w:rPr>
          <w:rStyle w:val="10"/>
          <w:rFonts w:hint="default" w:ascii="Times New Roman" w:hAnsi="Times New Roman" w:eastAsia="方正楷体_GBK" w:cs="Times New Roman"/>
          <w:b w:val="0"/>
          <w:sz w:val="32"/>
          <w:szCs w:val="32"/>
          <w:lang w:eastAsia="zh-Hans"/>
        </w:rPr>
        <w:t>（</w:t>
      </w:r>
      <w:r>
        <w:rPr>
          <w:rStyle w:val="10"/>
          <w:rFonts w:hint="default" w:ascii="Times New Roman" w:hAnsi="Times New Roman" w:eastAsia="方正楷体_GBK" w:cs="Times New Roman"/>
          <w:b w:val="0"/>
          <w:sz w:val="32"/>
          <w:szCs w:val="32"/>
        </w:rPr>
        <w:t>五</w:t>
      </w:r>
      <w:r>
        <w:rPr>
          <w:rStyle w:val="10"/>
          <w:rFonts w:hint="default" w:ascii="Times New Roman" w:hAnsi="Times New Roman" w:eastAsia="方正楷体_GBK" w:cs="Times New Roman"/>
          <w:b w:val="0"/>
          <w:sz w:val="32"/>
          <w:szCs w:val="32"/>
          <w:lang w:eastAsia="zh-Hans"/>
        </w:rPr>
        <w:t>）年初结转和结余：</w:t>
      </w:r>
      <w:r>
        <w:rPr>
          <w:rFonts w:hint="default" w:ascii="Times New Roman" w:hAnsi="Times New Roman" w:eastAsia="方正仿宋_GBK" w:cs="Times New Roman"/>
          <w:kern w:val="2"/>
          <w:sz w:val="32"/>
          <w:szCs w:val="32"/>
          <w:lang w:eastAsia="zh-Hans"/>
        </w:rPr>
        <w:t>指单位上年结转本年使用的基本支出结转、项目支出结转和结余、经营结余。</w:t>
      </w:r>
    </w:p>
    <w:p>
      <w:pPr>
        <w:pStyle w:val="6"/>
        <w:keepNext w:val="0"/>
        <w:keepLines w:val="0"/>
        <w:pageBreakBefore w:val="0"/>
        <w:shd w:val="clear" w:color="auto"/>
        <w:kinsoku/>
        <w:overflowPunct/>
        <w:topLinePunct w:val="0"/>
        <w:autoSpaceDN/>
        <w:bidi w:val="0"/>
        <w:adjustRightInd/>
        <w:spacing w:before="0" w:beforeAutospacing="0" w:after="0" w:afterAutospacing="0" w:line="600" w:lineRule="exact"/>
        <w:ind w:left="0" w:firstLine="640" w:firstLineChars="200"/>
        <w:rPr>
          <w:rFonts w:hint="default" w:ascii="Times New Roman" w:hAnsi="Times New Roman" w:eastAsia="方正仿宋_GBK" w:cs="Times New Roman"/>
          <w:kern w:val="2"/>
          <w:sz w:val="32"/>
          <w:szCs w:val="32"/>
          <w:lang w:eastAsia="zh-Hans"/>
        </w:rPr>
      </w:pPr>
      <w:r>
        <w:rPr>
          <w:rStyle w:val="10"/>
          <w:rFonts w:hint="default" w:ascii="Times New Roman" w:hAnsi="Times New Roman" w:eastAsia="方正楷体_GBK" w:cs="Times New Roman"/>
          <w:b w:val="0"/>
          <w:sz w:val="32"/>
          <w:szCs w:val="32"/>
          <w:lang w:eastAsia="zh-Hans"/>
        </w:rPr>
        <w:t>（</w:t>
      </w:r>
      <w:r>
        <w:rPr>
          <w:rStyle w:val="10"/>
          <w:rFonts w:hint="default" w:ascii="Times New Roman" w:hAnsi="Times New Roman" w:eastAsia="方正楷体_GBK" w:cs="Times New Roman"/>
          <w:b w:val="0"/>
          <w:sz w:val="32"/>
          <w:szCs w:val="32"/>
        </w:rPr>
        <w:t>六</w:t>
      </w:r>
      <w:r>
        <w:rPr>
          <w:rStyle w:val="10"/>
          <w:rFonts w:hint="default" w:ascii="Times New Roman" w:hAnsi="Times New Roman" w:eastAsia="方正楷体_GBK" w:cs="Times New Roman"/>
          <w:b w:val="0"/>
          <w:sz w:val="32"/>
          <w:szCs w:val="32"/>
          <w:lang w:eastAsia="zh-Hans"/>
        </w:rPr>
        <w:t>）结余分配：</w:t>
      </w:r>
      <w:r>
        <w:rPr>
          <w:rFonts w:hint="default" w:ascii="Times New Roman" w:hAnsi="Times New Roman" w:eastAsia="方正仿宋_GBK" w:cs="Times New Roman"/>
          <w:kern w:val="2"/>
          <w:sz w:val="32"/>
          <w:szCs w:val="32"/>
          <w:lang w:eastAsia="zh-Hans"/>
        </w:rPr>
        <w:t>指单位按照国家有关规定，缴纳所得税、提取专用基金、转入非财政拨款结余等当年结余的分配情况。</w:t>
      </w:r>
    </w:p>
    <w:p>
      <w:pPr>
        <w:pStyle w:val="6"/>
        <w:keepNext w:val="0"/>
        <w:keepLines w:val="0"/>
        <w:pageBreakBefore w:val="0"/>
        <w:shd w:val="clear" w:color="auto"/>
        <w:kinsoku/>
        <w:overflowPunct/>
        <w:topLinePunct w:val="0"/>
        <w:autoSpaceDN/>
        <w:bidi w:val="0"/>
        <w:adjustRightInd/>
        <w:spacing w:before="0" w:beforeAutospacing="0" w:after="0" w:afterAutospacing="0" w:line="600" w:lineRule="exact"/>
        <w:ind w:left="0" w:firstLine="640" w:firstLineChars="200"/>
        <w:rPr>
          <w:rFonts w:hint="default" w:ascii="Times New Roman" w:hAnsi="Times New Roman" w:eastAsia="方正仿宋_GBK" w:cs="Times New Roman"/>
          <w:kern w:val="2"/>
          <w:sz w:val="32"/>
          <w:szCs w:val="32"/>
          <w:lang w:eastAsia="zh-Hans"/>
        </w:rPr>
      </w:pPr>
      <w:r>
        <w:rPr>
          <w:rStyle w:val="10"/>
          <w:rFonts w:hint="default" w:ascii="Times New Roman" w:hAnsi="Times New Roman" w:eastAsia="方正楷体_GBK" w:cs="Times New Roman"/>
          <w:b w:val="0"/>
          <w:sz w:val="32"/>
          <w:szCs w:val="32"/>
          <w:lang w:eastAsia="zh-Hans"/>
        </w:rPr>
        <w:t>（</w:t>
      </w:r>
      <w:r>
        <w:rPr>
          <w:rStyle w:val="10"/>
          <w:rFonts w:hint="default" w:ascii="Times New Roman" w:hAnsi="Times New Roman" w:eastAsia="方正楷体_GBK" w:cs="Times New Roman"/>
          <w:b w:val="0"/>
          <w:sz w:val="32"/>
          <w:szCs w:val="32"/>
        </w:rPr>
        <w:t>七</w:t>
      </w:r>
      <w:r>
        <w:rPr>
          <w:rStyle w:val="10"/>
          <w:rFonts w:hint="default" w:ascii="Times New Roman" w:hAnsi="Times New Roman" w:eastAsia="方正楷体_GBK" w:cs="Times New Roman"/>
          <w:b w:val="0"/>
          <w:sz w:val="32"/>
          <w:szCs w:val="32"/>
          <w:lang w:eastAsia="zh-Hans"/>
        </w:rPr>
        <w:t>）年末结转和结余：</w:t>
      </w:r>
      <w:r>
        <w:rPr>
          <w:rFonts w:hint="default" w:ascii="Times New Roman" w:hAnsi="Times New Roman" w:eastAsia="方正仿宋_GBK" w:cs="Times New Roman"/>
          <w:kern w:val="2"/>
          <w:sz w:val="32"/>
          <w:szCs w:val="32"/>
          <w:lang w:eastAsia="zh-Hans"/>
        </w:rPr>
        <w:t>指单位结转下年的基本支出结转、项目支出结转和结余、经营结余。</w:t>
      </w:r>
    </w:p>
    <w:p>
      <w:pPr>
        <w:pStyle w:val="6"/>
        <w:keepNext w:val="0"/>
        <w:keepLines w:val="0"/>
        <w:pageBreakBefore w:val="0"/>
        <w:shd w:val="clear" w:color="auto"/>
        <w:kinsoku/>
        <w:overflowPunct/>
        <w:topLinePunct w:val="0"/>
        <w:autoSpaceDN/>
        <w:bidi w:val="0"/>
        <w:adjustRightInd/>
        <w:spacing w:before="0" w:beforeAutospacing="0" w:after="0" w:afterAutospacing="0" w:line="600" w:lineRule="exact"/>
        <w:ind w:left="0" w:firstLine="640" w:firstLineChars="200"/>
        <w:rPr>
          <w:rFonts w:hint="default" w:ascii="Times New Roman" w:hAnsi="Times New Roman" w:eastAsia="方正仿宋_GBK" w:cs="Times New Roman"/>
          <w:kern w:val="2"/>
          <w:sz w:val="32"/>
          <w:szCs w:val="32"/>
          <w:lang w:eastAsia="zh-Hans"/>
        </w:rPr>
      </w:pPr>
      <w:r>
        <w:rPr>
          <w:rStyle w:val="10"/>
          <w:rFonts w:hint="default" w:ascii="Times New Roman" w:hAnsi="Times New Roman" w:eastAsia="方正楷体_GBK" w:cs="Times New Roman"/>
          <w:b w:val="0"/>
          <w:sz w:val="32"/>
          <w:szCs w:val="32"/>
          <w:lang w:eastAsia="zh-Hans"/>
        </w:rPr>
        <w:t>（</w:t>
      </w:r>
      <w:r>
        <w:rPr>
          <w:rStyle w:val="10"/>
          <w:rFonts w:hint="default" w:ascii="Times New Roman" w:hAnsi="Times New Roman" w:eastAsia="方正楷体_GBK" w:cs="Times New Roman"/>
          <w:b w:val="0"/>
          <w:sz w:val="32"/>
          <w:szCs w:val="32"/>
        </w:rPr>
        <w:t>八</w:t>
      </w:r>
      <w:r>
        <w:rPr>
          <w:rStyle w:val="10"/>
          <w:rFonts w:hint="default" w:ascii="Times New Roman" w:hAnsi="Times New Roman" w:eastAsia="方正楷体_GBK" w:cs="Times New Roman"/>
          <w:b w:val="0"/>
          <w:sz w:val="32"/>
          <w:szCs w:val="32"/>
          <w:lang w:eastAsia="zh-Hans"/>
        </w:rPr>
        <w:t>）基本支出：</w:t>
      </w:r>
      <w:r>
        <w:rPr>
          <w:rFonts w:hint="default" w:ascii="Times New Roman" w:hAnsi="Times New Roman" w:eastAsia="方正仿宋_GBK" w:cs="Times New Roman"/>
          <w:kern w:val="2"/>
          <w:sz w:val="32"/>
          <w:szCs w:val="32"/>
          <w:lang w:eastAsia="zh-Hans"/>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keepNext w:val="0"/>
        <w:keepLines w:val="0"/>
        <w:pageBreakBefore w:val="0"/>
        <w:shd w:val="clear" w:color="auto"/>
        <w:kinsoku/>
        <w:overflowPunct/>
        <w:topLinePunct w:val="0"/>
        <w:autoSpaceDN/>
        <w:bidi w:val="0"/>
        <w:adjustRightInd/>
        <w:spacing w:before="0" w:beforeAutospacing="0" w:after="0" w:afterAutospacing="0" w:line="600" w:lineRule="exact"/>
        <w:ind w:left="0" w:firstLine="640" w:firstLineChars="200"/>
        <w:rPr>
          <w:rFonts w:hint="default" w:ascii="Times New Roman" w:hAnsi="Times New Roman" w:eastAsia="方正仿宋_GBK" w:cs="Times New Roman"/>
          <w:kern w:val="2"/>
          <w:sz w:val="32"/>
          <w:szCs w:val="32"/>
          <w:lang w:eastAsia="zh-Hans"/>
        </w:rPr>
      </w:pPr>
      <w:r>
        <w:rPr>
          <w:rStyle w:val="10"/>
          <w:rFonts w:hint="default" w:ascii="Times New Roman" w:hAnsi="Times New Roman" w:eastAsia="方正楷体_GBK" w:cs="Times New Roman"/>
          <w:b w:val="0"/>
          <w:sz w:val="32"/>
          <w:szCs w:val="32"/>
          <w:lang w:eastAsia="zh-Hans"/>
        </w:rPr>
        <w:t>（</w:t>
      </w:r>
      <w:r>
        <w:rPr>
          <w:rStyle w:val="10"/>
          <w:rFonts w:hint="default" w:ascii="Times New Roman" w:hAnsi="Times New Roman" w:eastAsia="方正楷体_GBK" w:cs="Times New Roman"/>
          <w:b w:val="0"/>
          <w:sz w:val="32"/>
          <w:szCs w:val="32"/>
        </w:rPr>
        <w:t>九</w:t>
      </w:r>
      <w:r>
        <w:rPr>
          <w:rStyle w:val="10"/>
          <w:rFonts w:hint="default" w:ascii="Times New Roman" w:hAnsi="Times New Roman" w:eastAsia="方正楷体_GBK" w:cs="Times New Roman"/>
          <w:b w:val="0"/>
          <w:sz w:val="32"/>
          <w:szCs w:val="32"/>
          <w:lang w:eastAsia="zh-Hans"/>
        </w:rPr>
        <w:t>）项目支出：</w:t>
      </w:r>
      <w:r>
        <w:rPr>
          <w:rFonts w:hint="default" w:ascii="Times New Roman" w:hAnsi="Times New Roman" w:eastAsia="方正仿宋_GBK" w:cs="Times New Roman"/>
          <w:kern w:val="2"/>
          <w:sz w:val="32"/>
          <w:szCs w:val="32"/>
          <w:lang w:eastAsia="zh-Hans"/>
        </w:rPr>
        <w:t>指在基本支出之外为完成特定行政任务和事业发展目标所发生的支出。</w:t>
      </w:r>
    </w:p>
    <w:p>
      <w:pPr>
        <w:pStyle w:val="6"/>
        <w:keepNext w:val="0"/>
        <w:keepLines w:val="0"/>
        <w:pageBreakBefore w:val="0"/>
        <w:shd w:val="clear" w:color="auto"/>
        <w:kinsoku/>
        <w:overflowPunct/>
        <w:topLinePunct w:val="0"/>
        <w:autoSpaceDN/>
        <w:bidi w:val="0"/>
        <w:adjustRightInd/>
        <w:spacing w:before="0" w:beforeAutospacing="0" w:after="0" w:afterAutospacing="0" w:line="600" w:lineRule="exact"/>
        <w:ind w:left="0" w:firstLine="640" w:firstLineChars="200"/>
        <w:rPr>
          <w:rFonts w:hint="default" w:ascii="Times New Roman" w:hAnsi="Times New Roman" w:eastAsia="方正仿宋_GBK" w:cs="Times New Roman"/>
          <w:kern w:val="2"/>
          <w:sz w:val="32"/>
          <w:szCs w:val="32"/>
          <w:lang w:eastAsia="zh-Hans"/>
        </w:rPr>
      </w:pPr>
      <w:r>
        <w:rPr>
          <w:rStyle w:val="10"/>
          <w:rFonts w:hint="default" w:ascii="Times New Roman" w:hAnsi="Times New Roman" w:eastAsia="方正楷体_GBK" w:cs="Times New Roman"/>
          <w:b w:val="0"/>
          <w:sz w:val="32"/>
          <w:szCs w:val="32"/>
          <w:lang w:eastAsia="zh-Hans"/>
        </w:rPr>
        <w:t>（十）“三公”经费：</w:t>
      </w:r>
      <w:r>
        <w:rPr>
          <w:rFonts w:hint="default" w:ascii="Times New Roman" w:hAnsi="Times New Roman" w:eastAsia="方正仿宋_GBK" w:cs="Times New Roman"/>
          <w:kern w:val="2"/>
          <w:sz w:val="32"/>
          <w:szCs w:val="32"/>
          <w:lang w:eastAsia="zh-Hans"/>
        </w:rPr>
        <w:t>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keepNext w:val="0"/>
        <w:keepLines w:val="0"/>
        <w:pageBreakBefore w:val="0"/>
        <w:shd w:val="clear" w:color="auto"/>
        <w:kinsoku/>
        <w:overflowPunct/>
        <w:topLinePunct w:val="0"/>
        <w:autoSpaceDN/>
        <w:bidi w:val="0"/>
        <w:adjustRightInd/>
        <w:spacing w:before="0" w:beforeAutospacing="0" w:after="0" w:afterAutospacing="0" w:line="600" w:lineRule="exact"/>
        <w:ind w:left="0" w:firstLine="640" w:firstLineChars="200"/>
        <w:rPr>
          <w:rFonts w:hint="default" w:ascii="Times New Roman" w:hAnsi="Times New Roman" w:eastAsia="方正仿宋_GBK" w:cs="Times New Roman"/>
          <w:kern w:val="2"/>
          <w:sz w:val="32"/>
          <w:szCs w:val="32"/>
          <w:lang w:eastAsia="zh-Hans"/>
        </w:rPr>
      </w:pPr>
      <w:r>
        <w:rPr>
          <w:rStyle w:val="10"/>
          <w:rFonts w:hint="default" w:ascii="Times New Roman" w:hAnsi="Times New Roman" w:eastAsia="方正楷体_GBK" w:cs="Times New Roman"/>
          <w:b w:val="0"/>
          <w:sz w:val="32"/>
          <w:szCs w:val="32"/>
          <w:lang w:eastAsia="zh-Hans"/>
        </w:rPr>
        <w:t>（十</w:t>
      </w:r>
      <w:r>
        <w:rPr>
          <w:rStyle w:val="10"/>
          <w:rFonts w:hint="default" w:ascii="Times New Roman" w:hAnsi="Times New Roman" w:eastAsia="方正楷体_GBK" w:cs="Times New Roman"/>
          <w:b w:val="0"/>
          <w:sz w:val="32"/>
          <w:szCs w:val="32"/>
        </w:rPr>
        <w:t>一</w:t>
      </w:r>
      <w:r>
        <w:rPr>
          <w:rStyle w:val="10"/>
          <w:rFonts w:hint="default" w:ascii="Times New Roman" w:hAnsi="Times New Roman" w:eastAsia="方正楷体_GBK" w:cs="Times New Roman"/>
          <w:b w:val="0"/>
          <w:sz w:val="32"/>
          <w:szCs w:val="32"/>
          <w:lang w:eastAsia="zh-Hans"/>
        </w:rPr>
        <w:t>）工资福利支出（支出经济分类科目类级）：</w:t>
      </w:r>
      <w:r>
        <w:rPr>
          <w:rFonts w:hint="default" w:ascii="Times New Roman" w:hAnsi="Times New Roman" w:eastAsia="方正仿宋_GBK" w:cs="Times New Roman"/>
          <w:kern w:val="2"/>
          <w:sz w:val="32"/>
          <w:szCs w:val="32"/>
          <w:lang w:eastAsia="zh-Hans"/>
        </w:rPr>
        <w:t>反映单位开支的在职职工和编制外长期聘用人员的各类劳动报酬，以及为上述人员缴纳的各项社会保险费等。</w:t>
      </w:r>
    </w:p>
    <w:p>
      <w:pPr>
        <w:pStyle w:val="6"/>
        <w:keepNext w:val="0"/>
        <w:keepLines w:val="0"/>
        <w:pageBreakBefore w:val="0"/>
        <w:shd w:val="clear" w:color="auto"/>
        <w:kinsoku/>
        <w:overflowPunct/>
        <w:topLinePunct w:val="0"/>
        <w:autoSpaceDN/>
        <w:bidi w:val="0"/>
        <w:adjustRightInd/>
        <w:spacing w:before="0" w:beforeAutospacing="0" w:after="0" w:afterAutospacing="0" w:line="600" w:lineRule="exact"/>
        <w:ind w:left="0" w:firstLine="640" w:firstLineChars="200"/>
        <w:rPr>
          <w:rFonts w:hint="default" w:ascii="Times New Roman" w:hAnsi="Times New Roman" w:eastAsia="方正仿宋_GBK" w:cs="Times New Roman"/>
          <w:kern w:val="2"/>
          <w:sz w:val="32"/>
          <w:szCs w:val="32"/>
          <w:lang w:eastAsia="zh-Hans"/>
        </w:rPr>
      </w:pPr>
      <w:r>
        <w:rPr>
          <w:rStyle w:val="10"/>
          <w:rFonts w:hint="default" w:ascii="Times New Roman" w:hAnsi="Times New Roman" w:eastAsia="方正楷体_GBK" w:cs="Times New Roman"/>
          <w:b w:val="0"/>
          <w:sz w:val="32"/>
          <w:szCs w:val="32"/>
          <w:lang w:eastAsia="zh-Hans"/>
        </w:rPr>
        <w:t>（十</w:t>
      </w:r>
      <w:r>
        <w:rPr>
          <w:rStyle w:val="10"/>
          <w:rFonts w:hint="default" w:ascii="Times New Roman" w:hAnsi="Times New Roman" w:eastAsia="方正楷体_GBK" w:cs="Times New Roman"/>
          <w:b w:val="0"/>
          <w:sz w:val="32"/>
          <w:szCs w:val="32"/>
        </w:rPr>
        <w:t>二</w:t>
      </w:r>
      <w:r>
        <w:rPr>
          <w:rStyle w:val="10"/>
          <w:rFonts w:hint="default" w:ascii="Times New Roman" w:hAnsi="Times New Roman" w:eastAsia="方正楷体_GBK" w:cs="Times New Roman"/>
          <w:b w:val="0"/>
          <w:sz w:val="32"/>
          <w:szCs w:val="32"/>
          <w:lang w:eastAsia="zh-Hans"/>
        </w:rPr>
        <w:t>）商品和服务支出（支出经济分类科目类级）：</w:t>
      </w:r>
      <w:r>
        <w:rPr>
          <w:rFonts w:hint="default" w:ascii="Times New Roman" w:hAnsi="Times New Roman" w:eastAsia="方正仿宋_GBK" w:cs="Times New Roman"/>
          <w:kern w:val="2"/>
          <w:sz w:val="32"/>
          <w:szCs w:val="32"/>
          <w:lang w:eastAsia="zh-Hans"/>
        </w:rPr>
        <w:t>反映单位购买商品和服务的支出（不包括用于购置固定资产的支出、战略性和应急储备支出）。</w:t>
      </w:r>
    </w:p>
    <w:p>
      <w:pPr>
        <w:pStyle w:val="6"/>
        <w:keepNext w:val="0"/>
        <w:keepLines w:val="0"/>
        <w:pageBreakBefore w:val="0"/>
        <w:shd w:val="clear" w:color="auto"/>
        <w:kinsoku/>
        <w:overflowPunct/>
        <w:topLinePunct w:val="0"/>
        <w:autoSpaceDN/>
        <w:bidi w:val="0"/>
        <w:adjustRightInd/>
        <w:spacing w:before="0" w:beforeAutospacing="0" w:after="0" w:afterAutospacing="0" w:line="600" w:lineRule="exact"/>
        <w:ind w:left="0" w:firstLine="640" w:firstLineChars="200"/>
        <w:rPr>
          <w:rFonts w:hint="default" w:ascii="Times New Roman" w:hAnsi="Times New Roman" w:cs="Times New Roman"/>
          <w:sz w:val="32"/>
          <w:szCs w:val="32"/>
          <w:lang w:eastAsia="zh-Hans"/>
        </w:rPr>
      </w:pPr>
      <w:r>
        <w:rPr>
          <w:rStyle w:val="10"/>
          <w:rFonts w:hint="default" w:ascii="Times New Roman" w:hAnsi="Times New Roman" w:eastAsia="方正楷体_GBK" w:cs="Times New Roman"/>
          <w:b w:val="0"/>
          <w:sz w:val="32"/>
          <w:szCs w:val="32"/>
          <w:lang w:eastAsia="zh-Hans"/>
        </w:rPr>
        <w:t>（十</w:t>
      </w:r>
      <w:r>
        <w:rPr>
          <w:rStyle w:val="10"/>
          <w:rFonts w:hint="default" w:ascii="Times New Roman" w:hAnsi="Times New Roman" w:eastAsia="方正楷体_GBK" w:cs="Times New Roman"/>
          <w:b w:val="0"/>
          <w:sz w:val="32"/>
          <w:szCs w:val="32"/>
        </w:rPr>
        <w:t>三</w:t>
      </w:r>
      <w:r>
        <w:rPr>
          <w:rStyle w:val="10"/>
          <w:rFonts w:hint="default" w:ascii="Times New Roman" w:hAnsi="Times New Roman" w:eastAsia="方正楷体_GBK" w:cs="Times New Roman"/>
          <w:b w:val="0"/>
          <w:sz w:val="32"/>
          <w:szCs w:val="32"/>
          <w:lang w:eastAsia="zh-Hans"/>
        </w:rPr>
        <w:t>）对个人和家庭的补助（支出经济分类科目类级）：</w:t>
      </w:r>
      <w:r>
        <w:rPr>
          <w:rFonts w:hint="default" w:ascii="Times New Roman" w:hAnsi="Times New Roman" w:cs="Times New Roman"/>
          <w:sz w:val="32"/>
          <w:szCs w:val="32"/>
          <w:lang w:eastAsia="zh-Hans"/>
        </w:rPr>
        <w:t>反映用于对个人和家庭的补助支出。</w:t>
      </w:r>
    </w:p>
    <w:p>
      <w:pPr>
        <w:pStyle w:val="6"/>
        <w:keepNext w:val="0"/>
        <w:keepLines w:val="0"/>
        <w:pageBreakBefore w:val="0"/>
        <w:shd w:val="clear" w:color="auto"/>
        <w:kinsoku/>
        <w:overflowPunct/>
        <w:topLinePunct w:val="0"/>
        <w:autoSpaceDN/>
        <w:bidi w:val="0"/>
        <w:adjustRightInd/>
        <w:spacing w:before="0" w:beforeAutospacing="0" w:after="0" w:afterAutospacing="0" w:line="600" w:lineRule="exact"/>
        <w:ind w:left="0" w:firstLine="640" w:firstLineChars="200"/>
        <w:rPr>
          <w:rFonts w:hint="default" w:ascii="Times New Roman" w:hAnsi="Times New Roman" w:eastAsia="方正仿宋_GBK" w:cs="Times New Roman"/>
          <w:kern w:val="2"/>
          <w:sz w:val="32"/>
          <w:szCs w:val="32"/>
          <w:lang w:eastAsia="zh-Hans"/>
        </w:rPr>
      </w:pPr>
      <w:r>
        <w:rPr>
          <w:rStyle w:val="10"/>
          <w:rFonts w:hint="default" w:ascii="Times New Roman" w:hAnsi="Times New Roman" w:eastAsia="方正楷体_GBK" w:cs="Times New Roman"/>
          <w:b w:val="0"/>
          <w:sz w:val="32"/>
          <w:szCs w:val="32"/>
          <w:lang w:eastAsia="zh-Hans"/>
        </w:rPr>
        <w:t>（十</w:t>
      </w:r>
      <w:r>
        <w:rPr>
          <w:rStyle w:val="10"/>
          <w:rFonts w:hint="default" w:ascii="Times New Roman" w:hAnsi="Times New Roman" w:eastAsia="方正楷体_GBK" w:cs="Times New Roman"/>
          <w:b w:val="0"/>
          <w:sz w:val="32"/>
          <w:szCs w:val="32"/>
        </w:rPr>
        <w:t>四</w:t>
      </w:r>
      <w:r>
        <w:rPr>
          <w:rStyle w:val="10"/>
          <w:rFonts w:hint="default" w:ascii="Times New Roman" w:hAnsi="Times New Roman" w:eastAsia="方正楷体_GBK" w:cs="Times New Roman"/>
          <w:b w:val="0"/>
          <w:sz w:val="32"/>
          <w:szCs w:val="32"/>
          <w:lang w:eastAsia="zh-Hans"/>
        </w:rPr>
        <w:t>）其他资本性支出（支出经济分类科目类级）：</w:t>
      </w:r>
      <w:r>
        <w:rPr>
          <w:rFonts w:hint="default" w:ascii="Times New Roman" w:hAnsi="Times New Roman" w:eastAsia="方正仿宋_GBK" w:cs="Times New Roman"/>
          <w:kern w:val="2"/>
          <w:sz w:val="32"/>
          <w:szCs w:val="32"/>
          <w:lang w:eastAsia="zh-Hans"/>
        </w:rPr>
        <w:t>反映非各级发展与改革单位集中安排的用于购置固定资产、战略性和应急性储备、土地和无形资产，以及构建基础设施、大型修缮和财政支持企业更新改造所发生的支出。</w:t>
      </w:r>
    </w:p>
    <w:p>
      <w:pPr>
        <w:pStyle w:val="6"/>
        <w:keepNext w:val="0"/>
        <w:keepLines w:val="0"/>
        <w:pageBreakBefore w:val="0"/>
        <w:kinsoku/>
        <w:overflowPunct/>
        <w:topLinePunct w:val="0"/>
        <w:autoSpaceDN/>
        <w:bidi w:val="0"/>
        <w:adjustRightInd/>
        <w:spacing w:before="0" w:beforeAutospacing="0" w:after="0" w:afterAutospacing="0" w:line="600" w:lineRule="exact"/>
        <w:ind w:left="0" w:firstLine="640" w:firstLineChars="200"/>
        <w:rPr>
          <w:rStyle w:val="10"/>
          <w:rFonts w:hint="default" w:ascii="Times New Roman" w:hAnsi="Times New Roman" w:eastAsia="方正黑体_GBK" w:cs="Times New Roman"/>
          <w:b w:val="0"/>
          <w:sz w:val="32"/>
          <w:szCs w:val="32"/>
          <w:lang w:eastAsia="zh-Hans"/>
        </w:rPr>
      </w:pPr>
      <w:r>
        <w:rPr>
          <w:rStyle w:val="10"/>
          <w:rFonts w:hint="default" w:ascii="Times New Roman" w:hAnsi="Times New Roman" w:eastAsia="方正黑体_GBK" w:cs="Times New Roman"/>
          <w:b w:val="0"/>
          <w:sz w:val="32"/>
          <w:szCs w:val="32"/>
          <w:lang w:eastAsia="zh-Hans"/>
        </w:rPr>
        <w:t>七、决算公开联系方式及信息反馈渠道</w:t>
      </w:r>
    </w:p>
    <w:p>
      <w:pPr>
        <w:pStyle w:val="6"/>
        <w:keepNext w:val="0"/>
        <w:keepLines w:val="0"/>
        <w:pageBreakBefore w:val="0"/>
        <w:kinsoku/>
        <w:overflowPunct/>
        <w:topLinePunct w:val="0"/>
        <w:autoSpaceDN/>
        <w:bidi w:val="0"/>
        <w:adjustRightInd/>
        <w:spacing w:before="0" w:beforeAutospacing="0" w:after="0" w:afterAutospacing="0" w:line="600" w:lineRule="exact"/>
        <w:ind w:left="0" w:firstLine="640" w:firstLineChars="200"/>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本单位决算公开信息反馈和联系方式：</w:t>
      </w:r>
    </w:p>
    <w:p>
      <w:pPr>
        <w:pStyle w:val="6"/>
        <w:keepNext w:val="0"/>
        <w:keepLines w:val="0"/>
        <w:pageBreakBefore w:val="0"/>
        <w:kinsoku/>
        <w:overflowPunct/>
        <w:topLinePunct w:val="0"/>
        <w:autoSpaceDN/>
        <w:bidi w:val="0"/>
        <w:adjustRightInd/>
        <w:spacing w:before="0" w:beforeAutospacing="0" w:after="0" w:afterAutospacing="0" w:line="600" w:lineRule="exact"/>
        <w:ind w:left="0" w:firstLine="720" w:firstLineChars="225"/>
        <w:rPr>
          <w:rFonts w:hint="default" w:ascii="Times New Roman" w:hAnsi="Times New Roman" w:eastAsia="方正仿宋_GBK" w:cs="Times New Roman"/>
          <w:sz w:val="32"/>
          <w:szCs w:val="32"/>
        </w:rPr>
      </w:pPr>
      <w:r>
        <w:rPr>
          <w:rFonts w:hint="default" w:ascii="Times New Roman" w:hAnsi="Times New Roman" w:eastAsia="方正仿宋_GBK" w:cs="Times New Roman"/>
          <w:kern w:val="2"/>
          <w:sz w:val="32"/>
          <w:szCs w:val="32"/>
        </w:rPr>
        <w:t>孙英</w:t>
      </w:r>
      <w:r>
        <w:rPr>
          <w:rFonts w:hint="default" w:ascii="Times New Roman" w:hAnsi="Times New Roman" w:eastAsia="方正仿宋_GBK" w:cs="Times New Roman"/>
          <w:kern w:val="2"/>
          <w:sz w:val="32"/>
          <w:szCs w:val="32"/>
          <w:lang w:eastAsia="zh-Hans"/>
        </w:rPr>
        <w:t xml:space="preserve">      </w:t>
      </w:r>
      <w:r>
        <w:rPr>
          <w:rFonts w:hint="default" w:ascii="Times New Roman" w:hAnsi="Times New Roman" w:eastAsia="方正仿宋_GBK" w:cs="Times New Roman"/>
          <w:sz w:val="32"/>
          <w:szCs w:val="32"/>
        </w:rPr>
        <w:t>023-70719009</w:t>
      </w:r>
    </w:p>
    <w:p>
      <w:pPr>
        <w:pStyle w:val="6"/>
        <w:keepNext w:val="0"/>
        <w:keepLines w:val="0"/>
        <w:pageBreakBefore w:val="0"/>
        <w:kinsoku/>
        <w:overflowPunct/>
        <w:topLinePunct w:val="0"/>
        <w:autoSpaceDN/>
        <w:bidi w:val="0"/>
        <w:adjustRightInd/>
        <w:snapToGrid w:val="0"/>
        <w:spacing w:before="0" w:beforeAutospacing="0" w:after="0" w:afterAutospacing="0" w:line="600" w:lineRule="exact"/>
        <w:ind w:left="0" w:firstLine="642" w:firstLineChars="200"/>
        <w:jc w:val="both"/>
        <w:rPr>
          <w:rStyle w:val="10"/>
          <w:rFonts w:hint="default" w:ascii="Times New Roman" w:hAnsi="Times New Roman" w:eastAsia="方正仿宋_GBK" w:cs="Times New Roman"/>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sz w:val="21"/>
          <w:szCs w:val="21"/>
        </w:rPr>
      </w:pPr>
    </w:p>
    <w:tbl>
      <w:tblPr>
        <w:tblStyle w:val="7"/>
        <w:tblW w:w="5005" w:type="pct"/>
        <w:tblInd w:w="0" w:type="dxa"/>
        <w:tblLayout w:type="autofit"/>
        <w:tblCellMar>
          <w:top w:w="0" w:type="dxa"/>
          <w:left w:w="0" w:type="dxa"/>
          <w:bottom w:w="0" w:type="dxa"/>
          <w:right w:w="0" w:type="dxa"/>
        </w:tblCellMar>
      </w:tblPr>
      <w:tblGrid>
        <w:gridCol w:w="5122"/>
        <w:gridCol w:w="2020"/>
        <w:gridCol w:w="4809"/>
        <w:gridCol w:w="3442"/>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jc w:val="right"/>
              <w:rPr>
                <w:rFonts w:hint="default" w:ascii="Times New Roman" w:hAnsi="Times New Roman" w:cs="Times New Roman"/>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公开01表</w:t>
            </w:r>
          </w:p>
        </w:tc>
      </w:tr>
      <w:tr>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22"/>
                <w:szCs w:val="22"/>
              </w:rPr>
            </w:pPr>
            <w:r>
              <w:rPr>
                <w:rFonts w:hint="default" w:ascii="Times New Roman" w:hAnsi="Times New Roman" w:cs="Times New Roman"/>
                <w:sz w:val="20"/>
                <w:szCs w:val="20"/>
              </w:rPr>
              <w:t>公开单位：</w:t>
            </w:r>
            <w:r>
              <w:rPr>
                <w:rFonts w:hint="default" w:ascii="Times New Roman" w:hAnsi="Times New Roman" w:cs="Times New Roman"/>
                <w:sz w:val="20"/>
              </w:rPr>
              <w:t>重庆市丰都县图书馆</w:t>
            </w:r>
          </w:p>
        </w:tc>
        <w:tc>
          <w:tcPr>
            <w:tcW w:w="1562"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支出</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291.26</w:t>
            </w:r>
            <w:r>
              <w:rPr>
                <w:rFonts w:hint="default" w:ascii="Times New Roman" w:hAnsi="Times New Roman" w:cs="Times New Roman"/>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289.10</w:t>
            </w: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26.06</w:t>
            </w: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7.97</w:t>
            </w: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6.08</w:t>
            </w: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291.26</w:t>
            </w:r>
            <w:r>
              <w:rPr>
                <w:rFonts w:hint="default" w:ascii="Times New Roman" w:hAnsi="Times New Roman" w:cs="Times New Roman"/>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329.21</w:t>
            </w: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37.95</w:t>
            </w:r>
            <w:r>
              <w:rPr>
                <w:rFonts w:hint="default" w:ascii="Times New Roman" w:hAnsi="Times New Roman" w:cs="Times New Roman"/>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329.21</w:t>
            </w:r>
            <w:r>
              <w:rPr>
                <w:rFonts w:hint="default" w:ascii="Times New Roman" w:hAnsi="Times New Roman" w:cs="Times New Roman"/>
                <w:color w:val="000000"/>
                <w:sz w:val="20"/>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329.21</w:t>
            </w:r>
            <w:r>
              <w:rPr>
                <w:rFonts w:hint="default" w:ascii="Times New Roman" w:hAnsi="Times New Roman" w:cs="Times New Roman"/>
                <w:color w:val="000000"/>
                <w:sz w:val="20"/>
              </w:rPr>
              <w:t xml:space="preserve"> </w:t>
            </w:r>
          </w:p>
        </w:tc>
      </w:tr>
    </w:tbl>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收入决算表</w:t>
            </w:r>
          </w:p>
        </w:tc>
      </w:tr>
      <w:tr>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sz w:val="20"/>
              </w:rPr>
              <w:t>重庆市丰都县图书馆</w:t>
            </w:r>
          </w:p>
        </w:tc>
        <w:tc>
          <w:tcPr>
            <w:tcW w:w="401"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公开02表</w:t>
            </w:r>
          </w:p>
        </w:tc>
      </w:tr>
      <w:tr>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其他收入</w:t>
            </w:r>
          </w:p>
        </w:tc>
      </w:tr>
      <w:tr>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291.26</w:t>
            </w:r>
            <w:r>
              <w:rPr>
                <w:rFonts w:hint="default" w:ascii="Times New Roman" w:hAnsi="Times New Roman" w:cs="Times New Roman"/>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291.26</w:t>
            </w:r>
            <w:r>
              <w:rPr>
                <w:rFonts w:hint="default" w:ascii="Times New Roman" w:hAnsi="Times New Roman" w:cs="Times New Roman"/>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文化旅游体育与传媒支出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251.14</w:t>
            </w:r>
            <w:r>
              <w:rPr>
                <w:rFonts w:hint="default" w:ascii="Times New Roman" w:hAnsi="Times New Roman" w:cs="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251.14</w:t>
            </w:r>
            <w:r>
              <w:rPr>
                <w:rFonts w:hint="default" w:ascii="Times New Roman" w:hAnsi="Times New Roman" w:cs="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文化和旅游</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251.14</w:t>
            </w:r>
            <w:r>
              <w:rPr>
                <w:rFonts w:hint="default" w:ascii="Times New Roman" w:hAnsi="Times New Roman" w:cs="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251.14</w:t>
            </w:r>
            <w:r>
              <w:rPr>
                <w:rFonts w:hint="default" w:ascii="Times New Roman" w:hAnsi="Times New Roman" w:cs="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2070104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图书馆</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185.51</w:t>
            </w: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185.51</w:t>
            </w: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其他文化和旅游支出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65.63</w:t>
            </w: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65.63</w:t>
            </w: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26.06</w:t>
            </w:r>
            <w:r>
              <w:rPr>
                <w:rFonts w:hint="default" w:ascii="Times New Roman" w:hAnsi="Times New Roman" w:cs="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26.06</w:t>
            </w:r>
            <w:r>
              <w:rPr>
                <w:rFonts w:hint="default" w:ascii="Times New Roman" w:hAnsi="Times New Roman" w:cs="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26.06</w:t>
            </w:r>
            <w:r>
              <w:rPr>
                <w:rFonts w:hint="default" w:ascii="Times New Roman" w:hAnsi="Times New Roman" w:cs="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26.06</w:t>
            </w:r>
            <w:r>
              <w:rPr>
                <w:rFonts w:hint="default" w:ascii="Times New Roman" w:hAnsi="Times New Roman" w:cs="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10.20</w:t>
            </w: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10.20</w:t>
            </w: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9.65</w:t>
            </w: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9.65</w:t>
            </w: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6.21</w:t>
            </w: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6.21</w:t>
            </w: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7.97</w:t>
            </w:r>
            <w:r>
              <w:rPr>
                <w:rFonts w:hint="default" w:ascii="Times New Roman" w:hAnsi="Times New Roman" w:cs="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7.97</w:t>
            </w:r>
            <w:r>
              <w:rPr>
                <w:rFonts w:hint="default" w:ascii="Times New Roman" w:hAnsi="Times New Roman" w:cs="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7.97</w:t>
            </w:r>
            <w:r>
              <w:rPr>
                <w:rFonts w:hint="default" w:ascii="Times New Roman" w:hAnsi="Times New Roman" w:cs="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7.97</w:t>
            </w:r>
            <w:r>
              <w:rPr>
                <w:rFonts w:hint="default" w:ascii="Times New Roman" w:hAnsi="Times New Roman" w:cs="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4.66</w:t>
            </w: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4.66</w:t>
            </w: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3.31</w:t>
            </w: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3.31</w:t>
            </w: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6.08</w:t>
            </w:r>
            <w:r>
              <w:rPr>
                <w:rFonts w:hint="default" w:ascii="Times New Roman" w:hAnsi="Times New Roman" w:cs="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6.08</w:t>
            </w:r>
            <w:r>
              <w:rPr>
                <w:rFonts w:hint="default" w:ascii="Times New Roman" w:hAnsi="Times New Roman" w:cs="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6.08</w:t>
            </w:r>
            <w:r>
              <w:rPr>
                <w:rFonts w:hint="default" w:ascii="Times New Roman" w:hAnsi="Times New Roman" w:cs="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6.08</w:t>
            </w:r>
            <w:r>
              <w:rPr>
                <w:rFonts w:hint="default" w:ascii="Times New Roman" w:hAnsi="Times New Roman" w:cs="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6.08</w:t>
            </w: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6.08</w:t>
            </w: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bl>
    <w:p>
      <w:pPr>
        <w:keepNext w:val="0"/>
        <w:keepLines w:val="0"/>
        <w:pageBreakBefore w:val="0"/>
        <w:kinsoku/>
        <w:overflowPunct/>
        <w:topLinePunct w:val="0"/>
        <w:autoSpaceDN/>
        <w:bidi w:val="0"/>
        <w:adjustRightInd/>
        <w:spacing w:line="600" w:lineRule="exact"/>
        <w:ind w:left="0" w:hanging="600" w:hangingChars="300"/>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备注：1.本表反映单位本年度取得的各项收入情况。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2.本套报表金额单位转换时可能存在尾数误差。</w:t>
      </w:r>
    </w:p>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sz w:val="20"/>
          <w:szCs w:val="20"/>
        </w:rPr>
      </w:pPr>
      <w:r>
        <w:rPr>
          <w:rFonts w:hint="default" w:ascii="Times New Roman" w:hAnsi="Times New Roman" w:cs="Times New Roman"/>
          <w:sz w:val="20"/>
          <w:szCs w:val="20"/>
        </w:rPr>
        <w:br w:type="page"/>
      </w:r>
    </w:p>
    <w:tbl>
      <w:tblPr>
        <w:tblStyle w:val="7"/>
        <w:tblW w:w="5000" w:type="pct"/>
        <w:tblInd w:w="0" w:type="dxa"/>
        <w:tblLayout w:type="autofit"/>
        <w:tblCellMar>
          <w:top w:w="0" w:type="dxa"/>
          <w:left w:w="0" w:type="dxa"/>
          <w:bottom w:w="0" w:type="dxa"/>
          <w:right w:w="0" w:type="dxa"/>
        </w:tblCellMar>
      </w:tblPr>
      <w:tblGrid>
        <w:gridCol w:w="1802"/>
        <w:gridCol w:w="3355"/>
        <w:gridCol w:w="1701"/>
        <w:gridCol w:w="1701"/>
        <w:gridCol w:w="1701"/>
        <w:gridCol w:w="1685"/>
        <w:gridCol w:w="1685"/>
        <w:gridCol w:w="1748"/>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支出决算表</w:t>
            </w:r>
          </w:p>
        </w:tc>
      </w:tr>
      <w:tr>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rPr>
              <w:t xml:space="preserve">重庆市丰都县图书馆 </w:t>
            </w:r>
          </w:p>
        </w:tc>
        <w:tc>
          <w:tcPr>
            <w:tcW w:w="55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公开03表</w:t>
            </w:r>
          </w:p>
        </w:tc>
      </w:tr>
      <w:tr>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329.21</w:t>
            </w:r>
            <w:r>
              <w:rPr>
                <w:rFonts w:hint="default" w:ascii="Times New Roman" w:hAnsi="Times New Roman" w:cs="Times New Roman"/>
                <w:b/>
                <w:color w:val="000000"/>
                <w:sz w:val="20"/>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166.36</w:t>
            </w:r>
            <w:r>
              <w:rPr>
                <w:rFonts w:hint="default" w:ascii="Times New Roman" w:hAnsi="Times New Roman" w:cs="Times New Roman"/>
                <w:b/>
                <w:color w:val="000000"/>
                <w:sz w:val="20"/>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162.85</w:t>
            </w:r>
            <w:r>
              <w:rPr>
                <w:rFonts w:hint="default" w:ascii="Times New Roman" w:hAnsi="Times New Roman" w:cs="Times New Roman"/>
                <w:b/>
                <w:color w:val="000000"/>
                <w:sz w:val="20"/>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文化旅游体育与传媒支出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289.10</w:t>
            </w:r>
            <w:r>
              <w:rPr>
                <w:rFonts w:hint="default" w:ascii="Times New Roman" w:hAnsi="Times New Roman" w:cs="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126.25</w:t>
            </w:r>
            <w:r>
              <w:rPr>
                <w:rFonts w:hint="default" w:ascii="Times New Roman" w:hAnsi="Times New Roman" w:cs="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162.85</w:t>
            </w:r>
            <w:r>
              <w:rPr>
                <w:rFonts w:hint="default" w:ascii="Times New Roman" w:hAnsi="Times New Roman" w:cs="Times New Roman"/>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文化和旅游</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276.65</w:t>
            </w:r>
            <w:r>
              <w:rPr>
                <w:rFonts w:hint="default" w:ascii="Times New Roman" w:hAnsi="Times New Roman" w:cs="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126.25</w:t>
            </w:r>
            <w:r>
              <w:rPr>
                <w:rFonts w:hint="default" w:ascii="Times New Roman" w:hAnsi="Times New Roman" w:cs="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150.40</w:t>
            </w:r>
            <w:r>
              <w:rPr>
                <w:rFonts w:hint="default" w:ascii="Times New Roman" w:hAnsi="Times New Roman" w:cs="Times New Roman"/>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2070104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图书馆</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185.51</w:t>
            </w: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126.25</w:t>
            </w: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59.26</w:t>
            </w: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其他文化和旅游支出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91.14</w:t>
            </w: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91.14</w:t>
            </w: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其他文化旅游体育与传媒支出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12.44</w:t>
            </w:r>
            <w:r>
              <w:rPr>
                <w:rFonts w:hint="default" w:ascii="Times New Roman" w:hAnsi="Times New Roman" w:cs="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12.44</w:t>
            </w:r>
            <w:r>
              <w:rPr>
                <w:rFonts w:hint="default" w:ascii="Times New Roman" w:hAnsi="Times New Roman" w:cs="Times New Roman"/>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其他文化旅游体育与传媒支出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12.44</w:t>
            </w: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12.44</w:t>
            </w: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26.06</w:t>
            </w:r>
            <w:r>
              <w:rPr>
                <w:rFonts w:hint="default" w:ascii="Times New Roman" w:hAnsi="Times New Roman" w:cs="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26.06</w:t>
            </w:r>
            <w:r>
              <w:rPr>
                <w:rFonts w:hint="default" w:ascii="Times New Roman" w:hAnsi="Times New Roman" w:cs="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26.06</w:t>
            </w:r>
            <w:r>
              <w:rPr>
                <w:rFonts w:hint="default" w:ascii="Times New Roman" w:hAnsi="Times New Roman" w:cs="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26.06</w:t>
            </w:r>
            <w:r>
              <w:rPr>
                <w:rFonts w:hint="default" w:ascii="Times New Roman" w:hAnsi="Times New Roman" w:cs="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10.20</w:t>
            </w: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10.20</w:t>
            </w: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9.65</w:t>
            </w: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9.65</w:t>
            </w: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6.21</w:t>
            </w: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6.21</w:t>
            </w: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7.97</w:t>
            </w:r>
            <w:r>
              <w:rPr>
                <w:rFonts w:hint="default" w:ascii="Times New Roman" w:hAnsi="Times New Roman" w:cs="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7.97</w:t>
            </w:r>
            <w:r>
              <w:rPr>
                <w:rFonts w:hint="default" w:ascii="Times New Roman" w:hAnsi="Times New Roman" w:cs="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7.97</w:t>
            </w:r>
            <w:r>
              <w:rPr>
                <w:rFonts w:hint="default" w:ascii="Times New Roman" w:hAnsi="Times New Roman" w:cs="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7.97</w:t>
            </w:r>
            <w:r>
              <w:rPr>
                <w:rFonts w:hint="default" w:ascii="Times New Roman" w:hAnsi="Times New Roman" w:cs="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4.66</w:t>
            </w: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4.66</w:t>
            </w: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3.31</w:t>
            </w: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3.31</w:t>
            </w: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6.08</w:t>
            </w:r>
            <w:r>
              <w:rPr>
                <w:rFonts w:hint="default" w:ascii="Times New Roman" w:hAnsi="Times New Roman" w:cs="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6.08</w:t>
            </w:r>
            <w:r>
              <w:rPr>
                <w:rFonts w:hint="default" w:ascii="Times New Roman" w:hAnsi="Times New Roman" w:cs="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6.08</w:t>
            </w:r>
            <w:r>
              <w:rPr>
                <w:rFonts w:hint="default" w:ascii="Times New Roman" w:hAnsi="Times New Roman" w:cs="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6.08</w:t>
            </w:r>
            <w:r>
              <w:rPr>
                <w:rFonts w:hint="default" w:ascii="Times New Roman" w:hAnsi="Times New Roman" w:cs="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6.08</w:t>
            </w: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6.08</w:t>
            </w: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bl>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备注：1.本表反映单位本年度各项支出情况。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sz w:val="21"/>
          <w:szCs w:val="21"/>
        </w:rPr>
      </w:pPr>
      <w:r>
        <w:rPr>
          <w:rFonts w:hint="default" w:ascii="Times New Roman" w:hAnsi="Times New Roman" w:cs="Times New Roman"/>
          <w:sz w:val="21"/>
          <w:szCs w:val="21"/>
        </w:rPr>
        <w:br w:type="page"/>
      </w:r>
    </w:p>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sz w:val="21"/>
          <w:szCs w:val="21"/>
        </w:rPr>
      </w:pPr>
    </w:p>
    <w:tbl>
      <w:tblPr>
        <w:tblStyle w:val="7"/>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18"/>
                <w:szCs w:val="18"/>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rPr>
              <w:t>重庆市丰都县图书馆</w:t>
            </w:r>
          </w:p>
        </w:tc>
        <w:tc>
          <w:tcPr>
            <w:tcW w:w="57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公开04表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291.26</w:t>
            </w:r>
            <w:r>
              <w:rPr>
                <w:rFonts w:hint="default" w:ascii="Times New Roman" w:hAnsi="Times New Roman" w:cs="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289.10</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289.10</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26.06</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26.06</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7.97</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7.97</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6.08</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6.08</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291.26</w:t>
            </w:r>
            <w:r>
              <w:rPr>
                <w:rFonts w:hint="default" w:ascii="Times New Roman" w:hAnsi="Times New Roman" w:cs="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329.21</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329.21</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37.95</w:t>
            </w:r>
            <w:r>
              <w:rPr>
                <w:rFonts w:hint="default" w:ascii="Times New Roman" w:hAnsi="Times New Roman" w:cs="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37.95</w:t>
            </w:r>
            <w:r>
              <w:rPr>
                <w:rFonts w:hint="default" w:ascii="Times New Roman" w:hAnsi="Times New Roman" w:cs="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rPr>
                <w:rFonts w:hint="default" w:ascii="Times New Roman" w:hAnsi="Times New Roman" w:cs="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rPr>
                <w:rFonts w:hint="default" w:ascii="Times New Roman" w:hAnsi="Times New Roman" w:cs="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329.21</w:t>
            </w:r>
            <w:r>
              <w:rPr>
                <w:rFonts w:hint="default" w:ascii="Times New Roman" w:hAnsi="Times New Roman" w:cs="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329.21</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329.21</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bl>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备注：1.本表反映单位本年度一般公共预算财政拨款、政府性基金预算财政拨款及国有资本经营预算财政拨款的总收支和年末结转结余情况。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7"/>
        <w:tblW w:w="5000" w:type="pct"/>
        <w:tblInd w:w="0" w:type="dxa"/>
        <w:tblLayout w:type="autofit"/>
        <w:tblCellMar>
          <w:top w:w="0" w:type="dxa"/>
          <w:left w:w="0" w:type="dxa"/>
          <w:bottom w:w="0" w:type="dxa"/>
          <w:right w:w="0" w:type="dxa"/>
        </w:tblCellMar>
      </w:tblPr>
      <w:tblGrid>
        <w:gridCol w:w="1857"/>
        <w:gridCol w:w="3549"/>
        <w:gridCol w:w="3319"/>
        <w:gridCol w:w="3319"/>
        <w:gridCol w:w="3334"/>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rPr>
              <w:t>重庆市丰都县图书馆</w:t>
            </w:r>
          </w:p>
        </w:tc>
        <w:tc>
          <w:tcPr>
            <w:tcW w:w="107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公开05表</w:t>
            </w:r>
          </w:p>
        </w:tc>
      </w:tr>
      <w:tr>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329.21</w:t>
            </w:r>
            <w:r>
              <w:rPr>
                <w:rFonts w:hint="default" w:ascii="Times New Roman" w:hAnsi="Times New Roman" w:cs="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166.36</w:t>
            </w:r>
            <w:r>
              <w:rPr>
                <w:rFonts w:hint="default" w:ascii="Times New Roman" w:hAnsi="Times New Roman" w:cs="Times New Roman"/>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162.85</w:t>
            </w:r>
            <w:r>
              <w:rPr>
                <w:rFonts w:hint="default" w:ascii="Times New Roman" w:hAnsi="Times New Roman" w:cs="Times New Roman"/>
                <w:b/>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文化旅游体育与传媒支出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289.10</w:t>
            </w:r>
            <w:r>
              <w:rPr>
                <w:rFonts w:hint="default" w:ascii="Times New Roman" w:hAnsi="Times New Roman" w:cs="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126.25</w:t>
            </w:r>
            <w:r>
              <w:rPr>
                <w:rFonts w:hint="default" w:ascii="Times New Roman" w:hAnsi="Times New Roman" w:cs="Times New Roman"/>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162.85</w:t>
            </w:r>
            <w:r>
              <w:rPr>
                <w:rFonts w:hint="default" w:ascii="Times New Roman" w:hAnsi="Times New Roman" w:cs="Times New Roman"/>
                <w:b/>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文化和旅游</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276.65</w:t>
            </w:r>
            <w:r>
              <w:rPr>
                <w:rFonts w:hint="default" w:ascii="Times New Roman" w:hAnsi="Times New Roman" w:cs="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126.25</w:t>
            </w:r>
            <w:r>
              <w:rPr>
                <w:rFonts w:hint="default" w:ascii="Times New Roman" w:hAnsi="Times New Roman" w:cs="Times New Roman"/>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150.40</w:t>
            </w:r>
            <w:r>
              <w:rPr>
                <w:rFonts w:hint="default" w:ascii="Times New Roman" w:hAnsi="Times New Roman" w:cs="Times New Roman"/>
                <w:b/>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2070104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图书馆</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185.51</w:t>
            </w:r>
            <w:r>
              <w:rPr>
                <w:rFonts w:hint="default" w:ascii="Times New Roman" w:hAnsi="Times New Roman" w:cs="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126.25</w:t>
            </w:r>
            <w:r>
              <w:rPr>
                <w:rFonts w:hint="default" w:ascii="Times New Roman" w:hAnsi="Times New Roman" w:cs="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59.26</w:t>
            </w: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其他文化和旅游支出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91.14</w:t>
            </w:r>
            <w:r>
              <w:rPr>
                <w:rFonts w:hint="default" w:ascii="Times New Roman" w:hAnsi="Times New Roman" w:cs="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91.14</w:t>
            </w: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其他文化旅游体育与传媒支出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12.44</w:t>
            </w:r>
            <w:r>
              <w:rPr>
                <w:rFonts w:hint="default" w:ascii="Times New Roman" w:hAnsi="Times New Roman" w:cs="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12.44</w:t>
            </w:r>
            <w:r>
              <w:rPr>
                <w:rFonts w:hint="default" w:ascii="Times New Roman" w:hAnsi="Times New Roman" w:cs="Times New Roman"/>
                <w:b/>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其他文化旅游体育与传媒支出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12.44</w:t>
            </w:r>
            <w:r>
              <w:rPr>
                <w:rFonts w:hint="default" w:ascii="Times New Roman" w:hAnsi="Times New Roman" w:cs="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12.44</w:t>
            </w: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26.06</w:t>
            </w:r>
            <w:r>
              <w:rPr>
                <w:rFonts w:hint="default" w:ascii="Times New Roman" w:hAnsi="Times New Roman" w:cs="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26.06</w:t>
            </w:r>
            <w:r>
              <w:rPr>
                <w:rFonts w:hint="default" w:ascii="Times New Roman" w:hAnsi="Times New Roman" w:cs="Times New Roman"/>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26.06</w:t>
            </w:r>
            <w:r>
              <w:rPr>
                <w:rFonts w:hint="default" w:ascii="Times New Roman" w:hAnsi="Times New Roman" w:cs="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26.06</w:t>
            </w:r>
            <w:r>
              <w:rPr>
                <w:rFonts w:hint="default" w:ascii="Times New Roman" w:hAnsi="Times New Roman" w:cs="Times New Roman"/>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10.20</w:t>
            </w:r>
            <w:r>
              <w:rPr>
                <w:rFonts w:hint="default" w:ascii="Times New Roman" w:hAnsi="Times New Roman" w:cs="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10.20</w:t>
            </w:r>
            <w:r>
              <w:rPr>
                <w:rFonts w:hint="default" w:ascii="Times New Roman" w:hAnsi="Times New Roman" w:cs="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9.65</w:t>
            </w:r>
            <w:r>
              <w:rPr>
                <w:rFonts w:hint="default" w:ascii="Times New Roman" w:hAnsi="Times New Roman" w:cs="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9.65</w:t>
            </w:r>
            <w:r>
              <w:rPr>
                <w:rFonts w:hint="default" w:ascii="Times New Roman" w:hAnsi="Times New Roman" w:cs="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6.21</w:t>
            </w:r>
            <w:r>
              <w:rPr>
                <w:rFonts w:hint="default" w:ascii="Times New Roman" w:hAnsi="Times New Roman" w:cs="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6.21</w:t>
            </w:r>
            <w:r>
              <w:rPr>
                <w:rFonts w:hint="default" w:ascii="Times New Roman" w:hAnsi="Times New Roman" w:cs="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7.97</w:t>
            </w:r>
            <w:r>
              <w:rPr>
                <w:rFonts w:hint="default" w:ascii="Times New Roman" w:hAnsi="Times New Roman" w:cs="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7.97</w:t>
            </w:r>
            <w:r>
              <w:rPr>
                <w:rFonts w:hint="default" w:ascii="Times New Roman" w:hAnsi="Times New Roman" w:cs="Times New Roman"/>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7.97</w:t>
            </w:r>
            <w:r>
              <w:rPr>
                <w:rFonts w:hint="default" w:ascii="Times New Roman" w:hAnsi="Times New Roman" w:cs="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7.97</w:t>
            </w:r>
            <w:r>
              <w:rPr>
                <w:rFonts w:hint="default" w:ascii="Times New Roman" w:hAnsi="Times New Roman" w:cs="Times New Roman"/>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4.66</w:t>
            </w:r>
            <w:r>
              <w:rPr>
                <w:rFonts w:hint="default" w:ascii="Times New Roman" w:hAnsi="Times New Roman" w:cs="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4.66</w:t>
            </w:r>
            <w:r>
              <w:rPr>
                <w:rFonts w:hint="default" w:ascii="Times New Roman" w:hAnsi="Times New Roman" w:cs="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3.31</w:t>
            </w:r>
            <w:r>
              <w:rPr>
                <w:rFonts w:hint="default" w:ascii="Times New Roman" w:hAnsi="Times New Roman" w:cs="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3.31</w:t>
            </w:r>
            <w:r>
              <w:rPr>
                <w:rFonts w:hint="default" w:ascii="Times New Roman" w:hAnsi="Times New Roman" w:cs="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6.08</w:t>
            </w:r>
            <w:r>
              <w:rPr>
                <w:rFonts w:hint="default" w:ascii="Times New Roman" w:hAnsi="Times New Roman" w:cs="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6.08</w:t>
            </w:r>
            <w:r>
              <w:rPr>
                <w:rFonts w:hint="default" w:ascii="Times New Roman" w:hAnsi="Times New Roman" w:cs="Times New Roman"/>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6.08</w:t>
            </w:r>
            <w:r>
              <w:rPr>
                <w:rFonts w:hint="default" w:ascii="Times New Roman" w:hAnsi="Times New Roman" w:cs="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6.08</w:t>
            </w:r>
            <w:r>
              <w:rPr>
                <w:rFonts w:hint="default" w:ascii="Times New Roman" w:hAnsi="Times New Roman" w:cs="Times New Roman"/>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6.08</w:t>
            </w:r>
            <w:r>
              <w:rPr>
                <w:rFonts w:hint="default" w:ascii="Times New Roman" w:hAnsi="Times New Roman" w:cs="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6.08</w:t>
            </w:r>
            <w:r>
              <w:rPr>
                <w:rFonts w:hint="default" w:ascii="Times New Roman" w:hAnsi="Times New Roman" w:cs="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bl>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sz w:val="21"/>
          <w:szCs w:val="21"/>
        </w:rPr>
      </w:pPr>
      <w:r>
        <w:rPr>
          <w:rFonts w:hint="default" w:ascii="Times New Roman" w:hAnsi="Times New Roman" w:cs="Times New Roman"/>
          <w:sz w:val="20"/>
          <w:szCs w:val="20"/>
        </w:rPr>
        <w:t>备注：1.本表反映单位本年度一般公共预算财政拨款支出情况。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p>
    <w:p>
      <w:pPr>
        <w:keepNext w:val="0"/>
        <w:keepLines w:val="0"/>
        <w:pageBreakBefore w:val="0"/>
        <w:kinsoku/>
        <w:overflowPunct/>
        <w:topLinePunct w:val="0"/>
        <w:autoSpaceDN/>
        <w:bidi w:val="0"/>
        <w:adjustRightInd/>
        <w:spacing w:line="600" w:lineRule="exact"/>
        <w:ind w:left="0" w:firstLine="630" w:firstLineChars="300"/>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7"/>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18"/>
                <w:szCs w:val="18"/>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rPr>
              <w:t>重庆市丰都县图书馆</w:t>
            </w:r>
          </w:p>
        </w:tc>
        <w:tc>
          <w:tcPr>
            <w:tcW w:w="62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公开06表</w:t>
            </w:r>
          </w:p>
        </w:tc>
      </w:tr>
      <w:tr>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w:t>
            </w:r>
          </w:p>
        </w:tc>
      </w:tr>
      <w:tr>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经济分类科目（按“款”级经济分类科目）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经济分类科目（按“款”级经济分类科目）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经济分类科目（按“款”级经济分类科目）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r>
      <w:tr>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b/>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136.40</w:t>
            </w: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23.15</w:t>
            </w: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29.30</w:t>
            </w: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2.21</w:t>
            </w: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1.45</w:t>
            </w: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72.35</w:t>
            </w: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0.45</w:t>
            </w: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10.20</w:t>
            </w: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1.87</w:t>
            </w: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9.65</w:t>
            </w: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0.04</w:t>
            </w: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4.66</w:t>
            </w: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0.36</w:t>
            </w: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1.43</w:t>
            </w: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1.65</w:t>
            </w: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6.08</w:t>
            </w: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1.28</w:t>
            </w: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0.14</w:t>
            </w: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2.72</w:t>
            </w: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6.81</w:t>
            </w: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0.02</w:t>
            </w: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6.21</w:t>
            </w: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1.26</w:t>
            </w: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0.60</w:t>
            </w: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5.75</w:t>
            </w: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1.01</w:t>
            </w: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5.67</w:t>
            </w: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val="0"/>
              <w:overflowPunct/>
              <w:topLinePunct w:val="0"/>
              <w:autoSpaceDN/>
              <w:bidi w:val="0"/>
              <w:adjustRightInd/>
              <w:spacing w:line="600" w:lineRule="exact"/>
              <w:ind w:left="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143.21</w:t>
            </w:r>
            <w:r>
              <w:rPr>
                <w:rFonts w:hint="default" w:ascii="Times New Roman" w:hAnsi="Times New Roman" w:cs="Times New Roman"/>
                <w:color w:val="000000"/>
                <w:sz w:val="18"/>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23.15</w:t>
            </w:r>
            <w:r>
              <w:rPr>
                <w:rFonts w:hint="default" w:ascii="Times New Roman" w:hAnsi="Times New Roman" w:cs="Times New Roman"/>
                <w:color w:val="000000"/>
                <w:sz w:val="18"/>
              </w:rPr>
              <w:t xml:space="preserve"> </w:t>
            </w:r>
          </w:p>
        </w:tc>
      </w:tr>
    </w:tbl>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备注：1.本表反映单位本年度一般公共预算财政拨款基本支出明细情况。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7"/>
        <w:tblW w:w="5000" w:type="pct"/>
        <w:tblInd w:w="0" w:type="dxa"/>
        <w:tblLayout w:type="autofit"/>
        <w:tblCellMar>
          <w:top w:w="0" w:type="dxa"/>
          <w:left w:w="0" w:type="dxa"/>
          <w:bottom w:w="0" w:type="dxa"/>
          <w:right w:w="0" w:type="dxa"/>
        </w:tblCellMar>
      </w:tblPr>
      <w:tblGrid>
        <w:gridCol w:w="1854"/>
        <w:gridCol w:w="3088"/>
        <w:gridCol w:w="1707"/>
        <w:gridCol w:w="1707"/>
        <w:gridCol w:w="1707"/>
        <w:gridCol w:w="1707"/>
        <w:gridCol w:w="1772"/>
        <w:gridCol w:w="1836"/>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rPr>
              <w:t>重庆市丰都县图书馆</w:t>
            </w:r>
          </w:p>
        </w:tc>
        <w:tc>
          <w:tcPr>
            <w:tcW w:w="55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公开07表</w:t>
            </w:r>
          </w:p>
        </w:tc>
      </w:tr>
      <w:tr>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年末结转和结余</w:t>
            </w:r>
          </w:p>
        </w:tc>
      </w:tr>
      <w:tr>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rPr>
              <w:t xml:space="preserve"> </w:t>
            </w:r>
          </w:p>
        </w:tc>
      </w:tr>
    </w:tbl>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sz w:val="21"/>
          <w:szCs w:val="21"/>
        </w:rPr>
      </w:pPr>
      <w:r>
        <w:rPr>
          <w:rFonts w:hint="default" w:ascii="Times New Roman" w:hAnsi="Times New Roman" w:cs="Times New Roman"/>
          <w:sz w:val="20"/>
          <w:szCs w:val="20"/>
        </w:rPr>
        <w:t>备注：本表反映单位本年度政府性基金预算财政拨款收入支出及结转和结余情况。本单位无政府性基金收支，故本表无数据。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7"/>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rPr>
              <w:t>重庆市丰都县图书馆</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公开08表</w:t>
            </w:r>
          </w:p>
        </w:tc>
      </w:tr>
      <w:tr>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rPr>
                <w:rFonts w:hint="default" w:ascii="Times New Roman" w:hAnsi="Times New Roman" w:cs="Times New Roman"/>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rPr>
              <w:t xml:space="preserve"> </w:t>
            </w:r>
          </w:p>
        </w:tc>
      </w:tr>
    </w:tbl>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sz w:val="21"/>
          <w:szCs w:val="21"/>
        </w:rPr>
      </w:pPr>
      <w:r>
        <w:rPr>
          <w:rFonts w:hint="default" w:ascii="Times New Roman" w:hAnsi="Times New Roman" w:cs="Times New Roman"/>
          <w:sz w:val="20"/>
          <w:szCs w:val="20"/>
        </w:rPr>
        <w:t>备注：本表反映单位本年度国有资本经营预算财政拨款支出情况。本单位无国有资本经营收支，故本表无数据。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7"/>
        <w:tblW w:w="4877" w:type="pct"/>
        <w:tblInd w:w="0" w:type="dxa"/>
        <w:tblLayout w:type="fixed"/>
        <w:tblCellMar>
          <w:top w:w="0" w:type="dxa"/>
          <w:left w:w="170" w:type="dxa"/>
          <w:bottom w:w="0" w:type="dxa"/>
          <w:right w:w="170" w:type="dxa"/>
        </w:tblCellMar>
      </w:tblPr>
      <w:tblGrid>
        <w:gridCol w:w="4041"/>
        <w:gridCol w:w="2166"/>
        <w:gridCol w:w="2115"/>
        <w:gridCol w:w="4524"/>
        <w:gridCol w:w="2154"/>
      </w:tblGrid>
      <w:tr>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机构运行信息表</w:t>
            </w:r>
          </w:p>
        </w:tc>
      </w:tr>
      <w:tr>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jc w:val="right"/>
              <w:rPr>
                <w:rFonts w:hint="default" w:ascii="Times New Roman" w:hAnsi="Times New Roman" w:cs="Times New Roman"/>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公开09表</w:t>
            </w:r>
          </w:p>
        </w:tc>
      </w:tr>
      <w:tr>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rPr>
              <w:t>重庆市丰都县图书馆</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jc w:val="right"/>
              <w:rPr>
                <w:rFonts w:hint="default" w:ascii="Times New Roman" w:hAnsi="Times New Roman" w:cs="Times New Roman"/>
                <w:color w:val="000000"/>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决算数</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1.01</w:t>
            </w:r>
            <w:r>
              <w:rPr>
                <w:rFonts w:hint="default" w:ascii="Times New Roman" w:hAnsi="Times New Roman" w:cs="Times New Roman"/>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1.01</w:t>
            </w:r>
            <w:r>
              <w:rPr>
                <w:rFonts w:hint="default" w:ascii="Times New Roman" w:hAnsi="Times New Roman" w:cs="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1.01</w:t>
            </w:r>
            <w:r>
              <w:rPr>
                <w:rFonts w:hint="default" w:ascii="Times New Roman" w:hAnsi="Times New Roman" w:cs="Times New Roman"/>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1.01</w:t>
            </w:r>
            <w:r>
              <w:rPr>
                <w:rFonts w:hint="default" w:ascii="Times New Roman" w:hAnsi="Times New Roman" w:cs="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1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1.01</w:t>
            </w:r>
            <w:r>
              <w:rPr>
                <w:rFonts w:hint="default" w:ascii="Times New Roman" w:hAnsi="Times New Roman" w:cs="Times New Roman"/>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1.01</w:t>
            </w:r>
            <w:r>
              <w:rPr>
                <w:rFonts w:hint="default" w:ascii="Times New Roman" w:hAnsi="Times New Roman" w:cs="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1</w:t>
            </w:r>
            <w:r>
              <w:rPr>
                <w:rFonts w:hint="default" w:ascii="Times New Roman" w:hAnsi="Times New Roman" w:cs="Times New Roman"/>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1</w:t>
            </w:r>
            <w:r>
              <w:rPr>
                <w:rFonts w:hint="default" w:ascii="Times New Roman" w:hAnsi="Times New Roman" w:cs="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r>
      <w:tr>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1.24</w:t>
            </w:r>
            <w:r>
              <w:rPr>
                <w:rFonts w:hint="default" w:ascii="Times New Roman" w:hAnsi="Times New Roman" w:cs="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jc w:val="right"/>
              <w:rPr>
                <w:rFonts w:hint="default" w:ascii="Times New Roman" w:hAnsi="Times New Roman" w:cs="Times New Roman"/>
                <w:color w:val="000000"/>
                <w:sz w:val="16"/>
                <w:szCs w:val="16"/>
              </w:rPr>
            </w:pPr>
          </w:p>
        </w:tc>
      </w:tr>
      <w:tr>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0.02</w:t>
            </w:r>
            <w:r>
              <w:rPr>
                <w:rFonts w:hint="default" w:ascii="Times New Roman" w:hAnsi="Times New Roman" w:cs="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jc w:val="right"/>
              <w:rPr>
                <w:rFonts w:hint="default" w:ascii="Times New Roman" w:hAnsi="Times New Roman" w:cs="Times New Roman"/>
                <w:color w:val="000000"/>
                <w:sz w:val="16"/>
                <w:szCs w:val="16"/>
              </w:rPr>
            </w:pPr>
          </w:p>
        </w:tc>
      </w:tr>
    </w:tbl>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sz w:val="21"/>
          <w:szCs w:val="21"/>
        </w:rPr>
      </w:pPr>
      <w:r>
        <w:rPr>
          <w:rFonts w:hint="default" w:ascii="Times New Roman" w:hAnsi="Times New Roman" w:cs="Times New Roman"/>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txbx>
                      <w:txbxContent>
                        <w:p>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wps:txbx>
                    <wps:bodyPr wrap="none" lIns="0" tIns="0" rIns="0" bIns="0" upright="true">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&#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BYAAABkcnMvUEsBAhQAFAAAAAgAh07iQLNJWO7QAAAABQEAAA8AAAAAAAAAAQAgAAAAOAAAAGRy&#10;cy9kb3ducmV2LnhtbFBLAQIUABQAAAAIAIdO4kBjJnvSvgEAAF0DAAAOAAAAAAAAAAEAIAAAADUB&#10;AABkcnMvZTJvRG9jLnhtbFBLBQYAAAAABgAGAFkBAABlBQ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21 -</w:t>
                          </w:r>
                          <w:r>
                            <w:fldChar w:fldCharType="end"/>
                          </w:r>
                          <w:r>
                            <w:t xml:space="preserve"> </w:t>
                          </w:r>
                        </w:p>
                      </w:txbxContent>
                    </wps:txbx>
                    <wps:bodyPr wrap="none" lIns="0" tIns="0" rIns="0" bIns="0" upright="true">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FgAAAGRycy9QSwECFAAUAAAACACHTuJAs0lY7tAAAAAFAQAADwAAAAAAAAABACAAAAA4AAAAZHJz&#10;L2Rvd25yZXYueG1sUEsBAhQAFAAAAAgAh07iQLHGol+9AQAAXQMAAA4AAAAAAAAAAQAgAAAANQEA&#10;AGRycy9lMm9Eb2MueG1sUEsFBgAAAAAGAAYAWQEAAGQFA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21 -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 name="文本框 1027"/>
              <wp:cNvGraphicFramePr/>
              <a:graphic xmlns:a="http://schemas.openxmlformats.org/drawingml/2006/main">
                <a:graphicData uri="http://schemas.microsoft.com/office/word/2010/wordprocessingShape">
                  <wps:wsp>
                    <wps:cNvSpPr txBox="true"/>
                    <wps:spPr>
                      <a:xfrm>
                        <a:off x="0" y="0"/>
                        <a:ext cx="1828800" cy="220980"/>
                      </a:xfrm>
                      <a:prstGeom prst="rect">
                        <a:avLst/>
                      </a:prstGeom>
                      <a:noFill/>
                      <a:ln w="6350">
                        <a:noFill/>
                      </a:ln>
                    </wps:spPr>
                    <wps:txbx>
                      <w:txbxContent>
                        <w:p>
                          <w:pPr>
                            <w:pStyle w:val="3"/>
                            <w:jc w:val="both"/>
                            <w:rPr>
                              <w:rFonts w:hint="default" w:cs="宋体"/>
                            </w:rPr>
                          </w:pPr>
                          <w:r>
                            <w:rPr>
                              <w:rFonts w:cs="宋体"/>
                            </w:rPr>
                            <w:t>— 27.1 —</w:t>
                          </w:r>
                        </w:p>
                      </w:txbxContent>
                    </wps:txbx>
                    <wps:bodyPr wrap="none" lIns="0" tIns="0" rIns="0" bIns="0" upright="true"/>
                  </wps:wsp>
                </a:graphicData>
              </a:graphic>
            </wp:anchor>
          </w:drawing>
        </mc:Choice>
        <mc:Fallback>
          <w:pict>
            <v:shape id="文本框 1027"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W&#10;AAAAZHJzL1BLAQIUABQAAAAIAIdO4kB4DVRU2AAAAAoBAAAPAAAAAAAAAAEAIAAAADgAAABkcnMv&#10;ZG93bnJldi54bWxQSwECFAAUAAAACACHTuJA6RKFYbQBAABCAwAADgAAAAAAAAABACAAAAA9AQAA&#10;ZHJzL2Uyb0RvYy54bWxQSwUGAAAAAAYABgBZAQAAYwUAAA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rawingGridHorizontalSpacing w:val="120"/>
  <w:drawingGridVerticalSpacing w:val="163"/>
  <w:noPunctuationKerning w:val="true"/>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yOWNiMGEwMTczOTUxNzU4MTc1YWE2MWRjODYwZWEifQ=="/>
  </w:docVars>
  <w:rsids>
    <w:rsidRoot w:val="00B03CCD"/>
    <w:rsid w:val="001D3BB7"/>
    <w:rsid w:val="001F1188"/>
    <w:rsid w:val="002B254B"/>
    <w:rsid w:val="00466C9B"/>
    <w:rsid w:val="00550ABE"/>
    <w:rsid w:val="005F54DD"/>
    <w:rsid w:val="00646933"/>
    <w:rsid w:val="00770383"/>
    <w:rsid w:val="007819D4"/>
    <w:rsid w:val="007B419D"/>
    <w:rsid w:val="007B7C4B"/>
    <w:rsid w:val="007D3D39"/>
    <w:rsid w:val="009460BB"/>
    <w:rsid w:val="00994AF7"/>
    <w:rsid w:val="009B67B8"/>
    <w:rsid w:val="009C7910"/>
    <w:rsid w:val="009D2B67"/>
    <w:rsid w:val="00A566F9"/>
    <w:rsid w:val="00AF2751"/>
    <w:rsid w:val="00B03CCD"/>
    <w:rsid w:val="00B6151D"/>
    <w:rsid w:val="00BE2B89"/>
    <w:rsid w:val="00C10E9E"/>
    <w:rsid w:val="00C20C3E"/>
    <w:rsid w:val="00F73F90"/>
    <w:rsid w:val="011E0FC6"/>
    <w:rsid w:val="01474EBF"/>
    <w:rsid w:val="01B059CB"/>
    <w:rsid w:val="01DD32BC"/>
    <w:rsid w:val="01F3521E"/>
    <w:rsid w:val="03B87EA0"/>
    <w:rsid w:val="03E3214F"/>
    <w:rsid w:val="044C50BA"/>
    <w:rsid w:val="05BC6D49"/>
    <w:rsid w:val="06194FF1"/>
    <w:rsid w:val="06A2550B"/>
    <w:rsid w:val="06F80EE2"/>
    <w:rsid w:val="07001CCA"/>
    <w:rsid w:val="07222C7F"/>
    <w:rsid w:val="075678DB"/>
    <w:rsid w:val="079D7CC7"/>
    <w:rsid w:val="08051BCA"/>
    <w:rsid w:val="086C12F4"/>
    <w:rsid w:val="08705944"/>
    <w:rsid w:val="08BA052C"/>
    <w:rsid w:val="08BE78C0"/>
    <w:rsid w:val="08DB07BA"/>
    <w:rsid w:val="08F75724"/>
    <w:rsid w:val="09260FE0"/>
    <w:rsid w:val="0969353F"/>
    <w:rsid w:val="09717026"/>
    <w:rsid w:val="098305D0"/>
    <w:rsid w:val="0A3317EA"/>
    <w:rsid w:val="0A5C4B69"/>
    <w:rsid w:val="0A86124A"/>
    <w:rsid w:val="0AB54CC0"/>
    <w:rsid w:val="0B146059"/>
    <w:rsid w:val="0B9335CE"/>
    <w:rsid w:val="0BF2311A"/>
    <w:rsid w:val="0BFA0BD4"/>
    <w:rsid w:val="0C7927C4"/>
    <w:rsid w:val="0C7F5883"/>
    <w:rsid w:val="0C9B098C"/>
    <w:rsid w:val="0D1F7B01"/>
    <w:rsid w:val="0D673E11"/>
    <w:rsid w:val="0DC45AD9"/>
    <w:rsid w:val="0DDA54E4"/>
    <w:rsid w:val="0E3A5F83"/>
    <w:rsid w:val="0E605BEB"/>
    <w:rsid w:val="0E642CBD"/>
    <w:rsid w:val="0F836721"/>
    <w:rsid w:val="0FA25D96"/>
    <w:rsid w:val="107B59E5"/>
    <w:rsid w:val="10EC0126"/>
    <w:rsid w:val="10F70B9A"/>
    <w:rsid w:val="111445C7"/>
    <w:rsid w:val="114278C6"/>
    <w:rsid w:val="1158083A"/>
    <w:rsid w:val="11643A4B"/>
    <w:rsid w:val="11CC768D"/>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9F879CE"/>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0723553"/>
    <w:rsid w:val="21556F04"/>
    <w:rsid w:val="217F58FC"/>
    <w:rsid w:val="21E43602"/>
    <w:rsid w:val="22403BD3"/>
    <w:rsid w:val="24B92327"/>
    <w:rsid w:val="24C14514"/>
    <w:rsid w:val="2533755C"/>
    <w:rsid w:val="25791755"/>
    <w:rsid w:val="263351D1"/>
    <w:rsid w:val="26396DF4"/>
    <w:rsid w:val="27167136"/>
    <w:rsid w:val="271B442C"/>
    <w:rsid w:val="27B23302"/>
    <w:rsid w:val="29310A5F"/>
    <w:rsid w:val="29C37A35"/>
    <w:rsid w:val="2A076083"/>
    <w:rsid w:val="2A73162E"/>
    <w:rsid w:val="2B167953"/>
    <w:rsid w:val="2B200583"/>
    <w:rsid w:val="2B8209DE"/>
    <w:rsid w:val="2BAB5709"/>
    <w:rsid w:val="2C636760"/>
    <w:rsid w:val="2C6762A3"/>
    <w:rsid w:val="2E6C7610"/>
    <w:rsid w:val="2EBA474D"/>
    <w:rsid w:val="2FCA4B37"/>
    <w:rsid w:val="2FE029D7"/>
    <w:rsid w:val="2FF06E00"/>
    <w:rsid w:val="30586FEC"/>
    <w:rsid w:val="30E63EA6"/>
    <w:rsid w:val="315F0B22"/>
    <w:rsid w:val="31D84415"/>
    <w:rsid w:val="32285F6F"/>
    <w:rsid w:val="32770556"/>
    <w:rsid w:val="329C0913"/>
    <w:rsid w:val="32AA0460"/>
    <w:rsid w:val="3337290D"/>
    <w:rsid w:val="336E1815"/>
    <w:rsid w:val="33E31118"/>
    <w:rsid w:val="33EF7674"/>
    <w:rsid w:val="342D7BC6"/>
    <w:rsid w:val="352930DB"/>
    <w:rsid w:val="35573069"/>
    <w:rsid w:val="355F6038"/>
    <w:rsid w:val="358C217E"/>
    <w:rsid w:val="36A17C48"/>
    <w:rsid w:val="36C9128A"/>
    <w:rsid w:val="37841E99"/>
    <w:rsid w:val="37BF1123"/>
    <w:rsid w:val="38144DB9"/>
    <w:rsid w:val="383C3F15"/>
    <w:rsid w:val="38BE4696"/>
    <w:rsid w:val="3939115E"/>
    <w:rsid w:val="39B82A39"/>
    <w:rsid w:val="39C42CA8"/>
    <w:rsid w:val="39DC4FD6"/>
    <w:rsid w:val="39F03D7A"/>
    <w:rsid w:val="39F33306"/>
    <w:rsid w:val="3A2C1C67"/>
    <w:rsid w:val="3AB719AF"/>
    <w:rsid w:val="3ADD7F09"/>
    <w:rsid w:val="3B1705E5"/>
    <w:rsid w:val="3B18334B"/>
    <w:rsid w:val="3B36794F"/>
    <w:rsid w:val="3B6F6EE0"/>
    <w:rsid w:val="3BEE1992"/>
    <w:rsid w:val="3C566AD6"/>
    <w:rsid w:val="3C594871"/>
    <w:rsid w:val="3C6A5B02"/>
    <w:rsid w:val="3D2757A1"/>
    <w:rsid w:val="3D3D4FC4"/>
    <w:rsid w:val="3DDF3AB1"/>
    <w:rsid w:val="3E1D0952"/>
    <w:rsid w:val="3E42660A"/>
    <w:rsid w:val="3E7555B1"/>
    <w:rsid w:val="3E787ED9"/>
    <w:rsid w:val="3F032E93"/>
    <w:rsid w:val="3F0527E5"/>
    <w:rsid w:val="3F502C86"/>
    <w:rsid w:val="3F5E3468"/>
    <w:rsid w:val="3F694D83"/>
    <w:rsid w:val="3F885DCC"/>
    <w:rsid w:val="3FCD675E"/>
    <w:rsid w:val="4004000C"/>
    <w:rsid w:val="40AD18DD"/>
    <w:rsid w:val="40BD5482"/>
    <w:rsid w:val="411B6CE5"/>
    <w:rsid w:val="412070D7"/>
    <w:rsid w:val="41314E40"/>
    <w:rsid w:val="41E0734B"/>
    <w:rsid w:val="426C1EA8"/>
    <w:rsid w:val="42736402"/>
    <w:rsid w:val="42E86A87"/>
    <w:rsid w:val="42EF3225"/>
    <w:rsid w:val="43307B09"/>
    <w:rsid w:val="433336D1"/>
    <w:rsid w:val="439A3EB9"/>
    <w:rsid w:val="43BB152F"/>
    <w:rsid w:val="44C37687"/>
    <w:rsid w:val="44F32A05"/>
    <w:rsid w:val="45116504"/>
    <w:rsid w:val="453E400B"/>
    <w:rsid w:val="45CB699A"/>
    <w:rsid w:val="462E30DF"/>
    <w:rsid w:val="465B470D"/>
    <w:rsid w:val="469D6AD4"/>
    <w:rsid w:val="471E6C84"/>
    <w:rsid w:val="4748792B"/>
    <w:rsid w:val="475D719D"/>
    <w:rsid w:val="47674801"/>
    <w:rsid w:val="480E0E95"/>
    <w:rsid w:val="48225EF7"/>
    <w:rsid w:val="488F422B"/>
    <w:rsid w:val="48E36915"/>
    <w:rsid w:val="48EB6572"/>
    <w:rsid w:val="495C4A24"/>
    <w:rsid w:val="497135DF"/>
    <w:rsid w:val="4A263DF2"/>
    <w:rsid w:val="4A6F6675"/>
    <w:rsid w:val="4B135857"/>
    <w:rsid w:val="4B562D5B"/>
    <w:rsid w:val="4B7951CB"/>
    <w:rsid w:val="4B7C315C"/>
    <w:rsid w:val="4DAC4ACA"/>
    <w:rsid w:val="4DBE01D2"/>
    <w:rsid w:val="4F0C6BA3"/>
    <w:rsid w:val="4F186D58"/>
    <w:rsid w:val="4F386A9A"/>
    <w:rsid w:val="50F06B6E"/>
    <w:rsid w:val="5167563B"/>
    <w:rsid w:val="51D21804"/>
    <w:rsid w:val="52234D33"/>
    <w:rsid w:val="522F6E0C"/>
    <w:rsid w:val="52335DF4"/>
    <w:rsid w:val="52463BA1"/>
    <w:rsid w:val="52F163D4"/>
    <w:rsid w:val="531A2DB4"/>
    <w:rsid w:val="53C0244D"/>
    <w:rsid w:val="53DD4D4E"/>
    <w:rsid w:val="53E578CE"/>
    <w:rsid w:val="541330F0"/>
    <w:rsid w:val="54272666"/>
    <w:rsid w:val="543B029D"/>
    <w:rsid w:val="54861779"/>
    <w:rsid w:val="552256E1"/>
    <w:rsid w:val="55235BCF"/>
    <w:rsid w:val="554E5773"/>
    <w:rsid w:val="555829E0"/>
    <w:rsid w:val="555A3CBC"/>
    <w:rsid w:val="5582012B"/>
    <w:rsid w:val="558E4E05"/>
    <w:rsid w:val="55BE2E85"/>
    <w:rsid w:val="56530F5D"/>
    <w:rsid w:val="567700D3"/>
    <w:rsid w:val="56FF7E9E"/>
    <w:rsid w:val="572B4165"/>
    <w:rsid w:val="578867FC"/>
    <w:rsid w:val="5842572D"/>
    <w:rsid w:val="596A719C"/>
    <w:rsid w:val="598B6167"/>
    <w:rsid w:val="5A3B59D6"/>
    <w:rsid w:val="5AD134D8"/>
    <w:rsid w:val="5C263CE4"/>
    <w:rsid w:val="5C5D2777"/>
    <w:rsid w:val="5CA44375"/>
    <w:rsid w:val="5CF66BF3"/>
    <w:rsid w:val="5D290C69"/>
    <w:rsid w:val="5DD320C1"/>
    <w:rsid w:val="5F2D4A41"/>
    <w:rsid w:val="60C74F6C"/>
    <w:rsid w:val="61025A59"/>
    <w:rsid w:val="613D5BBC"/>
    <w:rsid w:val="61536C39"/>
    <w:rsid w:val="61DD7DB6"/>
    <w:rsid w:val="62395281"/>
    <w:rsid w:val="626639EA"/>
    <w:rsid w:val="62944DD7"/>
    <w:rsid w:val="62B1185A"/>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92F6FFE"/>
    <w:rsid w:val="6A6C7940"/>
    <w:rsid w:val="6AAD2300"/>
    <w:rsid w:val="6AE22B7A"/>
    <w:rsid w:val="6B474EF5"/>
    <w:rsid w:val="6C0A5AC5"/>
    <w:rsid w:val="6C560CAE"/>
    <w:rsid w:val="6C576495"/>
    <w:rsid w:val="6D903FF5"/>
    <w:rsid w:val="6DA955B8"/>
    <w:rsid w:val="6DE346AB"/>
    <w:rsid w:val="6DE5391A"/>
    <w:rsid w:val="6EE95C6F"/>
    <w:rsid w:val="6EFD1324"/>
    <w:rsid w:val="6F5A53AC"/>
    <w:rsid w:val="6FAC003D"/>
    <w:rsid w:val="6FCC231B"/>
    <w:rsid w:val="6FE55E12"/>
    <w:rsid w:val="6FF91F13"/>
    <w:rsid w:val="6FFB2E76"/>
    <w:rsid w:val="705C3706"/>
    <w:rsid w:val="708F6F7F"/>
    <w:rsid w:val="70D94BD3"/>
    <w:rsid w:val="70FF5527"/>
    <w:rsid w:val="71C34D91"/>
    <w:rsid w:val="72DB435C"/>
    <w:rsid w:val="72E2613A"/>
    <w:rsid w:val="72F771F4"/>
    <w:rsid w:val="73934AD2"/>
    <w:rsid w:val="73A67666"/>
    <w:rsid w:val="73C0606A"/>
    <w:rsid w:val="750837F0"/>
    <w:rsid w:val="754758CF"/>
    <w:rsid w:val="764F62AB"/>
    <w:rsid w:val="765C45EC"/>
    <w:rsid w:val="768A7619"/>
    <w:rsid w:val="76ED5F47"/>
    <w:rsid w:val="772800E1"/>
    <w:rsid w:val="772E1EBA"/>
    <w:rsid w:val="776033F3"/>
    <w:rsid w:val="781926BC"/>
    <w:rsid w:val="796D60A4"/>
    <w:rsid w:val="79A031D5"/>
    <w:rsid w:val="7A1525F7"/>
    <w:rsid w:val="7B420052"/>
    <w:rsid w:val="7BBD2C8D"/>
    <w:rsid w:val="7BD06A28"/>
    <w:rsid w:val="7C3A7C0B"/>
    <w:rsid w:val="7C5248E4"/>
    <w:rsid w:val="7C566698"/>
    <w:rsid w:val="7C5866A3"/>
    <w:rsid w:val="7D7406BB"/>
    <w:rsid w:val="7DE94331"/>
    <w:rsid w:val="7E856B36"/>
    <w:rsid w:val="7F446A19"/>
    <w:rsid w:val="7F7452B9"/>
    <w:rsid w:val="7FF91D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字符"/>
    <w:basedOn w:val="9"/>
    <w:link w:val="2"/>
    <w:qFormat/>
    <w:uiPriority w:val="0"/>
    <w:rPr>
      <w:rFonts w:ascii="宋体" w:hAnsi="宋体"/>
      <w:sz w:val="18"/>
      <w:szCs w:val="18"/>
    </w:rPr>
  </w:style>
  <w:style w:type="character" w:customStyle="1" w:styleId="16">
    <w:name w:val="font21"/>
    <w:basedOn w:val="9"/>
    <w:qFormat/>
    <w:uiPriority w:val="0"/>
    <w:rPr>
      <w:rFonts w:ascii="Arial" w:hAnsi="Arial" w:cs="Arial"/>
      <w:color w:val="000000"/>
      <w:sz w:val="20"/>
      <w:szCs w:val="20"/>
      <w:u w:val="none"/>
    </w:rPr>
  </w:style>
  <w:style w:type="character" w:customStyle="1" w:styleId="17">
    <w:name w:val="font31"/>
    <w:basedOn w:val="9"/>
    <w:qFormat/>
    <w:uiPriority w:val="0"/>
    <w:rPr>
      <w:rFonts w:hint="eastAsia" w:ascii="宋体" w:hAnsi="宋体" w:eastAsia="宋体" w:cs="宋体"/>
      <w:color w:val="000000"/>
      <w:sz w:val="20"/>
      <w:szCs w:val="20"/>
      <w:u w:val="none"/>
    </w:rPr>
  </w:style>
  <w:style w:type="character" w:customStyle="1" w:styleId="18">
    <w:name w:val="font41"/>
    <w:basedOn w:val="9"/>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9176</Words>
  <Characters>11472</Characters>
  <Lines>105</Lines>
  <Paragraphs>29</Paragraphs>
  <TotalTime>1</TotalTime>
  <ScaleCrop>false</ScaleCrop>
  <LinksUpToDate>false</LinksUpToDate>
  <CharactersWithSpaces>12593</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2024-07-11T10:00:00Z</dcterms:created>
  <dc:creator>Administrator</dc:creator>
  <cp:lastModifiedBy>user</cp:lastModifiedBy>
  <dcterms:modified xsi:type="dcterms:W3CDTF">2024-11-10T09:39:38Z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D7A169C1FE654BD29104DF7C65F551F5_13</vt:lpwstr>
  </property>
</Properties>
</file>