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丰都县少年儿童业余体校</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ind w:firstLine="642" w:firstLineChars="200"/>
        <w:textAlignment w:val="auto"/>
        <w:rPr>
          <w:rFonts w:hint="default" w:ascii="Times New Roman" w:hAnsi="Times New Roman" w:eastAsia="黑体" w:cs="Times New Roman"/>
          <w:sz w:val="32"/>
          <w:szCs w:val="32"/>
        </w:rPr>
      </w:pPr>
      <w:r>
        <w:rPr>
          <w:rStyle w:val="12"/>
          <w:rFonts w:hint="default" w:ascii="Times New Roman" w:hAnsi="Times New Roman" w:eastAsia="黑体" w:cs="Times New Roman"/>
          <w:sz w:val="32"/>
          <w:szCs w:val="32"/>
          <w:shd w:val="clear" w:color="auto" w:fill="FFFFFF"/>
        </w:rPr>
        <w:t>一、单位基本情况</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ind w:firstLine="420"/>
        <w:jc w:val="both"/>
        <w:textAlignment w:val="auto"/>
        <w:rPr>
          <w:rStyle w:val="12"/>
          <w:rFonts w:hint="default" w:ascii="Times New Roman" w:hAnsi="Times New Roman" w:eastAsia="楷体" w:cs="Times New Roman"/>
          <w:sz w:val="32"/>
          <w:szCs w:val="32"/>
          <w:shd w:val="clear" w:color="auto" w:fill="FFFFFF"/>
        </w:rPr>
      </w:pPr>
      <w:r>
        <w:rPr>
          <w:rStyle w:val="12"/>
          <w:rFonts w:hint="default" w:ascii="Times New Roman" w:hAnsi="Times New Roman" w:eastAsia="楷体" w:cs="Times New Roman"/>
          <w:sz w:val="32"/>
          <w:szCs w:val="32"/>
          <w:shd w:val="clear" w:color="auto" w:fill="FFFFFF"/>
        </w:rPr>
        <w:t>（一）职能职责</w:t>
      </w:r>
      <w:bookmarkStart w:id="0" w:name="_GoBack"/>
      <w:bookmarkEnd w:id="0"/>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在九年制义务教育阶段，培养少年儿童专项体育技能。为国家和社会培养、输送具有思想品德、文化素质和体育特长的优秀体育后备人才，管好用好现有的体育训练场地，为市民健身，业余训练和竞技体育服务。</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全校共开设田径、举重、乒乓球、拳击、羽毛球、武术散打、跆拳道、篮球和围棋9个项目。</w:t>
      </w:r>
    </w:p>
    <w:p>
      <w:pPr>
        <w:pStyle w:val="7"/>
        <w:shd w:val="clear" w:color="auto"/>
        <w:spacing w:before="0" w:beforeAutospacing="0" w:after="0" w:afterAutospacing="0"/>
        <w:ind w:firstLine="420"/>
        <w:rPr>
          <w:rFonts w:hint="default" w:ascii="Times New Roman" w:hAnsi="Times New Roman" w:eastAsia="楷体" w:cs="Times New Roman"/>
          <w:sz w:val="32"/>
          <w:szCs w:val="32"/>
        </w:rPr>
      </w:pPr>
      <w:r>
        <w:rPr>
          <w:rStyle w:val="12"/>
          <w:rFonts w:hint="default" w:ascii="Times New Roman" w:hAnsi="Times New Roman" w:eastAsia="楷体" w:cs="Times New Roman"/>
          <w:sz w:val="32"/>
          <w:szCs w:val="32"/>
          <w:shd w:val="clear" w:color="auto" w:fill="FFFFFF"/>
        </w:rPr>
        <w:t>（二）机构设置</w:t>
      </w:r>
    </w:p>
    <w:p>
      <w:pPr>
        <w:pStyle w:val="7"/>
        <w:shd w:val="clear" w:color="auto"/>
        <w:spacing w:before="0" w:beforeAutospacing="0" w:after="0" w:afterAutospacing="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机构类别：公益二类，属全额拨款的事业单位，事业编制6人。</w:t>
      </w:r>
    </w:p>
    <w:p>
      <w:pPr>
        <w:pStyle w:val="7"/>
        <w:shd w:val="clear" w:color="auto"/>
        <w:spacing w:before="0" w:beforeAutospacing="0" w:after="0" w:afterAutospacing="0"/>
        <w:ind w:firstLine="629" w:firstLineChars="196"/>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二、单位决算情况说明</w:t>
      </w:r>
    </w:p>
    <w:p>
      <w:pPr>
        <w:pStyle w:val="7"/>
        <w:shd w:val="clear" w:color="auto"/>
        <w:spacing w:before="0" w:beforeAutospacing="0" w:after="0" w:afterAutospacing="0"/>
        <w:ind w:firstLine="478" w:firstLineChars="14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spacing w:before="0" w:beforeAutospacing="0" w:after="0" w:afterAutospacing="0"/>
        <w:ind w:firstLine="642"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2023年度收入总计331.56万元，支出总计</w:t>
      </w:r>
      <w:r>
        <w:rPr>
          <w:rFonts w:hint="default" w:ascii="Times New Roman" w:hAnsi="Times New Roman" w:eastAsia="方正仿宋_GBK" w:cs="Times New Roman"/>
          <w:sz w:val="32"/>
          <w:szCs w:val="32"/>
        </w:rPr>
        <w:t>331.56</w:t>
      </w:r>
      <w:r>
        <w:rPr>
          <w:rFonts w:hint="default" w:ascii="Times New Roman" w:hAnsi="Times New Roman" w:eastAsia="方正仿宋_GBK" w:cs="Times New Roman"/>
          <w:sz w:val="32"/>
          <w:szCs w:val="32"/>
          <w:shd w:val="clear" w:color="auto" w:fill="FFFFFF"/>
        </w:rPr>
        <w:t>万元。收支较上年决算数增加64.00万元，增长23.92%，主要原因是一般公共预算财政拨款和</w:t>
      </w:r>
      <w:r>
        <w:rPr>
          <w:rFonts w:hint="default" w:ascii="Times New Roman" w:hAnsi="Times New Roman" w:eastAsia="方正仿宋_GBK" w:cs="Times New Roman"/>
          <w:sz w:val="32"/>
          <w:szCs w:val="32"/>
        </w:rPr>
        <w:t>体彩基金项目增加及年初结转结余。</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2023年度收入合计322.09万元，较上年决算数增加54.53万元，增长20.38%，主要原因是一般公共预算财政拨款和</w:t>
      </w:r>
      <w:r>
        <w:rPr>
          <w:rFonts w:hint="default" w:ascii="Times New Roman" w:hAnsi="Times New Roman" w:eastAsia="方正仿宋_GBK" w:cs="Times New Roman"/>
          <w:sz w:val="32"/>
          <w:szCs w:val="32"/>
        </w:rPr>
        <w:t>体彩基金项目增加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322.09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9.47</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331.56</w:t>
      </w:r>
      <w:r>
        <w:rPr>
          <w:rFonts w:hint="default" w:ascii="Times New Roman" w:hAnsi="Times New Roman" w:eastAsia="方正仿宋_GBK" w:cs="Times New Roman"/>
          <w:sz w:val="32"/>
          <w:szCs w:val="32"/>
          <w:shd w:val="clear" w:color="auto" w:fill="FFFFFF"/>
        </w:rPr>
        <w:t>万元，较上年决算数增加64.00万元，增长23.92%，主要原因是一般公共预算财政拨款和</w:t>
      </w:r>
      <w:r>
        <w:rPr>
          <w:rFonts w:hint="default" w:ascii="Times New Roman" w:hAnsi="Times New Roman" w:eastAsia="方正仿宋_GBK" w:cs="Times New Roman"/>
          <w:sz w:val="32"/>
          <w:szCs w:val="32"/>
        </w:rPr>
        <w:t>体彩基金项目增加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256.55</w:t>
      </w:r>
      <w:r>
        <w:rPr>
          <w:rFonts w:hint="default" w:ascii="Times New Roman" w:hAnsi="Times New Roman" w:eastAsia="方正仿宋_GBK" w:cs="Times New Roman"/>
          <w:sz w:val="32"/>
          <w:szCs w:val="32"/>
          <w:shd w:val="clear" w:color="auto" w:fill="FFFFFF"/>
        </w:rPr>
        <w:t>万元，占77.38%；项目支出</w:t>
      </w:r>
      <w:r>
        <w:rPr>
          <w:rFonts w:hint="default" w:ascii="Times New Roman" w:hAnsi="Times New Roman" w:eastAsia="方正仿宋_GBK" w:cs="Times New Roman"/>
          <w:sz w:val="32"/>
          <w:szCs w:val="32"/>
        </w:rPr>
        <w:t>75.01</w:t>
      </w:r>
      <w:r>
        <w:rPr>
          <w:rFonts w:hint="default" w:ascii="Times New Roman" w:hAnsi="Times New Roman" w:eastAsia="方正仿宋_GBK" w:cs="Times New Roman"/>
          <w:sz w:val="32"/>
          <w:szCs w:val="32"/>
          <w:shd w:val="clear" w:color="auto" w:fill="FFFFFF"/>
        </w:rPr>
        <w:t>万元，占22.62%；经营支出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rPr>
        <w:t xml:space="preserve"> </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2023年度财政拨款收、支总计331.56万元。与2022年相比，财政拨款收、支总计各增加64.00万元，增长23.92%。主要原因是一般公共预算财政拨款和</w:t>
      </w:r>
      <w:r>
        <w:rPr>
          <w:rFonts w:hint="default" w:ascii="Times New Roman" w:hAnsi="Times New Roman" w:eastAsia="方正仿宋_GBK" w:cs="Times New Roman"/>
          <w:sz w:val="32"/>
          <w:szCs w:val="32"/>
        </w:rPr>
        <w:t>体彩基金项目增加</w:t>
      </w:r>
      <w:r>
        <w:rPr>
          <w:rFonts w:hint="default" w:ascii="Times New Roman" w:hAnsi="Times New Roman" w:eastAsia="方正仿宋_GBK" w:cs="Times New Roman"/>
          <w:sz w:val="32"/>
          <w:szCs w:val="32"/>
          <w:shd w:val="clear" w:color="auto" w:fill="FFFFFF"/>
        </w:rPr>
        <w:t>。</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284.25</w:t>
      </w:r>
      <w:r>
        <w:rPr>
          <w:rFonts w:hint="default" w:ascii="Times New Roman" w:hAnsi="Times New Roman" w:eastAsia="方正仿宋_GBK" w:cs="Times New Roman"/>
          <w:sz w:val="32"/>
          <w:szCs w:val="32"/>
          <w:shd w:val="clear" w:color="auto" w:fill="FFFFFF"/>
        </w:rPr>
        <w:t>万元，较上年决算数增加37.68万元，增长15.28%。主要原因是人员经费增加包括新进人员经费、抚恤金、2021年超额绩效清理、职业年金做实等。较年初预算数增加58.50万元，增长25.91%。主要原因是人员经费增加包括新进人员经费、抚恤金、2021年超额绩效清理、职业年金做实等。此外，年初财政拨款结转和结余</w:t>
      </w:r>
      <w:r>
        <w:rPr>
          <w:rFonts w:hint="default" w:ascii="Times New Roman" w:hAnsi="Times New Roman" w:eastAsia="方正仿宋_GBK" w:cs="Times New Roman"/>
          <w:sz w:val="32"/>
          <w:szCs w:val="32"/>
        </w:rPr>
        <w:t>9.47</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293.72</w:t>
      </w:r>
      <w:r>
        <w:rPr>
          <w:rFonts w:hint="default" w:ascii="Times New Roman" w:hAnsi="Times New Roman" w:eastAsia="方正仿宋_GBK" w:cs="Times New Roman"/>
          <w:sz w:val="32"/>
          <w:szCs w:val="32"/>
          <w:shd w:val="clear" w:color="auto" w:fill="FFFFFF"/>
        </w:rPr>
        <w:t>万元，较上年决算数增加47.15万元，增长19.12%。主要原因是人员经费增加包括新进人员经费、抚恤金、2021年超额绩效清理、职业年金做实等。较年初预算数增加67.97万元，增长30.11%。主要原因是人员经费增加包括新进人员经费、抚恤金、2021年超额绩效清理、职业年金做实等。</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147.46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50.20</w:t>
      </w:r>
      <w:r>
        <w:rPr>
          <w:rFonts w:hint="default" w:ascii="Times New Roman" w:hAnsi="Times New Roman" w:eastAsia="方正仿宋_GBK" w:cs="Times New Roman"/>
          <w:sz w:val="32"/>
          <w:szCs w:val="32"/>
          <w:shd w:val="clear" w:color="auto" w:fill="FFFFFF"/>
        </w:rPr>
        <w:t>%，较年初预算数增加44.84万元，增长43.70%，主要原因是人员经费增加包括新进人员经费、抚恤金、2021年超额绩效清理、职业年金做实等。</w:t>
      </w:r>
      <w:r>
        <w:rPr>
          <w:rFonts w:hint="default" w:ascii="Times New Roman" w:hAnsi="Times New Roman" w:eastAsia="方正仿宋_GBK" w:cs="Times New Roman"/>
          <w:color w:val="FF0000"/>
          <w:sz w:val="32"/>
          <w:szCs w:val="32"/>
          <w:shd w:val="clear" w:color="auto" w:fill="FFFFFF"/>
        </w:rPr>
        <w:t xml:space="preserve"> </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126.89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43.20</w:t>
      </w:r>
      <w:r>
        <w:rPr>
          <w:rFonts w:hint="default" w:ascii="Times New Roman" w:hAnsi="Times New Roman" w:eastAsia="方正仿宋_GBK" w:cs="Times New Roman"/>
          <w:sz w:val="32"/>
          <w:szCs w:val="32"/>
          <w:shd w:val="clear" w:color="auto" w:fill="FFFFFF"/>
        </w:rPr>
        <w:t>%，较年初预算数增加21.13万元，增长19.98%，主要原因是人员增加。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14.40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4.90</w:t>
      </w:r>
      <w:r>
        <w:rPr>
          <w:rFonts w:hint="default" w:ascii="Times New Roman" w:hAnsi="Times New Roman" w:eastAsia="方正仿宋_GBK" w:cs="Times New Roman"/>
          <w:sz w:val="32"/>
          <w:szCs w:val="32"/>
          <w:shd w:val="clear" w:color="auto" w:fill="FFFFFF"/>
        </w:rPr>
        <w:t>%，较年初预算数增加1.51万元，增长11.71%，主要原因是人员增加。 </w:t>
      </w:r>
    </w:p>
    <w:p>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住房保障支出4.96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1.69</w:t>
      </w:r>
      <w:r>
        <w:rPr>
          <w:rFonts w:hint="default" w:ascii="Times New Roman" w:hAnsi="Times New Roman" w:eastAsia="方正仿宋_GBK" w:cs="Times New Roman"/>
          <w:sz w:val="32"/>
          <w:szCs w:val="32"/>
          <w:shd w:val="clear" w:color="auto" w:fill="FFFFFF"/>
        </w:rPr>
        <w:t>%，较年初预算数增加0.48万元，增长10.71%，主要原因是人员增加。</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256.55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239.46</w:t>
      </w:r>
      <w:r>
        <w:rPr>
          <w:rFonts w:hint="default" w:ascii="Times New Roman" w:hAnsi="Times New Roman" w:eastAsia="方正仿宋_GBK" w:cs="Times New Roman"/>
          <w:sz w:val="32"/>
          <w:szCs w:val="32"/>
          <w:shd w:val="clear" w:color="auto" w:fill="FFFFFF"/>
        </w:rPr>
        <w:t>万元，较上年决算数增加25.76万元，增长12.05%，主要原因是新进人员2名。人员经费用途主要包括人员工资、绩效、津补贴及社保费。公用经费</w:t>
      </w:r>
      <w:r>
        <w:rPr>
          <w:rFonts w:hint="default" w:ascii="Times New Roman" w:hAnsi="Times New Roman" w:eastAsia="方正仿宋_GBK" w:cs="Times New Roman"/>
          <w:sz w:val="32"/>
          <w:szCs w:val="32"/>
        </w:rPr>
        <w:t>17.08</w:t>
      </w:r>
      <w:r>
        <w:rPr>
          <w:rFonts w:hint="default" w:ascii="Times New Roman" w:hAnsi="Times New Roman" w:eastAsia="方正仿宋_GBK" w:cs="Times New Roman"/>
          <w:sz w:val="32"/>
          <w:szCs w:val="32"/>
          <w:shd w:val="clear" w:color="auto" w:fill="FFFFFF"/>
        </w:rPr>
        <w:t>万元，较上年决算数增加0.21万元，增长1.24%，主要原因是人员增加。公用经费用途主要包括办公费、差旅费、维护费、工会费、咨询费、水电费、劳务费等。</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37.84</w:t>
      </w:r>
      <w:r>
        <w:rPr>
          <w:rFonts w:hint="default" w:ascii="Times New Roman" w:hAnsi="Times New Roman" w:eastAsia="方正仿宋_GBK" w:cs="Times New Roman"/>
          <w:sz w:val="32"/>
          <w:szCs w:val="32"/>
          <w:shd w:val="clear" w:color="auto" w:fill="FFFFFF"/>
        </w:rPr>
        <w:t>万元，较上年决算数增加16.85万元，增长80.28%，主要原因是体彩公益金项目增加。本年支出</w:t>
      </w:r>
      <w:r>
        <w:rPr>
          <w:rFonts w:hint="default" w:ascii="Times New Roman" w:hAnsi="Times New Roman" w:eastAsia="方正仿宋_GBK" w:cs="Times New Roman"/>
          <w:sz w:val="32"/>
          <w:szCs w:val="32"/>
        </w:rPr>
        <w:t>37.84</w:t>
      </w:r>
      <w:r>
        <w:rPr>
          <w:rFonts w:hint="default" w:ascii="Times New Roman" w:hAnsi="Times New Roman" w:eastAsia="方正仿宋_GBK" w:cs="Times New Roman"/>
          <w:sz w:val="32"/>
          <w:szCs w:val="32"/>
          <w:shd w:val="clear" w:color="auto" w:fill="FFFFFF"/>
        </w:rPr>
        <w:t>万元，较上年决算数增加16.85万元，增长80.28%，主要原因是体彩公益金项目增加。</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14"/>
        <w:autoSpaceDE w:val="0"/>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7"/>
        <w:shd w:val="clear" w:color="auto"/>
        <w:spacing w:before="0" w:beforeAutospacing="0" w:after="0" w:afterAutospacing="0"/>
        <w:ind w:firstLine="642"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三、“三公”经费情况说明</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万元，较年初预算数减少0.50万元，下降100.00%，主要原因是2023年未产生公务接待费。较上年支出数无增减。</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7"/>
        <w:spacing w:before="0" w:beforeAutospacing="0" w:after="0" w:afterAutospacing="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rPr>
        <w:t>本单位2023年度未发生因公出国（境）费用。</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rPr>
        <w:t>本单位2023年度未发生公务车辆购置费用。</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rPr>
        <w:t>本单位2023年度未发生公务车运行维护费用。</w:t>
      </w:r>
    </w:p>
    <w:p>
      <w:pPr>
        <w:pStyle w:val="7"/>
        <w:spacing w:before="0" w:beforeAutospacing="0" w:after="0" w:afterAutospacing="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万元，费用支出较年初预算数减少0.50万元，下降100.00%，较上年支出数无增减。</w:t>
      </w:r>
      <w:r>
        <w:rPr>
          <w:rFonts w:hint="default" w:ascii="Times New Roman" w:hAnsi="Times New Roman" w:eastAsia="方正仿宋_GBK" w:cs="Times New Roman"/>
          <w:sz w:val="32"/>
          <w:szCs w:val="32"/>
        </w:rPr>
        <w:t>本单位2023年度未发生公务接待费用。</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numPr>
          <w:ilvl w:val="0"/>
          <w:numId w:val="1"/>
        </w:numPr>
        <w:shd w:val="clear" w:color="auto"/>
        <w:spacing w:before="0" w:beforeAutospacing="0" w:after="0" w:afterAutospacing="0"/>
        <w:ind w:firstLine="642"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其他需要说明的事项</w:t>
      </w:r>
    </w:p>
    <w:p>
      <w:pPr>
        <w:pStyle w:val="7"/>
        <w:shd w:val="clear" w:color="auto"/>
        <w:spacing w:before="0" w:beforeAutospacing="0" w:after="0" w:afterAutospacing="0"/>
        <w:ind w:firstLine="642"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12.03</w:t>
      </w:r>
      <w:r>
        <w:rPr>
          <w:rFonts w:hint="default" w:ascii="Times New Roman" w:hAnsi="Times New Roman" w:eastAsia="方正仿宋_GBK" w:cs="Times New Roman"/>
          <w:sz w:val="32"/>
          <w:szCs w:val="32"/>
          <w:shd w:val="clear" w:color="auto" w:fill="FFFFFF"/>
        </w:rPr>
        <w:t>万元，较上年决算数增加1.64万元，增长15.78%，主要原因是对青少年的体育训练增加。</w:t>
      </w:r>
    </w:p>
    <w:p>
      <w:pPr>
        <w:pStyle w:val="14"/>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7"/>
        <w:shd w:val="clear" w:color="auto"/>
        <w:spacing w:before="0" w:beforeAutospacing="0" w:after="0" w:afterAutospacing="0"/>
        <w:ind w:firstLine="642"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五、预算绩效管理情况说明</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7"/>
        <w:shd w:val="clear" w:color="auto"/>
        <w:spacing w:before="0" w:beforeAutospacing="0" w:after="0" w:afterAutospacing="0"/>
        <w:ind w:firstLine="800" w:firstLineChars="25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根据预算绩效管理要求，我单位对9个项目开展了绩效自评，涉及财政拨款项目支出资金102.6万元，从评价情况来看，项目规范开展，资金足额到位，项目管理有序，资金支出合理规范，项目各绩效目标完成较好。</w:t>
      </w:r>
    </w:p>
    <w:p>
      <w:pPr>
        <w:pStyle w:val="7"/>
        <w:shd w:val="clear" w:color="auto"/>
        <w:spacing w:before="0" w:beforeAutospacing="0" w:after="0" w:afterAutospacing="0"/>
        <w:ind w:firstLine="800" w:firstLineChars="25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本单位2023年度部门整体绩效自评表以附件形式上传。</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4"/>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Times New Roman" w:hAnsi="Times New Roman" w:eastAsia="方正仿宋_GBK" w:cs="Times New Roman"/>
          <w:b/>
          <w:sz w:val="32"/>
          <w:szCs w:val="32"/>
          <w:shd w:val="clear" w:color="auto"/>
        </w:rPr>
      </w:pPr>
      <w:r>
        <w:rPr>
          <w:rStyle w:val="12"/>
          <w:rFonts w:hint="default" w:ascii="Times New Roman" w:hAnsi="Times New Roman" w:eastAsia="黑体" w:cs="Times New Roman"/>
          <w:sz w:val="32"/>
          <w:szCs w:val="32"/>
          <w:shd w:val="clear" w:color="auto"/>
        </w:rPr>
        <w:t>六、专业名词解释</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2" w:firstLineChars="200"/>
        <w:textAlignment w:val="auto"/>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何浩玉  </w:t>
      </w:r>
      <w:r>
        <w:rPr>
          <w:rFonts w:hint="default" w:ascii="Times New Roman" w:hAnsi="Times New Roman" w:eastAsia="方正仿宋_GBK" w:cs="Times New Roman"/>
          <w:sz w:val="32"/>
          <w:szCs w:val="32"/>
          <w:shd w:val="clear" w:color="auto" w:fill="FFFFFF"/>
        </w:rPr>
        <w:t>023-8560</w:t>
      </w:r>
      <w:r>
        <w:rPr>
          <w:rFonts w:hint="default" w:ascii="Times New Roman" w:hAnsi="Times New Roman" w:eastAsia="方正仿宋_GBK" w:cs="Times New Roman"/>
          <w:sz w:val="32"/>
          <w:szCs w:val="32"/>
          <w:shd w:val="clear" w:color="auto" w:fill="FFFFFF"/>
          <w:lang w:val="en-US" w:eastAsia="zh-CN"/>
        </w:rPr>
        <w:t>2200</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p>
    <w:p>
      <w:pPr>
        <w:rPr>
          <w:rFonts w:hint="default" w:ascii="Times New Roman" w:hAnsi="Times New Roman" w:cs="Times New Roman"/>
          <w:sz w:val="21"/>
          <w:szCs w:val="21"/>
        </w:rPr>
      </w:pPr>
    </w:p>
    <w:tbl>
      <w:tblPr>
        <w:tblStyle w:val="9"/>
        <w:tblW w:w="5005" w:type="pct"/>
        <w:tblInd w:w="0" w:type="dxa"/>
        <w:tblLayout w:type="autofit"/>
        <w:tblCellMar>
          <w:top w:w="0" w:type="dxa"/>
          <w:left w:w="0" w:type="dxa"/>
          <w:bottom w:w="0" w:type="dxa"/>
          <w:right w:w="0" w:type="dxa"/>
        </w:tblCellMar>
      </w:tblPr>
      <w:tblGrid>
        <w:gridCol w:w="3230"/>
        <w:gridCol w:w="657"/>
        <w:gridCol w:w="3030"/>
        <w:gridCol w:w="1428"/>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重庆市丰都县少年儿童业余体校</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284.25</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147.46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126.89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322.09</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331.56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9.47</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331.56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331.56</w:t>
            </w:r>
            <w:r>
              <w:rPr>
                <w:rFonts w:hint="default" w:ascii="Times New Roman" w:hAnsi="Times New Roman" w:cs="Times New Roman"/>
                <w:color w:val="000000"/>
                <w:sz w:val="20"/>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spacing w:line="240" w:lineRule="exact"/>
        <w:rPr>
          <w:rFonts w:hint="default" w:ascii="Times New Roman" w:hAnsi="Times New Roman" w:cs="Times New Roman"/>
          <w:sz w:val="20"/>
          <w:szCs w:val="20"/>
        </w:rPr>
      </w:pPr>
    </w:p>
    <w:p>
      <w:pPr>
        <w:spacing w:line="240" w:lineRule="exact"/>
        <w:rPr>
          <w:rFonts w:hint="default" w:ascii="Times New Roman" w:hAnsi="Times New Roman" w:cs="Times New Roman"/>
          <w:sz w:val="20"/>
          <w:szCs w:val="20"/>
        </w:rPr>
      </w:pPr>
    </w:p>
    <w:tbl>
      <w:tblPr>
        <w:tblStyle w:val="9"/>
        <w:tblW w:w="5000" w:type="pct"/>
        <w:tblInd w:w="0" w:type="dxa"/>
        <w:tblLayout w:type="fixed"/>
        <w:tblCellMar>
          <w:top w:w="0" w:type="dxa"/>
          <w:left w:w="0" w:type="dxa"/>
          <w:bottom w:w="0" w:type="dxa"/>
          <w:right w:w="0" w:type="dxa"/>
        </w:tblCellMar>
      </w:tblPr>
      <w:tblGrid>
        <w:gridCol w:w="923"/>
        <w:gridCol w:w="1719"/>
        <w:gridCol w:w="668"/>
        <w:gridCol w:w="668"/>
        <w:gridCol w:w="668"/>
        <w:gridCol w:w="668"/>
        <w:gridCol w:w="741"/>
        <w:gridCol w:w="708"/>
        <w:gridCol w:w="780"/>
        <w:gridCol w:w="7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重庆市丰都县少年儿童业余体校</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322.09</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322.09</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147.46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147.46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102.85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102.85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5000" w:type="pct"/>
        <w:tblInd w:w="0" w:type="dxa"/>
        <w:tblLayout w:type="autofit"/>
        <w:tblCellMar>
          <w:top w:w="0" w:type="dxa"/>
          <w:left w:w="0" w:type="dxa"/>
          <w:bottom w:w="0" w:type="dxa"/>
          <w:right w:w="0" w:type="dxa"/>
        </w:tblCellMar>
      </w:tblPr>
      <w:tblGrid>
        <w:gridCol w:w="1637"/>
        <w:gridCol w:w="3230"/>
        <w:gridCol w:w="580"/>
        <w:gridCol w:w="580"/>
        <w:gridCol w:w="480"/>
        <w:gridCol w:w="316"/>
        <w:gridCol w:w="483"/>
        <w:gridCol w:w="103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重庆市丰都县少年儿童业余体校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331.56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256.55</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75.01</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110.29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37.17</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110.29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37.17</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147.46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110.29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37.17</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112.32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112.32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4790" w:type="pct"/>
        <w:tblInd w:w="0" w:type="dxa"/>
        <w:tblLayout w:type="autofit"/>
        <w:tblCellMar>
          <w:top w:w="0" w:type="dxa"/>
          <w:left w:w="0" w:type="dxa"/>
          <w:bottom w:w="0" w:type="dxa"/>
          <w:right w:w="0" w:type="dxa"/>
        </w:tblCellMar>
      </w:tblPr>
      <w:tblGrid>
        <w:gridCol w:w="2550"/>
        <w:gridCol w:w="525"/>
        <w:gridCol w:w="2730"/>
        <w:gridCol w:w="525"/>
        <w:gridCol w:w="525"/>
        <w:gridCol w:w="435"/>
        <w:gridCol w:w="103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重庆市丰都县少年儿童业余体校</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284.25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126.89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126.89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37.84</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322.09</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293.72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37.84</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331.56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293.72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37.84</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730"/>
        <w:gridCol w:w="3230"/>
        <w:gridCol w:w="1423"/>
        <w:gridCol w:w="1473"/>
        <w:gridCol w:w="148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重庆市丰都县少年儿童业余体校</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293.72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256.55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37.17</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110.29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37.17</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147.46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110.29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37.17</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147.46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110.29</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37.17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126.89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8.75</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8.75</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112.32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112.32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tblInd w:w="0" w:type="dxa"/>
        <w:tblLayout w:type="fixed"/>
        <w:tblCellMar>
          <w:top w:w="0" w:type="dxa"/>
          <w:left w:w="0" w:type="dxa"/>
          <w:bottom w:w="0" w:type="dxa"/>
          <w:right w:w="0" w:type="dxa"/>
        </w:tblCellMar>
      </w:tblPr>
      <w:tblGrid>
        <w:gridCol w:w="328"/>
        <w:gridCol w:w="1485"/>
        <w:gridCol w:w="746"/>
        <w:gridCol w:w="453"/>
        <w:gridCol w:w="1043"/>
        <w:gridCol w:w="897"/>
        <w:gridCol w:w="438"/>
        <w:gridCol w:w="1912"/>
        <w:gridCol w:w="102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重庆市丰都县少年儿童业余体校</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116.07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60.54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123.40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115.39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239.46</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17.08</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096"/>
        <w:gridCol w:w="2830"/>
        <w:gridCol w:w="1009"/>
        <w:gridCol w:w="584"/>
        <w:gridCol w:w="584"/>
        <w:gridCol w:w="584"/>
        <w:gridCol w:w="619"/>
        <w:gridCol w:w="103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重庆市丰都县少年儿童业余体校</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37.84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37.84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37.84</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37.84</w:t>
            </w: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37.84</w:t>
            </w:r>
            <w:r>
              <w:rPr>
                <w:rFonts w:hint="default" w:ascii="Times New Roman" w:hAnsi="Times New Roman" w:cs="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020"/>
        <w:gridCol w:w="1659"/>
        <w:gridCol w:w="1776"/>
        <w:gridCol w:w="108"/>
        <w:gridCol w:w="1884"/>
        <w:gridCol w:w="42"/>
        <w:gridCol w:w="184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重庆市丰都县少年儿童业余体校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4877" w:type="pct"/>
        <w:tblInd w:w="0" w:type="dxa"/>
        <w:tblLayout w:type="fixed"/>
        <w:tblCellMar>
          <w:top w:w="0" w:type="dxa"/>
          <w:left w:w="170" w:type="dxa"/>
          <w:bottom w:w="0" w:type="dxa"/>
          <w:right w:w="170" w:type="dxa"/>
        </w:tblCellMar>
      </w:tblPr>
      <w:tblGrid>
        <w:gridCol w:w="2191"/>
        <w:gridCol w:w="1175"/>
        <w:gridCol w:w="1147"/>
        <w:gridCol w:w="2452"/>
        <w:gridCol w:w="1168"/>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重庆市丰都县少年儿童业余体校</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12.03</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9 -</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AkEpLs4AEAAMIDAAAOAAAAAAAAAAEAIAAAADQBAABkcnMvZTJvRG9jLnhtbFBLBQYAAAAA&#10;BgAGAFkBAACGBQ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828800"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0Ij6J1gAAAAoBAAAPAAAAAAAAAAEAIAAAADgAAABkcnMvZG93bnJldi54&#10;bWxQSwECFAAUAAAACACHTuJA3985ROYBAADBAwAADgAAAAAAAAABACAAAAA7AQAAZHJzL2Uyb0Rv&#10;Yy54bWxQSwUGAAAAAAYABgBZAQAAkwU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C1368"/>
    <w:multiLevelType w:val="singleLevel"/>
    <w:tmpl w:val="207C136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OWNiMGEwMTczOTUxNzU4MTc1YWE2MWRjODYwZWEifQ=="/>
  </w:docVars>
  <w:rsids>
    <w:rsidRoot w:val="00B03CCD"/>
    <w:rsid w:val="00076EE1"/>
    <w:rsid w:val="000C1186"/>
    <w:rsid w:val="00160829"/>
    <w:rsid w:val="0019510F"/>
    <w:rsid w:val="001D3BB7"/>
    <w:rsid w:val="00211796"/>
    <w:rsid w:val="002347F4"/>
    <w:rsid w:val="002B254B"/>
    <w:rsid w:val="002E7456"/>
    <w:rsid w:val="00336F2C"/>
    <w:rsid w:val="00466C9B"/>
    <w:rsid w:val="00550ABE"/>
    <w:rsid w:val="00580619"/>
    <w:rsid w:val="00586905"/>
    <w:rsid w:val="00593793"/>
    <w:rsid w:val="00626757"/>
    <w:rsid w:val="006712ED"/>
    <w:rsid w:val="006F0D91"/>
    <w:rsid w:val="007357FB"/>
    <w:rsid w:val="0075448F"/>
    <w:rsid w:val="00770383"/>
    <w:rsid w:val="007819D4"/>
    <w:rsid w:val="007B419D"/>
    <w:rsid w:val="007B7C4B"/>
    <w:rsid w:val="007D3D39"/>
    <w:rsid w:val="007F0971"/>
    <w:rsid w:val="0092545B"/>
    <w:rsid w:val="00994AF7"/>
    <w:rsid w:val="009B67B8"/>
    <w:rsid w:val="009D2B67"/>
    <w:rsid w:val="009D635E"/>
    <w:rsid w:val="00A566F9"/>
    <w:rsid w:val="00A74C0D"/>
    <w:rsid w:val="00AF2751"/>
    <w:rsid w:val="00B03CCD"/>
    <w:rsid w:val="00B35FE8"/>
    <w:rsid w:val="00B62B38"/>
    <w:rsid w:val="00B976AB"/>
    <w:rsid w:val="00BE2B89"/>
    <w:rsid w:val="00C10E9E"/>
    <w:rsid w:val="00C20C3E"/>
    <w:rsid w:val="00C524CD"/>
    <w:rsid w:val="00D0787E"/>
    <w:rsid w:val="00D471E8"/>
    <w:rsid w:val="00D6074B"/>
    <w:rsid w:val="00DF09C5"/>
    <w:rsid w:val="00E072E4"/>
    <w:rsid w:val="00E46A6D"/>
    <w:rsid w:val="00E73CE1"/>
    <w:rsid w:val="00F26DAB"/>
    <w:rsid w:val="00F73F90"/>
    <w:rsid w:val="00FD2AB3"/>
    <w:rsid w:val="01474EBF"/>
    <w:rsid w:val="01F3521E"/>
    <w:rsid w:val="02C631E8"/>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C534C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DC67F3"/>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0936D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D75B5"/>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CA14FF"/>
    <w:rsid w:val="4EE36D24"/>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653D83"/>
    <w:rsid w:val="6FAC003D"/>
    <w:rsid w:val="6FE55E12"/>
    <w:rsid w:val="6FFB2E76"/>
    <w:rsid w:val="700B4C1D"/>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FCBB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qFormat/>
    <w:uiPriority w:val="0"/>
    <w:rPr>
      <w:rFonts w:ascii="宋体" w:hAnsi="宋体"/>
      <w:sz w:val="18"/>
      <w:szCs w:val="18"/>
    </w:rPr>
  </w:style>
  <w:style w:type="character" w:customStyle="1" w:styleId="19">
    <w:name w:val="批注文字 字符"/>
    <w:basedOn w:val="11"/>
    <w:link w:val="2"/>
    <w:semiHidden/>
    <w:qFormat/>
    <w:uiPriority w:val="0"/>
    <w:rPr>
      <w:rFonts w:ascii="宋体" w:hAnsi="宋体"/>
      <w:sz w:val="24"/>
      <w:szCs w:val="24"/>
    </w:rPr>
  </w:style>
  <w:style w:type="character" w:customStyle="1" w:styleId="20">
    <w:name w:val="批注主题 字符"/>
    <w:basedOn w:val="19"/>
    <w:link w:val="8"/>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1908</Words>
  <Characters>10882</Characters>
  <Lines>90</Lines>
  <Paragraphs>25</Paragraphs>
  <TotalTime>78</TotalTime>
  <ScaleCrop>false</ScaleCrop>
  <LinksUpToDate>false</LinksUpToDate>
  <CharactersWithSpaces>12765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2024-09-22T17:59:00Z</dcterms:created>
  <dc:creator>Administrator</dc:creator>
  <cp:lastModifiedBy>user</cp:lastModifiedBy>
  <dcterms:modified xsi:type="dcterms:W3CDTF">2024-11-10T09:46:17Z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104B9F0D8E514730B9924441F8A0A44C_13</vt:lpwstr>
  </property>
</Properties>
</file>