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丰都县文化市场综合行政执法支队</w:t>
      </w:r>
    </w:p>
    <w:p>
      <w:pPr>
        <w:pStyle w:val="8"/>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8"/>
        <w:keepNext w:val="0"/>
        <w:keepLines w:val="0"/>
        <w:pageBreakBefore w:val="0"/>
        <w:widowControl/>
        <w:shd w:val="clear" w:color="auto" w:fill="FFFFFF"/>
        <w:kinsoku/>
        <w:overflowPunct/>
        <w:topLinePunct w:val="0"/>
        <w:autoSpaceDN/>
        <w:bidi w:val="0"/>
        <w:adjustRightInd/>
        <w:spacing w:beforeAutospacing="0" w:line="560" w:lineRule="exact"/>
        <w:ind w:firstLine="420"/>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方正仿宋_GBK" w:hAnsi="方正仿宋_GBK" w:eastAsia="方正仿宋_GBK" w:cs="方正仿宋_GBK"/>
          <w:color w:val="333333"/>
          <w:sz w:val="32"/>
          <w:szCs w:val="32"/>
          <w:shd w:val="clear" w:color="auto" w:fill="FFFFFF"/>
        </w:rPr>
        <w:t>丰都县文化市场综合行政执法支队以县文化和旅游发展委员会名义实施执法，统一行使文化、文物、出版、广播电视、电影、体育、旅游市场行政执法职责。</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1.</w:t>
      </w:r>
      <w:r>
        <w:rPr>
          <w:rFonts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贯彻实施国家和重庆市有关文化市场综合行政执法的方针政策、法律法规，参与起草文化市场综合行政执法业务规范和管理制度。</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2.</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承担文化、文物方面的执法职能。</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3.</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承担出版、广播电视、电影方面的执法职能。</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4.</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承担旅游市场方面的执法职能。</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5.</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承担体育市场方面的执法职能。</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6.</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承担全县文化市场综合行政执法组织协调。组织开展有关专项执法，配合落实相关的交叉执法、异地执法。监督、指导乡镇（街道）文化市场综合行政执法工作。</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7.</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扫黄打非</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有关工作任务。</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8.</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承担文化和旅游市场投诉、举报受理工作。</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方正仿宋_GBK" w:hAnsi="方正仿宋_GBK" w:eastAsia="方正仿宋_GBK" w:cs="方正仿宋_GBK"/>
          <w:sz w:val="32"/>
          <w:szCs w:val="32"/>
        </w:rPr>
      </w:pPr>
      <w:r>
        <w:rPr>
          <w:rFonts w:ascii="微软雅黑" w:hAnsi="微软雅黑" w:eastAsia="微软雅黑" w:cs="微软雅黑"/>
          <w:color w:val="333333"/>
          <w:sz w:val="32"/>
          <w:szCs w:val="32"/>
          <w:shd w:val="clear" w:color="auto" w:fill="FFFFFF"/>
        </w:rPr>
        <w:t>9.</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完成县委、县政府和县委宣传部、县文化和旅游发展委员会交办的其他任务。</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方正仿宋_GBK" w:hAnsi="方正仿宋_GBK" w:eastAsia="方正仿宋_GBK" w:cs="方正仿宋_GBK"/>
          <w:color w:val="333333"/>
          <w:sz w:val="32"/>
          <w:szCs w:val="32"/>
          <w:shd w:val="clear" w:color="auto" w:fill="FFFFFF"/>
        </w:rPr>
        <w:t>根据上述职责，丰都县文化市场综合行政执法支队设下列内设机构。</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1.</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综合科。负责支队日常运转工作和重要事项督查督办，承担文秘、档案、保密、会务、党建、群团、安全、信访、目标考核、执法信息公开等工作。承担信息化建设、财务管理、政府采购、国有资产管理、后勤保障等工作。负责综合协调、人事编制和议提案办理等工作。</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rPr>
      </w:pPr>
      <w:r>
        <w:rPr>
          <w:rFonts w:ascii="微软雅黑" w:hAnsi="微软雅黑" w:eastAsia="微软雅黑" w:cs="微软雅黑"/>
          <w:color w:val="333333"/>
          <w:sz w:val="32"/>
          <w:szCs w:val="32"/>
          <w:shd w:val="clear" w:color="auto" w:fill="FFFFFF"/>
        </w:rPr>
        <w:t>2.</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法制科（投诉举报中心）。组织实施执法全过程记录制度、重大执法决定法制审核制度、执法案卷评查和评议考核制度、执法公示制度、执法人员持证上岗和资格管理制度。监督、指导乡镇（街道）文化市场综合行政执法工作。承担行政执法案件的审核审查工作，负责行政执法案件的报备、移交、处罚裁量及案卷管理工作，组织实施案卷评查工作。承担行政处罚案件听证、行政复议及行政应诉工作。承担行政执法有关宣传教育和培训工作。承担行政执法证件的管理工作。承担文化和旅游市场的投诉、举报受理处置工作。承担举报、投诉信息的汇总、处理、分析、通报工作。承担文化和旅游市场投诉举报平台建设。</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0" w:afterAutospacing="0" w:line="560" w:lineRule="exact"/>
        <w:ind w:firstLine="558"/>
        <w:textAlignment w:val="auto"/>
        <w:rPr>
          <w:rFonts w:hint="default" w:ascii="微软雅黑" w:hAnsi="微软雅黑" w:eastAsia="微软雅黑" w:cs="微软雅黑"/>
          <w:color w:val="333333"/>
          <w:sz w:val="32"/>
          <w:szCs w:val="32"/>
        </w:rPr>
      </w:pPr>
      <w:r>
        <w:rPr>
          <w:rFonts w:ascii="微软雅黑" w:hAnsi="微软雅黑" w:eastAsia="微软雅黑" w:cs="微软雅黑"/>
          <w:color w:val="333333"/>
          <w:sz w:val="32"/>
          <w:szCs w:val="32"/>
          <w:shd w:val="clear" w:color="auto" w:fill="FFFFFF"/>
        </w:rPr>
        <w:t>3.</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执法一大队。承担文化、出版、广播电视、电影方面的执法职能。查处娱乐场所、互联网上网服务营业场所的违法行为；查处演出、艺术品经营及进出口等活动中的违法行为；查处文化艺术经营、展览展播中的违法行为；查处网络文化方面的违法经营活动。查处图书、音像制品、电子出版物等方面的违法出版活动和印刷、复制、出版物发行中的违法经营活动；查处著作权侵权行为；查处网络视听、网络出版等方面的违法经营活动。查处安装和设置卫星电视广播地面接收设施、传送境外卫星电视节目的违法行为；查处除制作、播出、传输等机构外的企业、个人和社会组织从事广播电视、电影活动中的违法行为；查处电影放映单位的违法行为，查处放映未取得《电影片公映许可证》的电影片和走私放映盗版影片等违法活动。配合查处生产、销售、使用</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伪基站</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设施设备的违法行为。承担</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扫黄打非</w:t>
      </w:r>
      <w:r>
        <w:rPr>
          <w:rFonts w:ascii="微软雅黑" w:hAnsi="微软雅黑" w:eastAsia="微软雅黑" w:cs="微软雅黑"/>
          <w:color w:val="333333"/>
          <w:sz w:val="32"/>
          <w:szCs w:val="32"/>
          <w:shd w:val="clear" w:color="auto" w:fill="FFFFFF"/>
        </w:rPr>
        <w:t>”</w:t>
      </w:r>
      <w:r>
        <w:rPr>
          <w:rFonts w:ascii="方正仿宋_GBK" w:hAnsi="方正仿宋_GBK" w:eastAsia="方正仿宋_GBK" w:cs="方正仿宋_GBK"/>
          <w:color w:val="333333"/>
          <w:sz w:val="32"/>
          <w:szCs w:val="32"/>
          <w:shd w:val="clear" w:color="auto" w:fill="FFFFFF"/>
        </w:rPr>
        <w:t>有关工作任务。组织开展有关专项执法，配合落实相关的交叉执法、异地执法。</w:t>
      </w:r>
    </w:p>
    <w:p>
      <w:pPr>
        <w:pStyle w:val="8"/>
        <w:keepNext w:val="0"/>
        <w:keepLines w:val="0"/>
        <w:pageBreakBefore w:val="0"/>
        <w:widowControl/>
        <w:shd w:val="clear" w:color="auto" w:fill="FFFFFF"/>
        <w:kinsoku/>
        <w:wordWrap w:val="0"/>
        <w:overflowPunct/>
        <w:topLinePunct w:val="0"/>
        <w:autoSpaceDN/>
        <w:bidi w:val="0"/>
        <w:adjustRightInd/>
        <w:spacing w:before="0" w:beforeAutospacing="0" w:after="280" w:afterAutospacing="0" w:line="560" w:lineRule="exact"/>
        <w:ind w:firstLine="558"/>
        <w:textAlignment w:val="auto"/>
        <w:rPr>
          <w:rFonts w:hint="default" w:ascii="方正仿宋_GBK" w:hAnsi="方正仿宋_GBK" w:eastAsia="方正仿宋_GBK" w:cs="方正仿宋_GBK"/>
          <w:color w:val="FF0000"/>
          <w:sz w:val="32"/>
          <w:szCs w:val="32"/>
          <w:shd w:val="clear" w:color="auto" w:fill="FFFFFF"/>
        </w:rPr>
      </w:pPr>
      <w:r>
        <w:rPr>
          <w:rFonts w:ascii="微软雅黑" w:hAnsi="微软雅黑" w:eastAsia="微软雅黑" w:cs="微软雅黑"/>
          <w:color w:val="333333"/>
          <w:sz w:val="32"/>
          <w:szCs w:val="32"/>
          <w:shd w:val="clear" w:color="auto" w:fill="FFFFFF"/>
        </w:rPr>
        <w:t>4.</w:t>
      </w:r>
      <w:r>
        <w:rPr>
          <w:rFonts w:hint="default" w:ascii="Times New Roman" w:hAnsi="Times New Roman" w:eastAsia="微软雅黑"/>
          <w:color w:val="333333"/>
          <w:sz w:val="14"/>
          <w:szCs w:val="14"/>
          <w:shd w:val="clear" w:color="auto" w:fill="FFFFFF"/>
        </w:rPr>
        <w:t>  </w:t>
      </w:r>
      <w:r>
        <w:rPr>
          <w:rFonts w:ascii="方正仿宋_GBK" w:hAnsi="方正仿宋_GBK" w:eastAsia="方正仿宋_GBK" w:cs="方正仿宋_GBK"/>
          <w:color w:val="333333"/>
          <w:sz w:val="32"/>
          <w:szCs w:val="32"/>
          <w:shd w:val="clear" w:color="auto" w:fill="FFFFFF"/>
        </w:rPr>
        <w:t>执法二大队。承担旅游、文物、体育市场方面的执法职能。查处旅游经营、服务中的违法违规行为；查处旅行社经营行为、导游和领队服务中的违法违规行为；查处经营旅行社业务以及从事导游、领队服务未取得经营、执业许可等违法违规行为；查处旅游经营者（除旅行社外）经营行为及其旅游从业人员服务中的违法违规行为。查处体育活动中的违法违规行为；查处体育营业场所经营活动中的违法违规行为。查处文物经营活动中的违法行为；依权限协调相关部门查处违反文物保护相关法律法规的行为。组织开展有关专项执法，配合落实相关的交叉执法、异地执法。</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收、支与2023年度相比，增加4.67万元，增长1.3%</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与2023年度相比，增加4.67万元，增长1.3%</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与2023年度相比，增加4.67万元，增长1.3%</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工资调整，一般公共预算财政拨款支出增长</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353.33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财政拨款收、支总计各增加4.67万元，增长1.3%</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与2023年度相比，增加4.67万元，增长1.3%</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工资调整，一般公共预算财政拨款支出增长</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较年初预算数增加35.15万元，增长10.4%</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与2023年度相比，增加4.67万元，增长1.3%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人员工资调整导致一般公共预算财政拨款支出增长。</w:t>
      </w:r>
      <w:r>
        <w:rPr>
          <w:rFonts w:hint="default" w:ascii="Times New Roman" w:hAnsi="Times New Roman" w:eastAsia="方正仿宋_GBK"/>
          <w:sz w:val="32"/>
          <w:szCs w:val="32"/>
          <w:shd w:val="clear" w:color="auto" w:fill="FFFFFF"/>
        </w:rPr>
        <w:t>较年初预算数增加35.15万元，增长10.4%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人员工资调整导致一般公共预算财政拨款支出增长。</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280.38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较年初预算数增加24.89万元，增长9.7%</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工资调整，一般公共预算财政拨款支出增长</w:t>
      </w:r>
      <w:r>
        <w:rPr>
          <w:rFonts w:ascii="方正仿宋_GBK" w:hAnsi="方正仿宋_GBK" w:eastAsia="方正仿宋_GBK" w:cs="方正仿宋_GBK"/>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51.26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较年初预算数增加8.91万元，增长21.0%</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工资调整，一般公共预算财政拨款支出增长</w:t>
      </w:r>
      <w:r>
        <w:rPr>
          <w:rFonts w:ascii="方正仿宋_GBK" w:hAnsi="方正仿宋_GBK" w:eastAsia="方正仿宋_GBK" w:cs="方正仿宋_GBK"/>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较年初预算数增加0.74万元，增长3.9%</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w:t>
      </w:r>
    </w:p>
    <w:p>
      <w:pPr>
        <w:keepNext w:val="0"/>
        <w:keepLines w:val="0"/>
        <w:pageBreakBefore w:val="0"/>
        <w:widowControl/>
        <w:kinsoku/>
        <w:overflowPunct/>
        <w:topLinePunct w:val="0"/>
        <w:autoSpaceDN/>
        <w:bidi w:val="0"/>
        <w:adjustRightInd/>
        <w:spacing w:before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较年初预算数增加0.61万元，增长2.9%</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工资调整，一般公共预算财政拨款支出增长</w:t>
      </w:r>
      <w:r>
        <w:rPr>
          <w:rFonts w:ascii="方正仿宋_GBK" w:hAnsi="方正仿宋_GBK" w:eastAsia="方正仿宋_GBK" w:cs="方正仿宋_GBK"/>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353.33</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298.00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与2023年度相比，增加6.38万元，增长2.2%</w:t>
      </w:r>
      <w:r>
        <w:rPr>
          <w:rFonts w:ascii="方正仿宋_GBK" w:hAnsi="方正仿宋_GBK" w:eastAsia="方正仿宋_GBK" w:cs="方正仿宋_GBK"/>
          <w:sz w:val="32"/>
          <w:szCs w:val="32"/>
          <w:shd w:val="clear" w:color="auto" w:fill="FFFFFF"/>
        </w:rPr>
        <w:t>，主要原因是新招录在职人员和</w:t>
      </w:r>
      <w:r>
        <w:rPr>
          <w:rFonts w:ascii="方正仿宋_GBK" w:hAnsi="方正仿宋_GBK" w:eastAsia="方正仿宋_GBK" w:cs="方正仿宋_GBK"/>
          <w:sz w:val="32"/>
          <w:szCs w:val="32"/>
        </w:rPr>
        <w:t>工资调整导致一般公共预算财政拨款支出增长。</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333333"/>
          <w:sz w:val="32"/>
          <w:szCs w:val="32"/>
          <w:shd w:val="clear" w:color="auto" w:fill="FFFFFF"/>
        </w:rPr>
        <w:t>基本工资、津贴补贴、医保、公积金等。</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55.32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与2023年度相比，减少1.71万元，下降3.0%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333333"/>
          <w:sz w:val="32"/>
          <w:szCs w:val="32"/>
          <w:shd w:val="clear" w:color="auto" w:fill="FFFFFF"/>
        </w:rPr>
        <w:t>认真落实中央八项规定精神和厉行节约要求，按照只减不增的要求从严控制三公经费。</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333333"/>
          <w:sz w:val="32"/>
          <w:szCs w:val="32"/>
          <w:shd w:val="clear" w:color="auto" w:fill="FFFFFF"/>
        </w:rPr>
        <w:t>办公费、邮电费、手续费、差旅费等。</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shd w:val="clear" w:color="auto" w:fill="FFFFFF"/>
        </w:rPr>
        <w:t>本单位2024年度无政府性基金预算财政拨款收支。</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本部门</w:t>
      </w:r>
      <w:r>
        <w:rPr>
          <w:rFonts w:hint="default" w:ascii="方正仿宋_GBK" w:hAnsi="方正仿宋_GBK" w:eastAsia="方正仿宋_GBK" w:cs="方正仿宋_GBK"/>
          <w:color w:val="333333"/>
          <w:sz w:val="32"/>
          <w:szCs w:val="32"/>
          <w:shd w:val="clear" w:color="auto" w:fill="FFFFFF"/>
        </w:rPr>
        <w:t>2024</w:t>
      </w:r>
      <w:r>
        <w:rPr>
          <w:rFonts w:ascii="方正仿宋_GBK" w:hAnsi="方正仿宋_GBK" w:eastAsia="方正仿宋_GBK" w:cs="方正仿宋_GBK"/>
          <w:color w:val="333333"/>
          <w:sz w:val="32"/>
          <w:szCs w:val="32"/>
          <w:shd w:val="clear" w:color="auto" w:fill="FFFFFF"/>
        </w:rPr>
        <w:t>年度无国有资本经营预算财政拨款支出。</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较年初预算数减少0.22万元，下降3.4%</w:t>
      </w:r>
      <w:r>
        <w:rPr>
          <w:rFonts w:ascii="方正仿宋_GBK" w:hAnsi="方正仿宋_GBK" w:eastAsia="方正仿宋_GBK" w:cs="方正仿宋_GBK"/>
          <w:sz w:val="32"/>
          <w:szCs w:val="32"/>
          <w:shd w:val="clear" w:color="auto" w:fill="FFFFFF"/>
        </w:rPr>
        <w:t>，主要原因是认真落实中央八项规定精神和厉行节约要求。</w:t>
      </w:r>
      <w:r>
        <w:rPr>
          <w:rFonts w:hint="default" w:ascii="Times New Roman" w:hAnsi="Times New Roman" w:eastAsia="方正仿宋_GBK"/>
          <w:sz w:val="32"/>
          <w:szCs w:val="32"/>
          <w:shd w:val="clear" w:color="auto" w:fill="FFFFFF"/>
        </w:rPr>
        <w:t>较上年支出数减少1.22万元，下降16.5%</w:t>
      </w:r>
      <w:r>
        <w:rPr>
          <w:rFonts w:ascii="方正仿宋_GBK" w:hAnsi="方正仿宋_GBK" w:eastAsia="方正仿宋_GBK" w:cs="方正仿宋_GBK"/>
          <w:sz w:val="32"/>
          <w:szCs w:val="32"/>
          <w:shd w:val="clear" w:color="auto" w:fill="FFFFFF"/>
        </w:rPr>
        <w:t>，主要原因是认真落实中央八项规定精神和厉行节约。</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keepNext w:val="0"/>
        <w:keepLines w:val="0"/>
        <w:pageBreakBefore w:val="0"/>
        <w:widowControl/>
        <w:kinsoku/>
        <w:overflowPunct/>
        <w:topLinePunct w:val="0"/>
        <w:autoSpaceDN/>
        <w:bidi w:val="0"/>
        <w:adjustRightInd/>
        <w:spacing w:before="0" w:beforeAutospacing="0" w:after="0" w:after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万元，费用支出较年初预算数无增减，较上年支出数无增减，主要原因是本单位2024年度</w:t>
      </w:r>
      <w:r>
        <w:rPr>
          <w:rFonts w:ascii="方正仿宋_GBK" w:hAnsi="方正仿宋_GBK" w:eastAsia="方正仿宋_GBK" w:cs="方正仿宋_GBK"/>
          <w:sz w:val="32"/>
          <w:szCs w:val="32"/>
        </w:rPr>
        <w:t>未发生因公出国（境）费。</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万元，费用支出较年初预算数无增减，较上年支出数无增减，主要原因是本单位2024年未预算公务用车购置费。</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5.40</w:t>
      </w:r>
      <w:r>
        <w:rPr>
          <w:rFonts w:ascii="方正仿宋_GBK" w:hAnsi="方正仿宋_GBK" w:eastAsia="方正仿宋_GBK" w:cs="方正仿宋_GBK"/>
          <w:sz w:val="32"/>
          <w:szCs w:val="32"/>
          <w:shd w:val="clear" w:color="auto" w:fill="FFFFFF"/>
        </w:rPr>
        <w:t>万元，主要用于车辆的燃料费、维修费、保险费、过路过桥费。费用支出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较上年支出数减少1.21万元，下降18.3%</w:t>
      </w:r>
      <w:r>
        <w:rPr>
          <w:rFonts w:ascii="方正仿宋_GBK" w:hAnsi="方正仿宋_GBK" w:eastAsia="方正仿宋_GBK" w:cs="方正仿宋_GBK"/>
          <w:sz w:val="32"/>
          <w:szCs w:val="32"/>
          <w:shd w:val="clear" w:color="auto" w:fill="FFFFFF"/>
        </w:rPr>
        <w:t>，主要原因是规范公务用车管理，严格控制运行成本。</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0.78</w:t>
      </w:r>
      <w:r>
        <w:rPr>
          <w:rFonts w:ascii="方正仿宋_GBK" w:hAnsi="方正仿宋_GBK" w:eastAsia="方正仿宋_GBK" w:cs="方正仿宋_GBK"/>
          <w:sz w:val="32"/>
          <w:szCs w:val="32"/>
          <w:shd w:val="clear" w:color="auto" w:fill="FFFFFF"/>
        </w:rPr>
        <w:t>万元，主要用于接待待市执法总队及其他区县的执法工作及安全生产工作。费用支出</w:t>
      </w:r>
      <w:r>
        <w:rPr>
          <w:rFonts w:hint="default" w:ascii="Times New Roman" w:hAnsi="Times New Roman" w:eastAsia="方正仿宋_GBK"/>
          <w:sz w:val="32"/>
          <w:szCs w:val="32"/>
          <w:shd w:val="clear" w:color="auto" w:fill="FFFFFF"/>
        </w:rPr>
        <w:t>较年初预算数减少0.22万元，下降22.0%</w:t>
      </w:r>
      <w:r>
        <w:rPr>
          <w:rFonts w:ascii="方正仿宋_GBK" w:hAnsi="方正仿宋_GBK" w:eastAsia="方正仿宋_GBK" w:cs="方正仿宋_GBK"/>
          <w:sz w:val="32"/>
          <w:szCs w:val="32"/>
          <w:shd w:val="clear" w:color="auto" w:fill="FFFFFF"/>
        </w:rPr>
        <w:t>，主要原因是认真落实中央八项规定精神和厉行节约要求，严格控制用餐标准。</w:t>
      </w:r>
      <w:r>
        <w:rPr>
          <w:rFonts w:hint="default" w:ascii="Times New Roman" w:hAnsi="Times New Roman" w:eastAsia="方正仿宋_GBK"/>
          <w:sz w:val="32"/>
          <w:szCs w:val="32"/>
          <w:shd w:val="clear" w:color="auto" w:fill="FFFFFF"/>
        </w:rPr>
        <w:t>较上年支出数减少0.01万元，下降1.3%</w:t>
      </w:r>
      <w:r>
        <w:rPr>
          <w:rFonts w:ascii="方正仿宋_GBK" w:hAnsi="方正仿宋_GBK" w:eastAsia="方正仿宋_GBK" w:cs="方正仿宋_GBK"/>
          <w:sz w:val="32"/>
          <w:szCs w:val="32"/>
          <w:shd w:val="clear" w:color="auto" w:fill="FFFFFF"/>
        </w:rPr>
        <w:t>，主要原因是认真落实中央八项规定精神和厉行节约要求，严格控制用餐标准。</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91.35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，主要原因是本单位2024年度未发生会议费。本年度培训费支出</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与2023年度相比，增加0.99万元，增长900.0%</w:t>
      </w:r>
      <w:r>
        <w:rPr>
          <w:rFonts w:ascii="方正仿宋_GBK" w:hAnsi="方正仿宋_GBK" w:eastAsia="方正仿宋_GBK" w:cs="方正仿宋_GBK"/>
          <w:sz w:val="32"/>
          <w:szCs w:val="32"/>
          <w:shd w:val="clear" w:color="auto" w:fill="FFFFFF"/>
        </w:rPr>
        <w:t>，主要原因是职工本年外出培训次数增加，培训费用支出增加。本年度差旅费支出</w:t>
      </w:r>
      <w:r>
        <w:rPr>
          <w:rFonts w:hint="default" w:ascii="Times New Roman" w:hAnsi="Times New Roman" w:eastAsia="方正仿宋_GBK"/>
          <w:sz w:val="32"/>
          <w:szCs w:val="32"/>
          <w:shd w:val="clear" w:color="auto" w:fill="FFFFFF"/>
        </w:rPr>
        <w:t>5.61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与2023年度相比，减少8.41万元，下降60.0%</w:t>
      </w:r>
      <w:r>
        <w:rPr>
          <w:rFonts w:ascii="方正仿宋_GBK" w:hAnsi="方正仿宋_GBK" w:eastAsia="方正仿宋_GBK" w:cs="方正仿宋_GBK"/>
          <w:sz w:val="32"/>
          <w:szCs w:val="32"/>
          <w:shd w:val="clear" w:color="auto" w:fill="FFFFFF"/>
        </w:rPr>
        <w:t>，主要原因是认真落实中央八项规定精神，厉行节约。</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55.32</w:t>
      </w:r>
      <w:r>
        <w:rPr>
          <w:rFonts w:ascii="方正仿宋_GBK" w:hAnsi="方正仿宋_GBK" w:eastAsia="方正仿宋_GBK" w:cs="方正仿宋_GBK"/>
          <w:sz w:val="32"/>
          <w:szCs w:val="32"/>
          <w:shd w:val="clear" w:color="auto" w:fill="FFFFFF"/>
        </w:rPr>
        <w:t>万元，机关运行经费主要用于开支办公费、印刷费、邮电费、劳务费、差旅费、其他商品费用支出等。机关运行经费</w:t>
      </w:r>
      <w:r>
        <w:rPr>
          <w:rFonts w:hint="default" w:ascii="Times New Roman" w:hAnsi="Times New Roman" w:eastAsia="方正仿宋_GBK"/>
          <w:sz w:val="32"/>
          <w:szCs w:val="32"/>
          <w:shd w:val="clear" w:color="auto" w:fill="FFFFFF"/>
        </w:rPr>
        <w:t>较上年支出数减少1.71万元，下降3.0%</w:t>
      </w:r>
      <w:r>
        <w:rPr>
          <w:rFonts w:ascii="方正仿宋_GBK" w:hAnsi="方正仿宋_GBK" w:eastAsia="方正仿宋_GBK" w:cs="方正仿宋_GBK"/>
          <w:sz w:val="32"/>
          <w:szCs w:val="32"/>
          <w:shd w:val="clear" w:color="auto" w:fill="FFFFFF"/>
        </w:rPr>
        <w:t>，主要原因是认真落实中央八项规定精神和厉行节约，</w:t>
      </w:r>
      <w:r>
        <w:rPr>
          <w:rFonts w:ascii="方正仿宋_GBK" w:hAnsi="方正仿宋_GBK" w:eastAsia="方正仿宋_GBK" w:cs="方正仿宋_GBK"/>
          <w:color w:val="333333"/>
          <w:sz w:val="32"/>
          <w:szCs w:val="32"/>
          <w:shd w:val="clear" w:color="auto" w:fill="FFFFFF"/>
        </w:rPr>
        <w:t>按照只减不增的要求从严控制经费支出。</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。2024年度我部门未发生政府采购事项，无相关经费支出。</w:t>
      </w:r>
    </w:p>
    <w:p>
      <w:pPr>
        <w:pStyle w:val="8"/>
        <w:keepNext w:val="0"/>
        <w:keepLines w:val="0"/>
        <w:pageBreakBefore w:val="0"/>
        <w:widowControl/>
        <w:shd w:val="clear" w:color="auto" w:fill="FFFFFF"/>
        <w:kinsoku/>
        <w:overflowPunct/>
        <w:topLinePunct w:val="0"/>
        <w:autoSpaceDN/>
        <w:bidi w:val="0"/>
        <w:adjustRightInd/>
        <w:spacing w:beforeAutospacing="0" w:line="560" w:lineRule="exact"/>
        <w:textAlignment w:val="auto"/>
        <w:rPr>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五、预算绩效管理情况说明</w:t>
      </w:r>
    </w:p>
    <w:p>
      <w:pPr>
        <w:pStyle w:val="8"/>
        <w:keepNext w:val="0"/>
        <w:keepLines w:val="0"/>
        <w:pageBreakBefore w:val="0"/>
        <w:widowControl/>
        <w:kinsoku/>
        <w:overflowPunct/>
        <w:topLinePunct w:val="0"/>
        <w:autoSpaceDN/>
        <w:bidi w:val="0"/>
        <w:adjustRightInd/>
        <w:spacing w:before="0" w:beforeAutospacing="0" w:after="0" w:afterAutospacing="0" w:line="560" w:lineRule="exact"/>
        <w:ind w:firstLine="643" w:firstLineChars="200"/>
        <w:textAlignment w:val="auto"/>
        <w:rPr>
          <w:rFonts w:hint="eastAsia" w:ascii="方正仿宋_GBK" w:hAnsi="方正仿宋_GBK" w:eastAsia="方正仿宋_GBK" w:cs="方正仿宋_GBK"/>
          <w:b/>
          <w:bCs/>
          <w:sz w:val="32"/>
          <w:szCs w:val="32"/>
          <w:shd w:val="clear" w:color="auto" w:fill="FFFFFF"/>
          <w:lang w:eastAsia="zh-CN"/>
        </w:rPr>
      </w:pPr>
      <w:r>
        <w:rPr>
          <w:rFonts w:hint="eastAsia" w:ascii="方正仿宋_GBK" w:hAnsi="方正仿宋_GBK" w:eastAsia="方正仿宋_GBK" w:cs="方正仿宋_GBK"/>
          <w:b/>
          <w:bCs/>
          <w:sz w:val="32"/>
          <w:szCs w:val="32"/>
          <w:shd w:val="clear" w:color="auto" w:fill="FFFFFF"/>
          <w:lang w:eastAsia="zh-CN"/>
        </w:rPr>
        <w:t>（一）单位自评情况</w:t>
      </w:r>
    </w:p>
    <w:p>
      <w:pPr>
        <w:pStyle w:val="8"/>
        <w:keepNext w:val="0"/>
        <w:keepLines w:val="0"/>
        <w:pageBreakBefore w:val="0"/>
        <w:widowControl/>
        <w:kinsoku/>
        <w:overflowPunct/>
        <w:topLinePunct w:val="0"/>
        <w:autoSpaceDN/>
        <w:bidi w:val="0"/>
        <w:adjustRightInd/>
        <w:spacing w:before="0" w:beforeAutospacing="0" w:after="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根据预算绩效管理要求,本部门对1个项目开展了绩效自评,</w:t>
      </w:r>
      <w:r>
        <w:rPr>
          <w:rFonts w:ascii="方正仿宋_GBK" w:hAnsi="方正仿宋_GBK" w:eastAsia="方正仿宋_GBK" w:cs="方正仿宋_GBK"/>
          <w:sz w:val="32"/>
          <w:szCs w:val="32"/>
        </w:rPr>
        <w:t>其中，以填报自评表形式开展自评</w:t>
      </w: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rPr>
        <w:t>项，</w:t>
      </w:r>
      <w:r>
        <w:rPr>
          <w:rFonts w:ascii="方正仿宋_GBK" w:hAnsi="方正仿宋_GBK" w:eastAsia="方正仿宋_GBK" w:cs="方正仿宋_GBK"/>
          <w:sz w:val="32"/>
          <w:szCs w:val="32"/>
          <w:shd w:val="clear" w:color="auto" w:fill="FFFFFF"/>
        </w:rPr>
        <w:t>涉及资金</w:t>
      </w:r>
      <w:r>
        <w:rPr>
          <w:rFonts w:hint="default" w:ascii="方正仿宋_GBK" w:hAnsi="方正仿宋_GBK" w:eastAsia="方正仿宋_GBK" w:cs="方正仿宋_GBK"/>
          <w:sz w:val="32"/>
          <w:szCs w:val="32"/>
          <w:shd w:val="clear" w:color="auto" w:fill="FFFFFF"/>
        </w:rPr>
        <w:t>26.75</w:t>
      </w:r>
      <w:r>
        <w:rPr>
          <w:rFonts w:ascii="方正仿宋_GBK" w:hAnsi="方正仿宋_GBK" w:eastAsia="方正仿宋_GBK" w:cs="方正仿宋_GBK"/>
          <w:sz w:val="32"/>
          <w:szCs w:val="32"/>
          <w:shd w:val="clear" w:color="auto" w:fill="FFFFFF"/>
        </w:rPr>
        <w:t>万元。从评价情况来看,项目立项较为规范,绩效目标明确,预算编制合理,管理科学规范,资金到位及时,总体完成情况较为良好。现将有关开展情况汇报如下:一是各级领导高度重视预算绩效管理工作;二是合理选择项目、合理分配资金使有限的财政资金发挥更大的效益;三是通过开展预算资金绩效评价,健全了项目资金的核算与管理,逐步形成自我约束,内部规范的良性机制;四是预算绩效评价,提高了管理水平和资金的使用效益。</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keepNext w:val="0"/>
        <w:keepLines w:val="0"/>
        <w:pageBreakBefore w:val="0"/>
        <w:widowControl/>
        <w:kinsoku/>
        <w:overflowPunct/>
        <w:topLinePunct w:val="0"/>
        <w:autoSpaceDE w:val="0"/>
        <w:autoSpaceDN/>
        <w:bidi w:val="0"/>
        <w:adjustRightInd/>
        <w:spacing w:beforeAutospacing="0" w:line="560"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我单位对2024年文化市场执法监控运行扩容经费开展了绩效评价，涉及财政拨款项目资金19.8万元，评价得分99分，评价等次为优。</w:t>
      </w:r>
    </w:p>
    <w:p>
      <w:pPr>
        <w:pStyle w:val="12"/>
        <w:keepNext w:val="0"/>
        <w:keepLines w:val="0"/>
        <w:pageBreakBefore w:val="0"/>
        <w:widowControl/>
        <w:kinsoku/>
        <w:overflowPunct/>
        <w:topLinePunct w:val="0"/>
        <w:autoSpaceDE w:val="0"/>
        <w:autoSpaceDN/>
        <w:bidi w:val="0"/>
        <w:adjustRightInd/>
        <w:spacing w:before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keepNext w:val="0"/>
        <w:keepLines w:val="0"/>
        <w:pageBreakBefore w:val="0"/>
        <w:widowControl/>
        <w:kinsoku/>
        <w:overflowPunct/>
        <w:topLinePunct w:val="0"/>
        <w:autoSpaceDE w:val="0"/>
        <w:autoSpaceDN/>
        <w:bidi w:val="0"/>
        <w:adjustRightInd/>
        <w:spacing w:beforeAutospacing="0" w:line="560"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8"/>
        <w:keepNext w:val="0"/>
        <w:keepLines w:val="0"/>
        <w:pageBreakBefore w:val="0"/>
        <w:widowControl/>
        <w:shd w:val="clear" w:color="auto" w:fill="FFFFFF"/>
        <w:kinsoku/>
        <w:overflowPunct/>
        <w:topLinePunct w:val="0"/>
        <w:autoSpaceDN/>
        <w:bidi w:val="0"/>
        <w:adjustRightInd/>
        <w:spacing w:beforeAutospacing="0" w:line="560" w:lineRule="exact"/>
        <w:textAlignment w:val="auto"/>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overflowPunct/>
        <w:topLinePunct w:val="0"/>
        <w:autoSpaceDN/>
        <w:bidi w:val="0"/>
        <w:adjustRightInd/>
        <w:spacing w:beforeAutospacing="0" w:line="560" w:lineRule="exact"/>
        <w:textAlignment w:val="auto"/>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overflowPunct/>
        <w:topLinePunct w:val="0"/>
        <w:autoSpaceDE w:val="0"/>
        <w:autoSpaceDN/>
        <w:bidi w:val="0"/>
        <w:adjustRightInd/>
        <w:spacing w:beforeAutospacing="0" w:line="560" w:lineRule="exact"/>
        <w:ind w:firstLine="0" w:firstLineChars="0"/>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023-70605699</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丰都县文化市场综合行政执法支队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9"/>
        <w:tblW w:w="5059" w:type="pct"/>
        <w:tblInd w:w="0" w:type="dxa"/>
        <w:tblLayout w:type="autofit"/>
        <w:tblCellMar>
          <w:top w:w="0" w:type="dxa"/>
          <w:left w:w="0" w:type="dxa"/>
          <w:bottom w:w="0" w:type="dxa"/>
          <w:right w:w="0" w:type="dxa"/>
        </w:tblCellMar>
      </w:tblPr>
      <w:tblGrid>
        <w:gridCol w:w="2085"/>
        <w:gridCol w:w="4256"/>
        <w:gridCol w:w="2307"/>
        <w:gridCol w:w="2112"/>
        <w:gridCol w:w="1832"/>
        <w:gridCol w:w="2094"/>
        <w:gridCol w:w="2130"/>
        <w:gridCol w:w="1886"/>
        <w:gridCol w:w="1967"/>
        <w:gridCol w:w="194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丰都县文化市场综合行政执法支队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373.13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373.13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文化和旅游市场管理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5000" w:type="pct"/>
        <w:tblInd w:w="0" w:type="dxa"/>
        <w:tblLayout w:type="autofit"/>
        <w:tblCellMar>
          <w:top w:w="0" w:type="dxa"/>
          <w:left w:w="0" w:type="dxa"/>
          <w:bottom w:w="0" w:type="dxa"/>
          <w:right w:w="0" w:type="dxa"/>
        </w:tblCellMar>
      </w:tblPr>
      <w:tblGrid>
        <w:gridCol w:w="1882"/>
        <w:gridCol w:w="5257"/>
        <w:gridCol w:w="2682"/>
        <w:gridCol w:w="2570"/>
        <w:gridCol w:w="2365"/>
        <w:gridCol w:w="2271"/>
        <w:gridCol w:w="2467"/>
        <w:gridCol w:w="2856"/>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丰都县文化市场综合行政执法支队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373.13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353.33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文化和旅游市场管理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丰都县文化市场综合行政执法支队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丰都县文化市场综合行政执法支队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353.33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文化和旅游市场管理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丰都县文化市场综合行政执法支队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298.00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926"/>
        <w:gridCol w:w="5243"/>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丰都县文化市场综合行政执法支队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86"/>
        <w:gridCol w:w="5275"/>
        <w:gridCol w:w="4774"/>
        <w:gridCol w:w="277"/>
        <w:gridCol w:w="5051"/>
        <w:gridCol w:w="125"/>
        <w:gridCol w:w="496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丰都县文化市场综合行政执法支队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丰都县文化市场综合行政执法支队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tbl>
      <w:tblPr>
        <w:tblStyle w:val="9"/>
        <w:tblW w:w="20836" w:type="dxa"/>
        <w:tblInd w:w="0" w:type="dxa"/>
        <w:shd w:val="clear" w:color="auto" w:fill="auto"/>
        <w:tblLayout w:type="autofit"/>
        <w:tblCellMar>
          <w:top w:w="0" w:type="dxa"/>
          <w:left w:w="0" w:type="dxa"/>
          <w:bottom w:w="0" w:type="dxa"/>
          <w:right w:w="0" w:type="dxa"/>
        </w:tblCellMar>
      </w:tblPr>
      <w:tblGrid>
        <w:gridCol w:w="3654"/>
        <w:gridCol w:w="1652"/>
        <w:gridCol w:w="1313"/>
        <w:gridCol w:w="2142"/>
        <w:gridCol w:w="1542"/>
        <w:gridCol w:w="2121"/>
        <w:gridCol w:w="1992"/>
        <w:gridCol w:w="1385"/>
        <w:gridCol w:w="1241"/>
        <w:gridCol w:w="1842"/>
        <w:gridCol w:w="2118"/>
      </w:tblGrid>
      <w:tr>
        <w:tblPrEx>
          <w:shd w:val="clear" w:color="auto" w:fill="auto"/>
          <w:tblCellMar>
            <w:top w:w="0" w:type="dxa"/>
            <w:left w:w="0" w:type="dxa"/>
            <w:bottom w:w="0" w:type="dxa"/>
            <w:right w:w="0"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2024文化行政执法服装购置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50023024T000004073136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203-丰都县文化和旅游发展委员会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廖浩杰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19123919696</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严肃执法人员仪容仪表和执法风纪，加强执法队伍作风建设，提升执法形象。</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购买服装数量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公共文化产品和服务供给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购买服装金额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rPr>
          <w:rFonts w:hint="default" w:cs="宋体"/>
          <w:color w:val="000000"/>
          <w:sz w:val="21"/>
          <w:szCs w:val="21"/>
          <w:lang w:bidi="ar"/>
        </w:rPr>
      </w:pPr>
    </w:p>
    <w:p>
      <w:pPr>
        <w:rPr>
          <w:rFonts w:hint="default" w:cs="宋体"/>
          <w:color w:val="000000"/>
          <w:sz w:val="21"/>
          <w:szCs w:val="21"/>
          <w:lang w:bidi="ar"/>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tbl>
      <w:tblPr>
        <w:tblStyle w:val="9"/>
        <w:tblW w:w="20836" w:type="dxa"/>
        <w:tblInd w:w="0" w:type="dxa"/>
        <w:shd w:val="clear" w:color="auto" w:fill="auto"/>
        <w:tblLayout w:type="autofit"/>
        <w:tblCellMar>
          <w:top w:w="0" w:type="dxa"/>
          <w:left w:w="0" w:type="dxa"/>
          <w:bottom w:w="0" w:type="dxa"/>
          <w:right w:w="0" w:type="dxa"/>
        </w:tblCellMar>
      </w:tblPr>
      <w:tblGrid>
        <w:gridCol w:w="3147"/>
        <w:gridCol w:w="1785"/>
        <w:gridCol w:w="1785"/>
        <w:gridCol w:w="2257"/>
        <w:gridCol w:w="1624"/>
        <w:gridCol w:w="2235"/>
        <w:gridCol w:w="2099"/>
        <w:gridCol w:w="1460"/>
        <w:gridCol w:w="1308"/>
        <w:gridCol w:w="1940"/>
        <w:gridCol w:w="2154"/>
      </w:tblGrid>
      <w:tr>
        <w:tblPrEx>
          <w:shd w:val="clear" w:color="auto" w:fill="auto"/>
          <w:tblCellMar>
            <w:top w:w="0" w:type="dxa"/>
            <w:left w:w="0" w:type="dxa"/>
            <w:bottom w:w="0" w:type="dxa"/>
            <w:right w:w="0"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教科文科临聘人员费用-203007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50023025T000004818850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203-丰都县文化和旅游发展委员会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廖浩杰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70605699</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临聘人员工资及时发放到位，保障单位基本运转。</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临聘人员工资及时发放到位，保障单位基本运转。</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tbl>
      <w:tblPr>
        <w:tblStyle w:val="9"/>
        <w:tblW w:w="20836" w:type="dxa"/>
        <w:tblInd w:w="0" w:type="dxa"/>
        <w:shd w:val="clear" w:color="auto" w:fill="auto"/>
        <w:tblLayout w:type="autofit"/>
        <w:tblCellMar>
          <w:top w:w="0" w:type="dxa"/>
          <w:left w:w="0" w:type="dxa"/>
          <w:bottom w:w="0" w:type="dxa"/>
          <w:right w:w="0" w:type="dxa"/>
        </w:tblCellMar>
      </w:tblPr>
      <w:tblGrid>
        <w:gridCol w:w="3273"/>
        <w:gridCol w:w="1854"/>
        <w:gridCol w:w="1237"/>
        <w:gridCol w:w="2134"/>
        <w:gridCol w:w="1536"/>
        <w:gridCol w:w="2113"/>
        <w:gridCol w:w="1985"/>
        <w:gridCol w:w="1529"/>
        <w:gridCol w:w="1237"/>
        <w:gridCol w:w="1835"/>
        <w:gridCol w:w="2107"/>
      </w:tblGrid>
      <w:tr>
        <w:tblPrEx>
          <w:shd w:val="clear" w:color="auto" w:fill="auto"/>
          <w:tblCellMar>
            <w:top w:w="0" w:type="dxa"/>
            <w:left w:w="0" w:type="dxa"/>
            <w:bottom w:w="0" w:type="dxa"/>
            <w:right w:w="0"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2024文化市场执法监控运行扩容经费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50023024T000004073130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203-丰都县文化和旅游发展委员会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廖浩杰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19123919696</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县文化市场监控平台投入以来，对加强文化市场安全及社会热点场所监管发挥重大作用，需要线路租用运行经费才得以继续维持；随着市场变更，需要在监控点位及市场门类上有所扩容，以加大文化市场监控的覆盖面。</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安全监控家次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监控设备质量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旅游投诉及时查处率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设备正常使用率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家/个/批次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完善监控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线路租用及扩容安装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项目完成实效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综合满意调查综合率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tbl>
      <w:tblPr>
        <w:tblStyle w:val="9"/>
        <w:tblW w:w="20836" w:type="dxa"/>
        <w:tblInd w:w="0" w:type="dxa"/>
        <w:shd w:val="clear" w:color="auto" w:fill="auto"/>
        <w:tblLayout w:type="autofit"/>
        <w:tblCellMar>
          <w:top w:w="0" w:type="dxa"/>
          <w:left w:w="0" w:type="dxa"/>
          <w:bottom w:w="0" w:type="dxa"/>
          <w:right w:w="0" w:type="dxa"/>
        </w:tblCellMar>
      </w:tblPr>
      <w:tblGrid>
        <w:gridCol w:w="3526"/>
        <w:gridCol w:w="1785"/>
        <w:gridCol w:w="1785"/>
        <w:gridCol w:w="2199"/>
        <w:gridCol w:w="1582"/>
        <w:gridCol w:w="2178"/>
        <w:gridCol w:w="2045"/>
        <w:gridCol w:w="1422"/>
        <w:gridCol w:w="1274"/>
        <w:gridCol w:w="1891"/>
        <w:gridCol w:w="2175"/>
      </w:tblGrid>
      <w:tr>
        <w:tblPrEx>
          <w:shd w:val="clear" w:color="auto" w:fill="auto"/>
          <w:tblCellMar>
            <w:top w:w="0" w:type="dxa"/>
            <w:left w:w="0" w:type="dxa"/>
            <w:bottom w:w="0" w:type="dxa"/>
            <w:right w:w="0"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w:t>
            </w:r>
            <w:bookmarkStart w:id="0" w:name="_GoBack"/>
            <w:bookmarkEnd w:id="0"/>
            <w:r>
              <w:rPr>
                <w:rFonts w:hint="eastAsia" w:ascii="微软雅黑" w:hAnsi="微软雅黑" w:eastAsia="微软雅黑" w:cs="微软雅黑"/>
                <w:b/>
                <w:i w:val="0"/>
                <w:color w:val="000000"/>
                <w:kern w:val="0"/>
                <w:sz w:val="40"/>
                <w:szCs w:val="40"/>
                <w:u w:val="none"/>
                <w:lang w:val="en-US" w:eastAsia="zh-CN" w:bidi="ar"/>
              </w:rPr>
              <w:t>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驻乡驻村干部补助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50023024T000004073090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203-丰都县文化和旅游发展委员会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廖浩杰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19123919696</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驻村干部工作补贴</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结余率=结余率/预算数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1E0550"/>
    <w:rsid w:val="002F5C83"/>
    <w:rsid w:val="00443541"/>
    <w:rsid w:val="00490FBF"/>
    <w:rsid w:val="00550ABE"/>
    <w:rsid w:val="006A75D0"/>
    <w:rsid w:val="007B419D"/>
    <w:rsid w:val="009B67B8"/>
    <w:rsid w:val="009E40E0"/>
    <w:rsid w:val="00B03CCD"/>
    <w:rsid w:val="00B12FD3"/>
    <w:rsid w:val="00CB54B7"/>
    <w:rsid w:val="00E50EBA"/>
    <w:rsid w:val="00FE6C1C"/>
    <w:rsid w:val="01474EBF"/>
    <w:rsid w:val="01C80B57"/>
    <w:rsid w:val="01CF430C"/>
    <w:rsid w:val="01F3521E"/>
    <w:rsid w:val="020D3ACD"/>
    <w:rsid w:val="03E3214F"/>
    <w:rsid w:val="04446191"/>
    <w:rsid w:val="044C50BA"/>
    <w:rsid w:val="045B4EA6"/>
    <w:rsid w:val="04AB3B98"/>
    <w:rsid w:val="0536621F"/>
    <w:rsid w:val="05E71467"/>
    <w:rsid w:val="05FE1F2C"/>
    <w:rsid w:val="06712910"/>
    <w:rsid w:val="06A2550B"/>
    <w:rsid w:val="06B303DB"/>
    <w:rsid w:val="06F80EE2"/>
    <w:rsid w:val="07001CCA"/>
    <w:rsid w:val="075321D2"/>
    <w:rsid w:val="075678DB"/>
    <w:rsid w:val="07932335"/>
    <w:rsid w:val="08051BCA"/>
    <w:rsid w:val="080A21BB"/>
    <w:rsid w:val="08BA052C"/>
    <w:rsid w:val="08DB07BA"/>
    <w:rsid w:val="098305D0"/>
    <w:rsid w:val="099D6714"/>
    <w:rsid w:val="09B72B6E"/>
    <w:rsid w:val="0A0C7F04"/>
    <w:rsid w:val="0A1357A5"/>
    <w:rsid w:val="0A227275"/>
    <w:rsid w:val="0A4E57E5"/>
    <w:rsid w:val="0A5C4B69"/>
    <w:rsid w:val="0AA22660"/>
    <w:rsid w:val="0AC11AC6"/>
    <w:rsid w:val="0B9335CE"/>
    <w:rsid w:val="0BA10C97"/>
    <w:rsid w:val="0BD93F68"/>
    <w:rsid w:val="0C04798E"/>
    <w:rsid w:val="0C554661"/>
    <w:rsid w:val="0C6038FC"/>
    <w:rsid w:val="0C7927C4"/>
    <w:rsid w:val="0C9B098C"/>
    <w:rsid w:val="0CCA1A4E"/>
    <w:rsid w:val="0CE80A8F"/>
    <w:rsid w:val="0D36617C"/>
    <w:rsid w:val="0D472B48"/>
    <w:rsid w:val="0D673E11"/>
    <w:rsid w:val="0DB50EFE"/>
    <w:rsid w:val="0DDA54E4"/>
    <w:rsid w:val="0E3A5F83"/>
    <w:rsid w:val="0E9478E1"/>
    <w:rsid w:val="0EC21274"/>
    <w:rsid w:val="0F693922"/>
    <w:rsid w:val="0F836721"/>
    <w:rsid w:val="103645A3"/>
    <w:rsid w:val="107B59E5"/>
    <w:rsid w:val="10AA219D"/>
    <w:rsid w:val="10C7077C"/>
    <w:rsid w:val="11003CB0"/>
    <w:rsid w:val="11124E18"/>
    <w:rsid w:val="111445C7"/>
    <w:rsid w:val="1158083A"/>
    <w:rsid w:val="11F03528"/>
    <w:rsid w:val="12C921C4"/>
    <w:rsid w:val="12DA353E"/>
    <w:rsid w:val="13117499"/>
    <w:rsid w:val="13850DCB"/>
    <w:rsid w:val="13871C70"/>
    <w:rsid w:val="13A71CB4"/>
    <w:rsid w:val="13AF1D43"/>
    <w:rsid w:val="13CE1647"/>
    <w:rsid w:val="14200702"/>
    <w:rsid w:val="144F3F11"/>
    <w:rsid w:val="15497FF4"/>
    <w:rsid w:val="1580711B"/>
    <w:rsid w:val="16D80EBF"/>
    <w:rsid w:val="16DB67A1"/>
    <w:rsid w:val="189B0D0B"/>
    <w:rsid w:val="18E03A42"/>
    <w:rsid w:val="190C2A05"/>
    <w:rsid w:val="19313430"/>
    <w:rsid w:val="194A1770"/>
    <w:rsid w:val="19B906A4"/>
    <w:rsid w:val="19BC4734"/>
    <w:rsid w:val="1A1F744B"/>
    <w:rsid w:val="1AAA594A"/>
    <w:rsid w:val="1AB10093"/>
    <w:rsid w:val="1B1F260F"/>
    <w:rsid w:val="1B3A0CCF"/>
    <w:rsid w:val="1B501DE7"/>
    <w:rsid w:val="1B6F15B6"/>
    <w:rsid w:val="1BAA2EDC"/>
    <w:rsid w:val="1C673C79"/>
    <w:rsid w:val="1CE157EE"/>
    <w:rsid w:val="1D014A01"/>
    <w:rsid w:val="1D022362"/>
    <w:rsid w:val="1D091B60"/>
    <w:rsid w:val="1D5B5AE6"/>
    <w:rsid w:val="1D794AE5"/>
    <w:rsid w:val="1DD26311"/>
    <w:rsid w:val="1DE57DAF"/>
    <w:rsid w:val="1EF67CA4"/>
    <w:rsid w:val="1F213FD9"/>
    <w:rsid w:val="1FB5760B"/>
    <w:rsid w:val="1FCD26AF"/>
    <w:rsid w:val="20642787"/>
    <w:rsid w:val="20C83310"/>
    <w:rsid w:val="20EC77A3"/>
    <w:rsid w:val="21556F04"/>
    <w:rsid w:val="22403BD3"/>
    <w:rsid w:val="22636131"/>
    <w:rsid w:val="227F106A"/>
    <w:rsid w:val="23D45458"/>
    <w:rsid w:val="24B92327"/>
    <w:rsid w:val="2533755C"/>
    <w:rsid w:val="256F2245"/>
    <w:rsid w:val="261E64DC"/>
    <w:rsid w:val="26396DF4"/>
    <w:rsid w:val="266B763B"/>
    <w:rsid w:val="266B7B89"/>
    <w:rsid w:val="26C72542"/>
    <w:rsid w:val="27167136"/>
    <w:rsid w:val="27B23302"/>
    <w:rsid w:val="27D424D7"/>
    <w:rsid w:val="27D44B5E"/>
    <w:rsid w:val="27E40580"/>
    <w:rsid w:val="285722C3"/>
    <w:rsid w:val="28790733"/>
    <w:rsid w:val="289C35C8"/>
    <w:rsid w:val="28DC1FF8"/>
    <w:rsid w:val="29310A5F"/>
    <w:rsid w:val="29C37A35"/>
    <w:rsid w:val="29F8222C"/>
    <w:rsid w:val="2A076083"/>
    <w:rsid w:val="2A306CA5"/>
    <w:rsid w:val="2A330A32"/>
    <w:rsid w:val="2A73162E"/>
    <w:rsid w:val="2A8853D9"/>
    <w:rsid w:val="2AFA2E94"/>
    <w:rsid w:val="2B167953"/>
    <w:rsid w:val="2B200583"/>
    <w:rsid w:val="2B240BCD"/>
    <w:rsid w:val="2B374F91"/>
    <w:rsid w:val="2B8209DE"/>
    <w:rsid w:val="2C476359"/>
    <w:rsid w:val="2C5E2B9F"/>
    <w:rsid w:val="2C6762A3"/>
    <w:rsid w:val="2D5F4C37"/>
    <w:rsid w:val="2E7E35FA"/>
    <w:rsid w:val="2FE029D7"/>
    <w:rsid w:val="2FF06E00"/>
    <w:rsid w:val="315F0B22"/>
    <w:rsid w:val="31BE24D6"/>
    <w:rsid w:val="31D84415"/>
    <w:rsid w:val="32285F6F"/>
    <w:rsid w:val="32770556"/>
    <w:rsid w:val="329C0913"/>
    <w:rsid w:val="3337290D"/>
    <w:rsid w:val="34805335"/>
    <w:rsid w:val="352930DB"/>
    <w:rsid w:val="35371769"/>
    <w:rsid w:val="35573069"/>
    <w:rsid w:val="357D0945"/>
    <w:rsid w:val="358C217E"/>
    <w:rsid w:val="359E7284"/>
    <w:rsid w:val="359F188C"/>
    <w:rsid w:val="35F455C0"/>
    <w:rsid w:val="36C9128A"/>
    <w:rsid w:val="37841E99"/>
    <w:rsid w:val="379C594F"/>
    <w:rsid w:val="37BF1123"/>
    <w:rsid w:val="37C85E36"/>
    <w:rsid w:val="38BE4696"/>
    <w:rsid w:val="396A5D6C"/>
    <w:rsid w:val="39B82A39"/>
    <w:rsid w:val="39F33306"/>
    <w:rsid w:val="3AA26ABF"/>
    <w:rsid w:val="3B1705E5"/>
    <w:rsid w:val="3B18334B"/>
    <w:rsid w:val="3B36794F"/>
    <w:rsid w:val="3B544954"/>
    <w:rsid w:val="3B793FF0"/>
    <w:rsid w:val="3B97076E"/>
    <w:rsid w:val="3BF011B5"/>
    <w:rsid w:val="3C484F39"/>
    <w:rsid w:val="3C5A5928"/>
    <w:rsid w:val="3C6A5B02"/>
    <w:rsid w:val="3C932787"/>
    <w:rsid w:val="3D2757A1"/>
    <w:rsid w:val="3D3D4FC4"/>
    <w:rsid w:val="3DDF3AB1"/>
    <w:rsid w:val="3DE60B7E"/>
    <w:rsid w:val="3E1D0952"/>
    <w:rsid w:val="3E42660A"/>
    <w:rsid w:val="3E7555B1"/>
    <w:rsid w:val="3E775B57"/>
    <w:rsid w:val="3E9532D1"/>
    <w:rsid w:val="3EA72472"/>
    <w:rsid w:val="3EBD6781"/>
    <w:rsid w:val="3EDE1208"/>
    <w:rsid w:val="3F0527E5"/>
    <w:rsid w:val="3F16459E"/>
    <w:rsid w:val="4004000C"/>
    <w:rsid w:val="411B6CE5"/>
    <w:rsid w:val="412070D7"/>
    <w:rsid w:val="41314E40"/>
    <w:rsid w:val="41531759"/>
    <w:rsid w:val="415C674B"/>
    <w:rsid w:val="426C1EA8"/>
    <w:rsid w:val="428132F8"/>
    <w:rsid w:val="42E86A87"/>
    <w:rsid w:val="43136432"/>
    <w:rsid w:val="43CC55A9"/>
    <w:rsid w:val="443A3B12"/>
    <w:rsid w:val="44487B36"/>
    <w:rsid w:val="44917FEE"/>
    <w:rsid w:val="44EF6BE8"/>
    <w:rsid w:val="45A30364"/>
    <w:rsid w:val="45A72C1D"/>
    <w:rsid w:val="465B470D"/>
    <w:rsid w:val="469D6AD4"/>
    <w:rsid w:val="47674801"/>
    <w:rsid w:val="48225EF7"/>
    <w:rsid w:val="48A36D47"/>
    <w:rsid w:val="491E2C51"/>
    <w:rsid w:val="495C4A24"/>
    <w:rsid w:val="49A21DF3"/>
    <w:rsid w:val="49C811E4"/>
    <w:rsid w:val="4A216E30"/>
    <w:rsid w:val="4B7951CB"/>
    <w:rsid w:val="4B7C315C"/>
    <w:rsid w:val="4B9300D7"/>
    <w:rsid w:val="4BAB7F90"/>
    <w:rsid w:val="4BD53EDA"/>
    <w:rsid w:val="4BE11807"/>
    <w:rsid w:val="4C484CE5"/>
    <w:rsid w:val="4C9170DB"/>
    <w:rsid w:val="4CC30298"/>
    <w:rsid w:val="4DAC4ACA"/>
    <w:rsid w:val="4DC628E1"/>
    <w:rsid w:val="4DD06F63"/>
    <w:rsid w:val="4DDB6D14"/>
    <w:rsid w:val="4E043596"/>
    <w:rsid w:val="4E0667F8"/>
    <w:rsid w:val="4EA8523F"/>
    <w:rsid w:val="4F186D58"/>
    <w:rsid w:val="4F224836"/>
    <w:rsid w:val="4F696C51"/>
    <w:rsid w:val="50C5385B"/>
    <w:rsid w:val="515240B8"/>
    <w:rsid w:val="51760217"/>
    <w:rsid w:val="51AF2C2E"/>
    <w:rsid w:val="51E36677"/>
    <w:rsid w:val="522F6E0C"/>
    <w:rsid w:val="52463BA1"/>
    <w:rsid w:val="529F078E"/>
    <w:rsid w:val="52DD4432"/>
    <w:rsid w:val="536336A0"/>
    <w:rsid w:val="53C0244D"/>
    <w:rsid w:val="53DD4D4E"/>
    <w:rsid w:val="53E578CE"/>
    <w:rsid w:val="53EA10F5"/>
    <w:rsid w:val="543B029D"/>
    <w:rsid w:val="5473188A"/>
    <w:rsid w:val="54977029"/>
    <w:rsid w:val="554E5773"/>
    <w:rsid w:val="555A3CBC"/>
    <w:rsid w:val="55EF4EA6"/>
    <w:rsid w:val="56530F5D"/>
    <w:rsid w:val="565532DC"/>
    <w:rsid w:val="56EE372E"/>
    <w:rsid w:val="57346425"/>
    <w:rsid w:val="57B40121"/>
    <w:rsid w:val="5842572D"/>
    <w:rsid w:val="598A28E2"/>
    <w:rsid w:val="5A681ED2"/>
    <w:rsid w:val="5B411292"/>
    <w:rsid w:val="5C1336B7"/>
    <w:rsid w:val="5C263CE4"/>
    <w:rsid w:val="5C5D2777"/>
    <w:rsid w:val="5C722D7F"/>
    <w:rsid w:val="5D290C69"/>
    <w:rsid w:val="5D6D1A2D"/>
    <w:rsid w:val="5DBD0FA3"/>
    <w:rsid w:val="5EFA176D"/>
    <w:rsid w:val="5F0247F9"/>
    <w:rsid w:val="5F2D4A41"/>
    <w:rsid w:val="601C34ED"/>
    <w:rsid w:val="60A511FB"/>
    <w:rsid w:val="61025A59"/>
    <w:rsid w:val="610B6C33"/>
    <w:rsid w:val="613D5BBC"/>
    <w:rsid w:val="61536C39"/>
    <w:rsid w:val="616D60F9"/>
    <w:rsid w:val="62944DD7"/>
    <w:rsid w:val="63497036"/>
    <w:rsid w:val="636808D9"/>
    <w:rsid w:val="637D74F7"/>
    <w:rsid w:val="63C1619B"/>
    <w:rsid w:val="63C17AEC"/>
    <w:rsid w:val="63C25DC5"/>
    <w:rsid w:val="63C62057"/>
    <w:rsid w:val="63C73832"/>
    <w:rsid w:val="64192A39"/>
    <w:rsid w:val="648A3C5C"/>
    <w:rsid w:val="64E3087B"/>
    <w:rsid w:val="64FB113D"/>
    <w:rsid w:val="6544377C"/>
    <w:rsid w:val="655F5939"/>
    <w:rsid w:val="656152C6"/>
    <w:rsid w:val="6587477F"/>
    <w:rsid w:val="658C3A08"/>
    <w:rsid w:val="65C031CA"/>
    <w:rsid w:val="65CE6852"/>
    <w:rsid w:val="65F004F9"/>
    <w:rsid w:val="66267C04"/>
    <w:rsid w:val="66391F1D"/>
    <w:rsid w:val="663F505A"/>
    <w:rsid w:val="667F2393"/>
    <w:rsid w:val="66C07C56"/>
    <w:rsid w:val="66CC1288"/>
    <w:rsid w:val="66EE5541"/>
    <w:rsid w:val="67086152"/>
    <w:rsid w:val="67843C91"/>
    <w:rsid w:val="67B53825"/>
    <w:rsid w:val="687E45FE"/>
    <w:rsid w:val="68BB550D"/>
    <w:rsid w:val="68BE4905"/>
    <w:rsid w:val="692172FD"/>
    <w:rsid w:val="692631CF"/>
    <w:rsid w:val="69A75A43"/>
    <w:rsid w:val="6A3829EE"/>
    <w:rsid w:val="6A924CB7"/>
    <w:rsid w:val="6AE0292E"/>
    <w:rsid w:val="6B474EF5"/>
    <w:rsid w:val="6BC27679"/>
    <w:rsid w:val="6BC54EFE"/>
    <w:rsid w:val="6C560CAE"/>
    <w:rsid w:val="6CD15296"/>
    <w:rsid w:val="6D114B43"/>
    <w:rsid w:val="6D756E0D"/>
    <w:rsid w:val="6D903FF5"/>
    <w:rsid w:val="6DA955B8"/>
    <w:rsid w:val="6DE346AB"/>
    <w:rsid w:val="6E5F5468"/>
    <w:rsid w:val="6F62247D"/>
    <w:rsid w:val="6FFB2E76"/>
    <w:rsid w:val="70AB70D6"/>
    <w:rsid w:val="70AF0482"/>
    <w:rsid w:val="70DE5507"/>
    <w:rsid w:val="70FA499F"/>
    <w:rsid w:val="71251E0C"/>
    <w:rsid w:val="71C34D91"/>
    <w:rsid w:val="71ED38AA"/>
    <w:rsid w:val="72DA73A9"/>
    <w:rsid w:val="72DB435C"/>
    <w:rsid w:val="73BE7174"/>
    <w:rsid w:val="73DB459C"/>
    <w:rsid w:val="74186CEE"/>
    <w:rsid w:val="74ED1B1B"/>
    <w:rsid w:val="74F04C0C"/>
    <w:rsid w:val="750837F0"/>
    <w:rsid w:val="762A73EF"/>
    <w:rsid w:val="7631412E"/>
    <w:rsid w:val="764F62AB"/>
    <w:rsid w:val="765C45EC"/>
    <w:rsid w:val="768653C3"/>
    <w:rsid w:val="768A7619"/>
    <w:rsid w:val="7714640F"/>
    <w:rsid w:val="77EA362A"/>
    <w:rsid w:val="7875383E"/>
    <w:rsid w:val="79097D32"/>
    <w:rsid w:val="7919085E"/>
    <w:rsid w:val="796D60A4"/>
    <w:rsid w:val="79A031D5"/>
    <w:rsid w:val="79A52681"/>
    <w:rsid w:val="7A1525F7"/>
    <w:rsid w:val="7A3E6CB6"/>
    <w:rsid w:val="7A99799F"/>
    <w:rsid w:val="7B420052"/>
    <w:rsid w:val="7B7D43A1"/>
    <w:rsid w:val="7B916285"/>
    <w:rsid w:val="7BD06A28"/>
    <w:rsid w:val="7C1E4CD7"/>
    <w:rsid w:val="7C3A7C0B"/>
    <w:rsid w:val="7C5248E4"/>
    <w:rsid w:val="7C566698"/>
    <w:rsid w:val="7CE56AF6"/>
    <w:rsid w:val="7CF02E5B"/>
    <w:rsid w:val="7D213FB2"/>
    <w:rsid w:val="7E3A492E"/>
    <w:rsid w:val="7EBF701F"/>
    <w:rsid w:val="7FD4245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2606</Words>
  <Characters>14858</Characters>
  <Lines>123</Lines>
  <Paragraphs>34</Paragraphs>
  <TotalTime>7</TotalTime>
  <ScaleCrop>false</ScaleCrop>
  <LinksUpToDate>false</LinksUpToDate>
  <CharactersWithSpaces>17430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2025-09-16T08:49:43Z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y fmtid="{D5CDD505-2E9C-101B-9397-08002B2CF9AE}" pid="4" name="KSOTemplateDocerSaveRecord">
    <vt:lpwstr>eyJoZGlkIjoiMjk0NmMzNjk3ZGYyMThlNmUzM2Y5ZGUwYjgwM2U2OTciLCJ1c2VySWQiOiI0NDgyMDYxNDcifQ==</vt:lpwstr>
  </property>
</Properties>
</file>