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B12D1">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丰都县旅游宣传营销中心</w:t>
      </w:r>
    </w:p>
    <w:p w14:paraId="6258F3B0">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1E635D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0C12CEC2">
      <w:pPr>
        <w:shd w:val="clear" w:color="auto" w:fill="FFFFFF"/>
        <w:spacing w:before="100" w:beforeAutospacing="1" w:after="100" w:afterAutospacing="1"/>
        <w:ind w:firstLine="420"/>
        <w:rPr>
          <w:rFonts w:hint="default" w:ascii="方正仿宋_GBK" w:hAnsi="方正仿宋_GBK" w:eastAsia="方正仿宋_GBK" w:cs="方正仿宋_GBK"/>
          <w:sz w:val="32"/>
          <w:szCs w:val="32"/>
          <w:lang w:val="en-US" w:eastAsia="zh-CN" w:bidi="ar-SA"/>
        </w:rPr>
      </w:pPr>
      <w:r>
        <w:rPr>
          <w:rStyle w:val="13"/>
          <w:rFonts w:hint="eastAsia" w:ascii="楷体" w:hAnsi="楷体" w:eastAsia="楷体" w:cs="楷体"/>
          <w:sz w:val="32"/>
          <w:szCs w:val="32"/>
          <w:shd w:val="clear" w:color="auto" w:fill="FFFFFF"/>
          <w:lang w:val="en-US" w:eastAsia="zh-CN" w:bidi="ar-SA"/>
        </w:rPr>
        <w:t>（一）职能职责</w:t>
      </w:r>
    </w:p>
    <w:p w14:paraId="6D7DD1C4">
      <w:p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受县文旅委的委托，负责策划、制定全县旅游宣传营销策略和总体方案；负责全县旅游宣传营销工作。</w:t>
      </w:r>
    </w:p>
    <w:p w14:paraId="1904CF66">
      <w:pPr>
        <w:shd w:val="clear" w:color="auto" w:fill="FFFFFF"/>
        <w:spacing w:before="100" w:beforeAutospacing="1" w:after="100" w:afterAutospacing="1"/>
        <w:ind w:firstLine="420"/>
        <w:rPr>
          <w:rFonts w:hint="default" w:ascii="楷体" w:hAnsi="楷体" w:eastAsia="楷体" w:cs="楷体"/>
          <w:sz w:val="32"/>
          <w:szCs w:val="32"/>
          <w:lang w:val="en-US" w:eastAsia="zh-CN" w:bidi="ar-SA"/>
        </w:rPr>
      </w:pPr>
      <w:r>
        <w:rPr>
          <w:rStyle w:val="13"/>
          <w:rFonts w:hint="eastAsia" w:ascii="楷体" w:hAnsi="楷体" w:eastAsia="楷体" w:cs="楷体"/>
          <w:sz w:val="32"/>
          <w:szCs w:val="32"/>
          <w:shd w:val="clear" w:color="auto" w:fill="FFFFFF"/>
          <w:lang w:val="en-US" w:eastAsia="zh-CN" w:bidi="ar-SA"/>
        </w:rPr>
        <w:t>（二）机构设置</w:t>
      </w:r>
    </w:p>
    <w:p w14:paraId="17047429">
      <w:pPr>
        <w:spacing w:line="594" w:lineRule="exact"/>
        <w:ind w:firstLine="640" w:firstLineChars="200"/>
        <w:rPr>
          <w:rFonts w:hint="default"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丰都县旅游宣传营销中心为县文旅委所属的</w:t>
      </w:r>
      <w:r>
        <w:rPr>
          <w:rFonts w:hint="eastAsia" w:ascii="方正仿宋_GBK" w:hAnsi="方正仿宋_GBK" w:eastAsia="方正仿宋_GBK" w:cs="方正仿宋_GBK"/>
          <w:sz w:val="32"/>
          <w:szCs w:val="32"/>
          <w:lang w:val="en-US" w:eastAsia="zh-CN" w:bidi="ar"/>
        </w:rPr>
        <w:t>正</w:t>
      </w:r>
      <w:r>
        <w:rPr>
          <w:rFonts w:ascii="方正仿宋_GBK" w:hAnsi="方正仿宋_GBK" w:eastAsia="方正仿宋_GBK" w:cs="方正仿宋_GBK"/>
          <w:sz w:val="32"/>
          <w:szCs w:val="32"/>
          <w:lang w:bidi="ar"/>
        </w:rPr>
        <w:t>科级财政全额拨款公益一类事业单位。根据上述职责和《丰都县机构设置和编制管理办法》，丰都县旅游宣传营销中心设3个内设机构：</w:t>
      </w:r>
    </w:p>
    <w:p w14:paraId="0B012B79">
      <w:pPr>
        <w:spacing w:line="594" w:lineRule="exact"/>
        <w:ind w:firstLine="640" w:firstLineChars="200"/>
        <w:rPr>
          <w:rFonts w:hint="default"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1.综合科</w:t>
      </w:r>
    </w:p>
    <w:p w14:paraId="6DADB4F4">
      <w:pPr>
        <w:spacing w:line="594" w:lineRule="exact"/>
        <w:ind w:firstLine="640" w:firstLineChars="200"/>
        <w:rPr>
          <w:rFonts w:hint="default"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负责行政事务、党建工作、党风廉政、编制人事、绩效考核、资产和财务管理、议提案办理、安全信访、后勤保障等工作。</w:t>
      </w:r>
    </w:p>
    <w:p w14:paraId="6723039B">
      <w:pPr>
        <w:spacing w:line="594" w:lineRule="exact"/>
        <w:ind w:firstLine="640" w:firstLineChars="200"/>
        <w:rPr>
          <w:rFonts w:hint="default"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2.宣传科</w:t>
      </w:r>
    </w:p>
    <w:p w14:paraId="734CCCD0">
      <w:pPr>
        <w:spacing w:line="594" w:lineRule="exact"/>
        <w:ind w:firstLine="640" w:firstLineChars="200"/>
        <w:rPr>
          <w:rFonts w:hint="default"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负责策划、制定全县旅游宣传总体方案，组织实施以丰都县为目的地的各项旅游宣传活动；负责策划、实施全县大型旅游节庆活动、开展旅游公关活动。</w:t>
      </w:r>
    </w:p>
    <w:p w14:paraId="1BFD8325">
      <w:pPr>
        <w:spacing w:line="594" w:lineRule="exact"/>
        <w:ind w:firstLine="640" w:firstLineChars="200"/>
        <w:rPr>
          <w:rFonts w:hint="default"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3.营销科</w:t>
      </w:r>
    </w:p>
    <w:p w14:paraId="5A49AC1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lang w:bidi="ar"/>
        </w:rPr>
        <w:t>研究分析全县旅游客源市场情况，负责策划、制定全县旅游营销策略和总体方案，组织实施以丰都县为目的地的各项旅游营销活动；负责建立完善网络营销体系；负责对旅行社及旅游景区的营销考核工作。</w:t>
      </w:r>
    </w:p>
    <w:p w14:paraId="476685F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决算情况说明</w:t>
      </w:r>
    </w:p>
    <w:p w14:paraId="16DD7BBF">
      <w:pPr>
        <w:autoSpaceDE w:val="0"/>
        <w:ind w:firstLine="643" w:firstLineChars="200"/>
        <w:rPr>
          <w:rFonts w:hint="default"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（一）收入支出决算总体情况说明。</w:t>
      </w:r>
    </w:p>
    <w:p w14:paraId="39F9E157">
      <w:pPr>
        <w:shd w:val="clear" w:color="auto" w:fill="FFFFFF"/>
        <w:spacing w:before="100" w:beforeAutospacing="1" w:after="100" w:afterAutospacing="1"/>
        <w:ind w:firstLine="643" w:firstLineChars="200"/>
        <w:rPr>
          <w:rFonts w:hint="default" w:ascii="方正仿宋_GBK" w:hAnsi="方正仿宋_GBK" w:eastAsia="方正仿宋_GBK" w:cs="方正仿宋_GBK"/>
          <w:sz w:val="32"/>
          <w:szCs w:val="32"/>
          <w:lang w:val="en-US" w:eastAsia="zh-CN" w:bidi="ar-SA"/>
        </w:rPr>
      </w:pPr>
      <w:r>
        <w:rPr>
          <w:rStyle w:val="13"/>
          <w:rFonts w:hint="eastAsia" w:ascii="方正仿宋_GBK" w:hAnsi="方正仿宋_GBK" w:eastAsia="方正仿宋_GBK" w:cs="方正仿宋_GBK"/>
          <w:sz w:val="32"/>
          <w:szCs w:val="32"/>
          <w:shd w:val="clear" w:color="auto" w:fill="FFFFFF"/>
          <w:lang w:val="en-US" w:eastAsia="zh-CN" w:bidi="ar-SA"/>
        </w:rPr>
        <w:t>1.总体情况。</w:t>
      </w:r>
      <w:r>
        <w:rPr>
          <w:rFonts w:hint="eastAsia" w:ascii="方正仿宋_GBK" w:hAnsi="方正仿宋_GBK" w:eastAsia="方正仿宋_GBK" w:cs="方正仿宋_GBK"/>
          <w:sz w:val="32"/>
          <w:szCs w:val="32"/>
          <w:shd w:val="clear" w:color="auto" w:fill="FFFFFF"/>
          <w:lang w:val="en-US" w:eastAsia="zh-CN" w:bidi="ar-SA"/>
        </w:rPr>
        <w:t>2024年度收入总计296.28万元，支出总计</w:t>
      </w:r>
      <w:r>
        <w:rPr>
          <w:rFonts w:hint="eastAsia" w:ascii="方正仿宋_GBK" w:hAnsi="方正仿宋_GBK" w:eastAsia="方正仿宋_GBK" w:cs="方正仿宋_GBK"/>
          <w:sz w:val="32"/>
          <w:szCs w:val="32"/>
          <w:lang w:val="en-US" w:eastAsia="zh-CN" w:bidi="ar-SA"/>
        </w:rPr>
        <w:t>296.28</w:t>
      </w:r>
      <w:r>
        <w:rPr>
          <w:rFonts w:hint="eastAsia" w:ascii="方正仿宋_GBK" w:hAnsi="方正仿宋_GBK" w:eastAsia="方正仿宋_GBK" w:cs="方正仿宋_GBK"/>
          <w:sz w:val="32"/>
          <w:szCs w:val="32"/>
          <w:shd w:val="clear" w:color="auto" w:fill="FFFFFF"/>
          <w:lang w:val="en-US" w:eastAsia="zh-CN" w:bidi="ar-SA"/>
        </w:rPr>
        <w:t>万元。收支较上年决算数增加49.63万元，增长20.12%，主要原因是本年单位新增4</w:t>
      </w:r>
      <w:r>
        <w:rPr>
          <w:rFonts w:hint="eastAsia" w:ascii="方正仿宋_GBK" w:hAnsi="方正仿宋_GBK" w:eastAsia="方正仿宋_GBK" w:cs="方正仿宋_GBK"/>
          <w:color w:val="auto"/>
          <w:sz w:val="32"/>
          <w:szCs w:val="32"/>
          <w:shd w:val="clear" w:color="auto" w:fill="FFFFFF"/>
          <w:lang w:val="en-US" w:eastAsia="zh-CN" w:bidi="ar-SA"/>
        </w:rPr>
        <w:t>人。</w:t>
      </w:r>
    </w:p>
    <w:p w14:paraId="1A1683C8">
      <w:pP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lang w:val="en-US" w:eastAsia="zh-CN" w:bidi="ar-SA"/>
        </w:rPr>
      </w:pPr>
      <w:r>
        <w:rPr>
          <w:rStyle w:val="13"/>
          <w:rFonts w:hint="eastAsia" w:ascii="方正仿宋_GBK" w:hAnsi="方正仿宋_GBK" w:eastAsia="方正仿宋_GBK" w:cs="方正仿宋_GBK"/>
          <w:sz w:val="32"/>
          <w:szCs w:val="32"/>
          <w:shd w:val="clear" w:color="auto" w:fill="FFFFFF"/>
          <w:lang w:val="en-US" w:eastAsia="zh-CN" w:bidi="ar-SA"/>
        </w:rPr>
        <w:t>2.收入情况。</w:t>
      </w:r>
      <w:r>
        <w:rPr>
          <w:rFonts w:hint="eastAsia" w:ascii="方正仿宋_GBK" w:hAnsi="方正仿宋_GBK" w:eastAsia="方正仿宋_GBK" w:cs="方正仿宋_GBK"/>
          <w:sz w:val="32"/>
          <w:szCs w:val="32"/>
          <w:shd w:val="clear" w:color="auto" w:fill="FFFFFF"/>
          <w:lang w:val="en-US" w:eastAsia="zh-CN" w:bidi="ar-SA"/>
        </w:rPr>
        <w:t>2024年度收入合计296.28万元，较上年决算数增加49.63万元，增长20.12%，主要原因是单位新增4人。其中：财政拨款收入</w:t>
      </w:r>
      <w:r>
        <w:rPr>
          <w:rFonts w:hint="eastAsia" w:ascii="方正仿宋_GBK" w:hAnsi="方正仿宋_GBK" w:eastAsia="方正仿宋_GBK" w:cs="方正仿宋_GBK"/>
          <w:sz w:val="32"/>
          <w:szCs w:val="32"/>
          <w:lang w:val="en-US" w:eastAsia="zh-CN" w:bidi="ar-SA"/>
        </w:rPr>
        <w:t>296.28</w:t>
      </w:r>
      <w:r>
        <w:rPr>
          <w:rFonts w:hint="eastAsia" w:ascii="方正仿宋_GBK" w:hAnsi="方正仿宋_GBK" w:eastAsia="方正仿宋_GBK" w:cs="方正仿宋_GBK"/>
          <w:sz w:val="32"/>
          <w:szCs w:val="32"/>
          <w:shd w:val="clear" w:color="auto" w:fill="FFFFFF"/>
          <w:lang w:val="en-US" w:eastAsia="zh-CN" w:bidi="ar-SA"/>
        </w:rPr>
        <w:t>万元，占</w:t>
      </w:r>
      <w:r>
        <w:rPr>
          <w:rFonts w:hint="eastAsia" w:ascii="方正仿宋_GBK" w:hAnsi="方正仿宋_GBK" w:eastAsia="方正仿宋_GBK" w:cs="方正仿宋_GBK"/>
          <w:sz w:val="32"/>
          <w:szCs w:val="32"/>
          <w:lang w:val="en-US" w:eastAsia="zh-CN" w:bidi="ar-SA"/>
        </w:rPr>
        <w:t>100.00</w:t>
      </w:r>
      <w:r>
        <w:rPr>
          <w:rFonts w:hint="eastAsia" w:ascii="方正仿宋_GBK" w:hAnsi="方正仿宋_GBK" w:eastAsia="方正仿宋_GBK" w:cs="方正仿宋_GBK"/>
          <w:sz w:val="32"/>
          <w:szCs w:val="32"/>
          <w:shd w:val="clear" w:color="auto" w:fill="FFFFFF"/>
          <w:lang w:val="en-US" w:eastAsia="zh-CN" w:bidi="ar-SA"/>
        </w:rPr>
        <w:t>%；事业收入</w:t>
      </w:r>
      <w:r>
        <w:rPr>
          <w:rFonts w:hint="eastAsia"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万元，占0.00%；经营收入</w:t>
      </w:r>
      <w:r>
        <w:rPr>
          <w:rFonts w:hint="eastAsia"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万元，占0.00%；其他收入</w:t>
      </w:r>
      <w:r>
        <w:rPr>
          <w:rFonts w:hint="eastAsia"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万元，占0.00%。此外，使用非财政拨款结余和专用结余</w:t>
      </w:r>
      <w:r>
        <w:rPr>
          <w:rFonts w:hint="eastAsia"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万元，年初结转和结余</w:t>
      </w:r>
      <w:r>
        <w:rPr>
          <w:rFonts w:hint="eastAsia" w:ascii="方正仿宋_GBK" w:hAnsi="方正仿宋_GBK" w:eastAsia="方正仿宋_GBK" w:cs="方正仿宋_GBK"/>
          <w:sz w:val="32"/>
          <w:szCs w:val="32"/>
          <w:lang w:val="en-US" w:eastAsia="zh-CN" w:bidi="ar-SA"/>
        </w:rPr>
        <w:t>1.34</w:t>
      </w:r>
      <w:r>
        <w:rPr>
          <w:rFonts w:hint="eastAsia" w:ascii="方正仿宋_GBK" w:hAnsi="方正仿宋_GBK" w:eastAsia="方正仿宋_GBK" w:cs="方正仿宋_GBK"/>
          <w:sz w:val="32"/>
          <w:szCs w:val="32"/>
          <w:shd w:val="clear" w:color="auto" w:fill="FFFFFF"/>
          <w:lang w:val="en-US" w:eastAsia="zh-CN" w:bidi="ar-SA"/>
        </w:rPr>
        <w:t>万元。</w:t>
      </w:r>
    </w:p>
    <w:p w14:paraId="25338E04">
      <w:pP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lang w:val="en-US" w:eastAsia="zh-CN" w:bidi="ar-SA"/>
        </w:rPr>
      </w:pPr>
      <w:r>
        <w:rPr>
          <w:rStyle w:val="13"/>
          <w:rFonts w:hint="eastAsia" w:ascii="方正仿宋_GBK" w:hAnsi="方正仿宋_GBK" w:eastAsia="方正仿宋_GBK" w:cs="方正仿宋_GBK"/>
          <w:sz w:val="32"/>
          <w:szCs w:val="32"/>
          <w:shd w:val="clear" w:color="auto" w:fill="FFFFFF"/>
          <w:lang w:val="en-US" w:eastAsia="zh-CN" w:bidi="ar-SA"/>
        </w:rPr>
        <w:t>3.支出情况。</w:t>
      </w:r>
      <w:r>
        <w:rPr>
          <w:rFonts w:hint="eastAsia" w:ascii="方正仿宋_GBK" w:hAnsi="方正仿宋_GBK" w:eastAsia="方正仿宋_GBK" w:cs="方正仿宋_GBK"/>
          <w:sz w:val="32"/>
          <w:szCs w:val="32"/>
          <w:shd w:val="clear" w:color="auto" w:fill="FFFFFF"/>
          <w:lang w:val="en-US" w:eastAsia="zh-CN" w:bidi="ar-SA"/>
        </w:rPr>
        <w:t>2024年度支出合计</w:t>
      </w:r>
      <w:r>
        <w:rPr>
          <w:rFonts w:hint="eastAsia" w:ascii="方正仿宋_GBK" w:hAnsi="方正仿宋_GBK" w:eastAsia="方正仿宋_GBK" w:cs="方正仿宋_GBK"/>
          <w:sz w:val="32"/>
          <w:szCs w:val="32"/>
          <w:lang w:val="en-US" w:eastAsia="zh-CN" w:bidi="ar-SA"/>
        </w:rPr>
        <w:t>296.28</w:t>
      </w:r>
      <w:r>
        <w:rPr>
          <w:rFonts w:hint="eastAsia" w:ascii="方正仿宋_GBK" w:hAnsi="方正仿宋_GBK" w:eastAsia="方正仿宋_GBK" w:cs="方正仿宋_GBK"/>
          <w:sz w:val="32"/>
          <w:szCs w:val="32"/>
          <w:shd w:val="clear" w:color="auto" w:fill="FFFFFF"/>
          <w:lang w:val="en-US" w:eastAsia="zh-CN" w:bidi="ar-SA"/>
        </w:rPr>
        <w:t>万元，较上年决算数增加49.63万元，增长20.12%，主要原因是单位新增4人。其中：基本支出</w:t>
      </w:r>
      <w:r>
        <w:rPr>
          <w:rFonts w:hint="eastAsia" w:ascii="方正仿宋_GBK" w:hAnsi="方正仿宋_GBK" w:eastAsia="方正仿宋_GBK" w:cs="方正仿宋_GBK"/>
          <w:sz w:val="32"/>
          <w:szCs w:val="32"/>
          <w:lang w:val="en-US" w:eastAsia="zh-CN" w:bidi="ar-SA"/>
        </w:rPr>
        <w:t>288.86</w:t>
      </w:r>
      <w:r>
        <w:rPr>
          <w:rFonts w:hint="eastAsia" w:ascii="方正仿宋_GBK" w:hAnsi="方正仿宋_GBK" w:eastAsia="方正仿宋_GBK" w:cs="方正仿宋_GBK"/>
          <w:sz w:val="32"/>
          <w:szCs w:val="32"/>
          <w:shd w:val="clear" w:color="auto" w:fill="FFFFFF"/>
          <w:lang w:val="en-US" w:eastAsia="zh-CN" w:bidi="ar-SA"/>
        </w:rPr>
        <w:t>万元，占97.5%；项目支出</w:t>
      </w:r>
      <w:r>
        <w:rPr>
          <w:rFonts w:hint="eastAsia" w:ascii="方正仿宋_GBK" w:hAnsi="方正仿宋_GBK" w:eastAsia="方正仿宋_GBK" w:cs="方正仿宋_GBK"/>
          <w:sz w:val="32"/>
          <w:szCs w:val="32"/>
          <w:lang w:val="en-US" w:eastAsia="zh-CN" w:bidi="ar-SA"/>
        </w:rPr>
        <w:t>7.43</w:t>
      </w:r>
      <w:r>
        <w:rPr>
          <w:rFonts w:hint="eastAsia" w:ascii="方正仿宋_GBK" w:hAnsi="方正仿宋_GBK" w:eastAsia="方正仿宋_GBK" w:cs="方正仿宋_GBK"/>
          <w:sz w:val="32"/>
          <w:szCs w:val="32"/>
          <w:shd w:val="clear" w:color="auto" w:fill="FFFFFF"/>
          <w:lang w:val="en-US" w:eastAsia="zh-CN" w:bidi="ar-SA"/>
        </w:rPr>
        <w:t>万元，占2.5%；经营支出</w:t>
      </w:r>
      <w:r>
        <w:rPr>
          <w:rFonts w:hint="eastAsia"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万元，占0.00%。此外，结余分配</w:t>
      </w:r>
      <w:r>
        <w:rPr>
          <w:rFonts w:hint="eastAsia"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p>
    <w:p w14:paraId="7E47F3E7">
      <w:pP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lang w:val="en-US" w:eastAsia="zh-CN" w:bidi="ar-SA"/>
        </w:rPr>
      </w:pPr>
      <w:r>
        <w:rPr>
          <w:rStyle w:val="13"/>
          <w:rFonts w:hint="eastAsia" w:ascii="方正仿宋_GBK" w:hAnsi="方正仿宋_GBK" w:eastAsia="方正仿宋_GBK" w:cs="方正仿宋_GBK"/>
          <w:sz w:val="32"/>
          <w:szCs w:val="32"/>
          <w:shd w:val="clear" w:color="auto" w:fill="FFFFFF"/>
          <w:lang w:val="en-US" w:eastAsia="zh-CN" w:bidi="ar-SA"/>
        </w:rPr>
        <w:t>4.结转结余情况。</w:t>
      </w:r>
      <w:r>
        <w:rPr>
          <w:rFonts w:hint="eastAsia" w:ascii="方正仿宋_GBK" w:hAnsi="方正仿宋_GBK" w:eastAsia="方正仿宋_GBK" w:cs="方正仿宋_GBK"/>
          <w:sz w:val="32"/>
          <w:szCs w:val="32"/>
          <w:shd w:val="clear" w:color="auto" w:fill="FFFFFF"/>
          <w:lang w:val="en-US" w:eastAsia="zh-CN" w:bidi="ar-SA"/>
        </w:rPr>
        <w:t>2024年度年末结转和结余</w:t>
      </w:r>
      <w:r>
        <w:rPr>
          <w:rFonts w:hint="eastAsia"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万元，较上年决算数无增减。</w:t>
      </w:r>
    </w:p>
    <w:p w14:paraId="7CF06EB3">
      <w:pPr>
        <w:autoSpaceDE w:val="0"/>
        <w:ind w:firstLine="643" w:firstLineChars="200"/>
        <w:rPr>
          <w:rFonts w:hint="default"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（二）财政拨款收入支出决算总体情况说明</w:t>
      </w:r>
    </w:p>
    <w:p w14:paraId="4FCB2C9D">
      <w:p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2024年度财政拨款收、支总计296.28万元。与2023年相比，财政拨款收、支总计各增加49.63万元，增长20.12%。主要原因是单位新增4人。</w:t>
      </w:r>
    </w:p>
    <w:p w14:paraId="5C51BBF0">
      <w:pPr>
        <w:autoSpaceDE w:val="0"/>
        <w:ind w:firstLine="643" w:firstLineChars="200"/>
        <w:rPr>
          <w:rFonts w:hint="default"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（三）一般公共预算财政拨款收入支出决算情况说明</w:t>
      </w:r>
    </w:p>
    <w:p w14:paraId="1DDEDA92">
      <w:pP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lang w:val="en-US" w:eastAsia="zh-CN" w:bidi="ar-SA"/>
        </w:rPr>
      </w:pPr>
      <w:r>
        <w:rPr>
          <w:rStyle w:val="13"/>
          <w:rFonts w:hint="eastAsia" w:ascii="方正仿宋_GBK" w:hAnsi="方正仿宋_GBK" w:eastAsia="方正仿宋_GBK" w:cs="方正仿宋_GBK"/>
          <w:sz w:val="32"/>
          <w:szCs w:val="32"/>
          <w:shd w:val="clear" w:color="auto" w:fill="FFFFFF"/>
          <w:lang w:val="en-US" w:eastAsia="zh-CN" w:bidi="ar-SA"/>
        </w:rPr>
        <w:t>1.收入情况。</w:t>
      </w:r>
      <w:r>
        <w:rPr>
          <w:rFonts w:hint="eastAsia" w:ascii="方正仿宋_GBK" w:hAnsi="方正仿宋_GBK" w:eastAsia="方正仿宋_GBK" w:cs="方正仿宋_GBK"/>
          <w:sz w:val="32"/>
          <w:szCs w:val="32"/>
          <w:shd w:val="clear" w:color="auto" w:fill="FFFFFF"/>
          <w:lang w:val="en-US" w:eastAsia="zh-CN" w:bidi="ar-SA"/>
        </w:rPr>
        <w:t>2024年度一般公共预算财政拨款收入</w:t>
      </w:r>
      <w:r>
        <w:rPr>
          <w:rFonts w:hint="eastAsia" w:ascii="方正仿宋_GBK" w:hAnsi="方正仿宋_GBK" w:eastAsia="方正仿宋_GBK" w:cs="方正仿宋_GBK"/>
          <w:sz w:val="32"/>
          <w:szCs w:val="32"/>
          <w:lang w:val="en-US" w:eastAsia="zh-CN" w:bidi="ar-SA"/>
        </w:rPr>
        <w:t>294.94</w:t>
      </w:r>
      <w:r>
        <w:rPr>
          <w:rFonts w:hint="eastAsia" w:ascii="方正仿宋_GBK" w:hAnsi="方正仿宋_GBK" w:eastAsia="方正仿宋_GBK" w:cs="方正仿宋_GBK"/>
          <w:sz w:val="32"/>
          <w:szCs w:val="32"/>
          <w:shd w:val="clear" w:color="auto" w:fill="FFFFFF"/>
          <w:lang w:val="en-US" w:eastAsia="zh-CN" w:bidi="ar-SA"/>
        </w:rPr>
        <w:t>万元，较上年决算数增加48.94万元，增长19.89%。主要原因是单位新增4人。较年初预算数增加44.29万元，增长17.67%。主要原因是单位新增4人。此外，年初财政拨款结转和结余</w:t>
      </w:r>
      <w:r>
        <w:rPr>
          <w:rFonts w:hint="eastAsia" w:ascii="方正仿宋_GBK" w:hAnsi="方正仿宋_GBK" w:eastAsia="方正仿宋_GBK" w:cs="方正仿宋_GBK"/>
          <w:sz w:val="32"/>
          <w:szCs w:val="32"/>
          <w:lang w:val="en-US" w:eastAsia="zh-CN" w:bidi="ar-SA"/>
        </w:rPr>
        <w:t>1.34</w:t>
      </w:r>
      <w:r>
        <w:rPr>
          <w:rFonts w:hint="eastAsia" w:ascii="方正仿宋_GBK" w:hAnsi="方正仿宋_GBK" w:eastAsia="方正仿宋_GBK" w:cs="方正仿宋_GBK"/>
          <w:sz w:val="32"/>
          <w:szCs w:val="32"/>
          <w:shd w:val="clear" w:color="auto" w:fill="FFFFFF"/>
          <w:lang w:val="en-US" w:eastAsia="zh-CN" w:bidi="ar-SA"/>
        </w:rPr>
        <w:t>万元。</w:t>
      </w:r>
    </w:p>
    <w:p w14:paraId="29B44C21">
      <w:pP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lang w:val="en-US" w:eastAsia="zh-CN" w:bidi="ar-SA"/>
        </w:rPr>
      </w:pPr>
      <w:r>
        <w:rPr>
          <w:rStyle w:val="13"/>
          <w:rFonts w:hint="eastAsia" w:ascii="方正仿宋_GBK" w:hAnsi="方正仿宋_GBK" w:eastAsia="方正仿宋_GBK" w:cs="方正仿宋_GBK"/>
          <w:sz w:val="32"/>
          <w:szCs w:val="32"/>
          <w:shd w:val="clear" w:color="auto" w:fill="FFFFFF"/>
          <w:lang w:val="en-US" w:eastAsia="zh-CN" w:bidi="ar-SA"/>
        </w:rPr>
        <w:t>2.支出情况。</w:t>
      </w:r>
      <w:r>
        <w:rPr>
          <w:rFonts w:hint="eastAsia" w:ascii="方正仿宋_GBK" w:hAnsi="方正仿宋_GBK" w:eastAsia="方正仿宋_GBK" w:cs="方正仿宋_GBK"/>
          <w:sz w:val="32"/>
          <w:szCs w:val="32"/>
          <w:shd w:val="clear" w:color="auto" w:fill="FFFFFF"/>
          <w:lang w:val="en-US" w:eastAsia="zh-CN" w:bidi="ar-SA"/>
        </w:rPr>
        <w:t>2024年度一般公共预算财政拨款支出</w:t>
      </w:r>
      <w:r>
        <w:rPr>
          <w:rFonts w:hint="eastAsia" w:ascii="方正仿宋_GBK" w:hAnsi="方正仿宋_GBK" w:eastAsia="方正仿宋_GBK" w:cs="方正仿宋_GBK"/>
          <w:sz w:val="32"/>
          <w:szCs w:val="32"/>
          <w:lang w:val="en-US" w:eastAsia="zh-CN" w:bidi="ar-SA"/>
        </w:rPr>
        <w:t>296.28</w:t>
      </w:r>
      <w:r>
        <w:rPr>
          <w:rFonts w:hint="eastAsia" w:ascii="方正仿宋_GBK" w:hAnsi="方正仿宋_GBK" w:eastAsia="方正仿宋_GBK" w:cs="方正仿宋_GBK"/>
          <w:sz w:val="32"/>
          <w:szCs w:val="32"/>
          <w:shd w:val="clear" w:color="auto" w:fill="FFFFFF"/>
          <w:lang w:val="en-US" w:eastAsia="zh-CN" w:bidi="ar-SA"/>
        </w:rPr>
        <w:t>万元，较上年决算数增加49.63万元，增长20.12%。主要原因是单位新增4人。较年初预算数增加45.63万元，增长18.20%。主要原因是单位新增4人。</w:t>
      </w:r>
    </w:p>
    <w:p w14:paraId="495ED1E5">
      <w:pP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lang w:val="en-US" w:eastAsia="zh-CN" w:bidi="ar-SA"/>
        </w:rPr>
      </w:pPr>
      <w:r>
        <w:rPr>
          <w:rStyle w:val="13"/>
          <w:rFonts w:hint="eastAsia" w:ascii="方正仿宋_GBK" w:hAnsi="方正仿宋_GBK" w:eastAsia="方正仿宋_GBK" w:cs="方正仿宋_GBK"/>
          <w:sz w:val="32"/>
          <w:szCs w:val="32"/>
          <w:shd w:val="clear" w:color="auto" w:fill="FFFFFF"/>
          <w:lang w:val="en-US" w:eastAsia="zh-CN" w:bidi="ar-SA"/>
        </w:rPr>
        <w:t>3.结转结余情况。</w:t>
      </w:r>
      <w:r>
        <w:rPr>
          <w:rFonts w:hint="eastAsia" w:ascii="方正仿宋_GBK" w:hAnsi="方正仿宋_GBK" w:eastAsia="方正仿宋_GBK" w:cs="方正仿宋_GBK"/>
          <w:sz w:val="32"/>
          <w:szCs w:val="32"/>
          <w:shd w:val="clear" w:color="auto" w:fill="FFFFFF"/>
          <w:lang w:val="en-US" w:eastAsia="zh-CN" w:bidi="ar-SA"/>
        </w:rPr>
        <w:t>2024年度年末一般公共预算财政拨款结转和结余</w:t>
      </w:r>
      <w:r>
        <w:rPr>
          <w:rFonts w:hint="eastAsia"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万元，较上年决算数无增减。</w:t>
      </w:r>
    </w:p>
    <w:p w14:paraId="6C618009">
      <w:pPr>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lang w:val="en-US" w:eastAsia="zh-CN" w:bidi="ar-SA"/>
        </w:rPr>
      </w:pPr>
      <w:r>
        <w:rPr>
          <w:rStyle w:val="13"/>
          <w:rFonts w:hint="eastAsia" w:ascii="方正仿宋_GBK" w:hAnsi="方正仿宋_GBK" w:eastAsia="方正仿宋_GBK" w:cs="方正仿宋_GBK"/>
          <w:sz w:val="32"/>
          <w:szCs w:val="32"/>
          <w:shd w:val="clear" w:color="auto" w:fill="FFFFFF"/>
          <w:lang w:val="en-US" w:eastAsia="zh-CN" w:bidi="ar-SA"/>
        </w:rPr>
        <w:t>4.比较情况。</w:t>
      </w:r>
      <w:r>
        <w:rPr>
          <w:rFonts w:hint="eastAsia" w:ascii="方正仿宋_GBK" w:hAnsi="方正仿宋_GBK" w:eastAsia="方正仿宋_GBK" w:cs="方正仿宋_GBK"/>
          <w:sz w:val="32"/>
          <w:szCs w:val="32"/>
          <w:shd w:val="clear" w:color="auto" w:fill="FFFFFF"/>
          <w:lang w:val="en-US" w:eastAsia="zh-CN" w:bidi="ar-SA"/>
        </w:rPr>
        <w:t>本单位2024年度一般公共预算财政拨款支出主要用于以下几个方面：</w:t>
      </w:r>
    </w:p>
    <w:p w14:paraId="59399E9A">
      <w:p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（1）文化旅游体育与传媒支出</w:t>
      </w:r>
      <w:r>
        <w:rPr>
          <w:rFonts w:hint="eastAsia" w:ascii="方正仿宋_GBK" w:hAnsi="方正仿宋_GBK" w:eastAsia="方正仿宋_GBK" w:cs="方正仿宋_GBK"/>
          <w:sz w:val="32"/>
          <w:szCs w:val="32"/>
          <w:lang w:val="en-US" w:eastAsia="zh-CN" w:bidi="ar-SA"/>
        </w:rPr>
        <w:t>232.65</w:t>
      </w:r>
      <w:r>
        <w:rPr>
          <w:rFonts w:hint="eastAsia" w:ascii="方正仿宋_GBK" w:hAnsi="方正仿宋_GBK" w:eastAsia="方正仿宋_GBK" w:cs="方正仿宋_GBK"/>
          <w:sz w:val="32"/>
          <w:szCs w:val="32"/>
          <w:shd w:val="clear" w:color="auto" w:fill="FFFFFF"/>
          <w:lang w:val="en-US" w:eastAsia="zh-CN" w:bidi="ar-SA"/>
        </w:rPr>
        <w:t>万元，占</w:t>
      </w:r>
      <w:r>
        <w:rPr>
          <w:rFonts w:hint="eastAsia" w:ascii="方正仿宋_GBK" w:hAnsi="方正仿宋_GBK" w:eastAsia="方正仿宋_GBK" w:cs="方正仿宋_GBK"/>
          <w:sz w:val="32"/>
          <w:szCs w:val="32"/>
          <w:lang w:val="en-US" w:eastAsia="zh-CN" w:bidi="ar-SA"/>
        </w:rPr>
        <w:t>78.52</w:t>
      </w:r>
      <w:r>
        <w:rPr>
          <w:rFonts w:hint="eastAsia" w:ascii="方正仿宋_GBK" w:hAnsi="方正仿宋_GBK" w:eastAsia="方正仿宋_GBK" w:cs="方正仿宋_GBK"/>
          <w:sz w:val="32"/>
          <w:szCs w:val="32"/>
          <w:shd w:val="clear" w:color="auto" w:fill="FFFFFF"/>
          <w:lang w:val="en-US" w:eastAsia="zh-CN" w:bidi="ar-SA"/>
        </w:rPr>
        <w:t>%，较年初预算数增加28.73万元，增长14.09%，主要原因是单位新增4人。</w:t>
      </w:r>
    </w:p>
    <w:p w14:paraId="3CA9F9AD">
      <w:p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（2）社会保障与就业支出</w:t>
      </w:r>
      <w:r>
        <w:rPr>
          <w:rFonts w:hint="eastAsia" w:ascii="方正仿宋_GBK" w:hAnsi="方正仿宋_GBK" w:eastAsia="方正仿宋_GBK" w:cs="方正仿宋_GBK"/>
          <w:sz w:val="32"/>
          <w:szCs w:val="32"/>
          <w:lang w:val="en-US" w:eastAsia="zh-CN" w:bidi="ar-SA"/>
        </w:rPr>
        <w:t>38.86</w:t>
      </w:r>
      <w:r>
        <w:rPr>
          <w:rFonts w:hint="eastAsia" w:ascii="方正仿宋_GBK" w:hAnsi="方正仿宋_GBK" w:eastAsia="方正仿宋_GBK" w:cs="方正仿宋_GBK"/>
          <w:sz w:val="32"/>
          <w:szCs w:val="32"/>
          <w:shd w:val="clear" w:color="auto" w:fill="FFFFFF"/>
          <w:lang w:val="en-US" w:eastAsia="zh-CN" w:bidi="ar-SA"/>
        </w:rPr>
        <w:t>万元，占</w:t>
      </w:r>
      <w:r>
        <w:rPr>
          <w:rFonts w:hint="eastAsia" w:ascii="方正仿宋_GBK" w:hAnsi="方正仿宋_GBK" w:eastAsia="方正仿宋_GBK" w:cs="方正仿宋_GBK"/>
          <w:sz w:val="32"/>
          <w:szCs w:val="32"/>
          <w:lang w:val="en-US" w:eastAsia="zh-CN" w:bidi="ar-SA"/>
        </w:rPr>
        <w:t>13.12</w:t>
      </w:r>
      <w:r>
        <w:rPr>
          <w:rFonts w:hint="eastAsia" w:ascii="方正仿宋_GBK" w:hAnsi="方正仿宋_GBK" w:eastAsia="方正仿宋_GBK" w:cs="方正仿宋_GBK"/>
          <w:sz w:val="32"/>
          <w:szCs w:val="32"/>
          <w:shd w:val="clear" w:color="auto" w:fill="FFFFFF"/>
          <w:lang w:val="en-US" w:eastAsia="zh-CN" w:bidi="ar-SA"/>
        </w:rPr>
        <w:t>%，较年初预算数增加14.74万元，增长61.11%，主要原因是单位补缴2024年社保经费。</w:t>
      </w:r>
    </w:p>
    <w:p w14:paraId="02DEE3E7">
      <w:p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（3）卫生健康支出</w:t>
      </w:r>
      <w:r>
        <w:rPr>
          <w:rFonts w:hint="eastAsia" w:ascii="方正仿宋_GBK" w:hAnsi="方正仿宋_GBK" w:eastAsia="方正仿宋_GBK" w:cs="方正仿宋_GBK"/>
          <w:sz w:val="32"/>
          <w:szCs w:val="32"/>
          <w:lang w:val="en-US" w:eastAsia="zh-CN" w:bidi="ar-SA"/>
        </w:rPr>
        <w:t>12.58</w:t>
      </w:r>
      <w:r>
        <w:rPr>
          <w:rFonts w:hint="eastAsia" w:ascii="方正仿宋_GBK" w:hAnsi="方正仿宋_GBK" w:eastAsia="方正仿宋_GBK" w:cs="方正仿宋_GBK"/>
          <w:sz w:val="32"/>
          <w:szCs w:val="32"/>
          <w:shd w:val="clear" w:color="auto" w:fill="FFFFFF"/>
          <w:lang w:val="en-US" w:eastAsia="zh-CN" w:bidi="ar-SA"/>
        </w:rPr>
        <w:t>万元，占</w:t>
      </w:r>
      <w:r>
        <w:rPr>
          <w:rFonts w:hint="eastAsia" w:ascii="方正仿宋_GBK" w:hAnsi="方正仿宋_GBK" w:eastAsia="方正仿宋_GBK" w:cs="方正仿宋_GBK"/>
          <w:sz w:val="32"/>
          <w:szCs w:val="32"/>
          <w:lang w:val="en-US" w:eastAsia="zh-CN" w:bidi="ar-SA"/>
        </w:rPr>
        <w:t>4.25</w:t>
      </w:r>
      <w:r>
        <w:rPr>
          <w:rFonts w:hint="eastAsia" w:ascii="方正仿宋_GBK" w:hAnsi="方正仿宋_GBK" w:eastAsia="方正仿宋_GBK" w:cs="方正仿宋_GBK"/>
          <w:sz w:val="32"/>
          <w:szCs w:val="32"/>
          <w:shd w:val="clear" w:color="auto" w:fill="FFFFFF"/>
          <w:lang w:val="en-US" w:eastAsia="zh-CN" w:bidi="ar-SA"/>
        </w:rPr>
        <w:t>%，较年初预算数增加1万元，增长8.64%，主要原因是单位新增4人医保缴费。</w:t>
      </w:r>
    </w:p>
    <w:p w14:paraId="486833A0">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lang w:val="en-US" w:eastAsia="zh-CN"/>
        </w:rPr>
        <w:t>12.19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11</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val="en-US" w:eastAsia="zh-CN"/>
        </w:rPr>
        <w:t>增加1.16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增长10.52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单位新增4人公积金缴费</w:t>
      </w:r>
      <w:r>
        <w:rPr>
          <w:rFonts w:ascii="方正仿宋_GBK" w:hAnsi="方正仿宋_GBK" w:eastAsia="方正仿宋_GBK" w:cs="方正仿宋_GBK"/>
          <w:sz w:val="32"/>
          <w:szCs w:val="32"/>
          <w:shd w:val="clear" w:color="auto" w:fill="FFFFFF"/>
        </w:rPr>
        <w:t>。</w:t>
      </w:r>
    </w:p>
    <w:p w14:paraId="1524337D">
      <w:pPr>
        <w:autoSpaceDE w:val="0"/>
        <w:ind w:firstLine="643" w:firstLineChars="200"/>
        <w:rPr>
          <w:rFonts w:hint="default"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（四）一般公共预算财政拨款基本支出决算情况说明</w:t>
      </w:r>
    </w:p>
    <w:p w14:paraId="12FE56FA">
      <w:p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2024年度一般公共财政拨款基本支出</w:t>
      </w:r>
      <w:r>
        <w:rPr>
          <w:rFonts w:hint="eastAsia" w:ascii="方正仿宋_GBK" w:hAnsi="方正仿宋_GBK" w:eastAsia="方正仿宋_GBK" w:cs="方正仿宋_GBK"/>
          <w:sz w:val="32"/>
          <w:szCs w:val="32"/>
          <w:lang w:val="en-US" w:eastAsia="zh-CN" w:bidi="ar-SA"/>
        </w:rPr>
        <w:t>288.86</w:t>
      </w:r>
      <w:r>
        <w:rPr>
          <w:rFonts w:hint="eastAsia" w:ascii="方正仿宋_GBK" w:hAnsi="方正仿宋_GBK" w:eastAsia="方正仿宋_GBK" w:cs="方正仿宋_GBK"/>
          <w:sz w:val="32"/>
          <w:szCs w:val="32"/>
          <w:shd w:val="clear" w:color="auto" w:fill="FFFFFF"/>
          <w:lang w:val="en-US" w:eastAsia="zh-CN" w:bidi="ar-SA"/>
        </w:rPr>
        <w:t>万元。其中：人员经费</w:t>
      </w:r>
      <w:r>
        <w:rPr>
          <w:rFonts w:hint="eastAsia" w:ascii="方正仿宋_GBK" w:hAnsi="方正仿宋_GBK" w:eastAsia="方正仿宋_GBK" w:cs="方正仿宋_GBK"/>
          <w:sz w:val="32"/>
          <w:szCs w:val="32"/>
          <w:lang w:val="en-US" w:eastAsia="zh-CN" w:bidi="ar-SA"/>
        </w:rPr>
        <w:t>259.17</w:t>
      </w:r>
      <w:r>
        <w:rPr>
          <w:rFonts w:hint="eastAsia" w:ascii="方正仿宋_GBK" w:hAnsi="方正仿宋_GBK" w:eastAsia="方正仿宋_GBK" w:cs="方正仿宋_GBK"/>
          <w:sz w:val="32"/>
          <w:szCs w:val="32"/>
          <w:shd w:val="clear" w:color="auto" w:fill="FFFFFF"/>
          <w:lang w:val="en-US" w:eastAsia="zh-CN" w:bidi="ar-SA"/>
        </w:rPr>
        <w:t>万元，较上年决算数增加44.51万元，增长20.74%，主要原因是单位新增4人。人员经费用途主要包括</w:t>
      </w:r>
      <w:r>
        <w:rPr>
          <w:rFonts w:hint="eastAsia" w:ascii="方正仿宋_GBK" w:hAnsi="方正仿宋_GBK" w:eastAsia="方正仿宋_GBK" w:cs="方正仿宋_GBK"/>
          <w:sz w:val="32"/>
          <w:szCs w:val="32"/>
          <w:lang w:val="en-US" w:eastAsia="zh-CN" w:bidi="ar-SA"/>
        </w:rPr>
        <w:t>工资、社保、医保、公积金等</w:t>
      </w:r>
      <w:r>
        <w:rPr>
          <w:rFonts w:hint="eastAsia" w:ascii="方正仿宋_GBK" w:hAnsi="方正仿宋_GBK" w:eastAsia="方正仿宋_GBK" w:cs="方正仿宋_GBK"/>
          <w:sz w:val="32"/>
          <w:szCs w:val="32"/>
          <w:shd w:val="clear" w:color="auto" w:fill="FFFFFF"/>
          <w:lang w:val="en-US" w:eastAsia="zh-CN" w:bidi="ar-SA"/>
        </w:rPr>
        <w:t>。公用经费</w:t>
      </w:r>
      <w:r>
        <w:rPr>
          <w:rFonts w:hint="eastAsia" w:ascii="方正仿宋_GBK" w:hAnsi="方正仿宋_GBK" w:eastAsia="方正仿宋_GBK" w:cs="方正仿宋_GBK"/>
          <w:sz w:val="32"/>
          <w:szCs w:val="32"/>
          <w:lang w:val="en-US" w:eastAsia="zh-CN" w:bidi="ar-SA"/>
        </w:rPr>
        <w:t>29.68</w:t>
      </w:r>
      <w:r>
        <w:rPr>
          <w:rFonts w:hint="eastAsia" w:ascii="方正仿宋_GBK" w:hAnsi="方正仿宋_GBK" w:eastAsia="方正仿宋_GBK" w:cs="方正仿宋_GBK"/>
          <w:sz w:val="32"/>
          <w:szCs w:val="32"/>
          <w:shd w:val="clear" w:color="auto" w:fill="FFFFFF"/>
          <w:lang w:val="en-US" w:eastAsia="zh-CN" w:bidi="ar-SA"/>
        </w:rPr>
        <w:t>万元，较上年决算数减少2.31万元，减少7.22%，主要原因是单位厉行节俭，减少不必要的出差开支等。公用经费用途主要包括</w:t>
      </w:r>
      <w:r>
        <w:rPr>
          <w:rFonts w:hint="eastAsia" w:ascii="方正仿宋_GBK" w:hAnsi="方正仿宋_GBK" w:eastAsia="方正仿宋_GBK" w:cs="方正仿宋_GBK"/>
          <w:sz w:val="32"/>
          <w:szCs w:val="32"/>
          <w:lang w:val="en-US" w:eastAsia="zh-CN" w:bidi="ar-SA"/>
        </w:rPr>
        <w:t>办公费、差旅费、手续费等支出</w:t>
      </w:r>
      <w:r>
        <w:rPr>
          <w:rFonts w:hint="eastAsia" w:ascii="方正仿宋_GBK" w:hAnsi="方正仿宋_GBK" w:eastAsia="方正仿宋_GBK" w:cs="方正仿宋_GBK"/>
          <w:sz w:val="32"/>
          <w:szCs w:val="32"/>
          <w:shd w:val="clear" w:color="auto" w:fill="FFFFFF"/>
          <w:lang w:val="en-US" w:eastAsia="zh-CN" w:bidi="ar-SA"/>
        </w:rPr>
        <w:t>。</w:t>
      </w:r>
    </w:p>
    <w:p w14:paraId="714C18A1">
      <w:pPr>
        <w:autoSpaceDE w:val="0"/>
        <w:ind w:firstLine="643" w:firstLineChars="200"/>
        <w:rPr>
          <w:rFonts w:hint="default"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（五）政府性基金预算收支决算情况说明</w:t>
      </w:r>
    </w:p>
    <w:p w14:paraId="51F9A63A">
      <w:p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本单位2024年度无政府性基金预算财政拨款收支。</w:t>
      </w:r>
    </w:p>
    <w:p w14:paraId="567D12BA">
      <w:pPr>
        <w:autoSpaceDE w:val="0"/>
        <w:ind w:firstLine="643" w:firstLineChars="200"/>
        <w:rPr>
          <w:rFonts w:hint="default"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（六）国有资本经营预算财政拨款支出决算情况说明</w:t>
      </w:r>
    </w:p>
    <w:p w14:paraId="354395E6">
      <w:p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本单位2024年度无国有资本经营预算财政拨款支出。</w:t>
      </w:r>
    </w:p>
    <w:p w14:paraId="16E306B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68C0D89C">
      <w:pPr>
        <w:autoSpaceDE w:val="0"/>
        <w:ind w:firstLine="643" w:firstLineChars="200"/>
        <w:rPr>
          <w:rFonts w:hint="default"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（一）“三公”经费支出总体情况说明</w:t>
      </w:r>
    </w:p>
    <w:p w14:paraId="70AA3A68">
      <w:p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2024年度“三公”经费支出共计</w:t>
      </w:r>
      <w:r>
        <w:rPr>
          <w:rFonts w:hint="eastAsia"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万元，较年初预算数无增减，主要原因是我单位属于同机关合署办公的下属事业单位，本单位本年无“三公”经费支出。</w:t>
      </w:r>
    </w:p>
    <w:p w14:paraId="6E445883">
      <w:pPr>
        <w:autoSpaceDE w:val="0"/>
        <w:ind w:firstLine="643" w:firstLineChars="200"/>
        <w:rPr>
          <w:rFonts w:hint="default"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（二）“三公”经费分项支出情况</w:t>
      </w:r>
    </w:p>
    <w:p w14:paraId="4C782DD7">
      <w:p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2024年度本单位因公出国（境）费用</w:t>
      </w:r>
      <w:r>
        <w:rPr>
          <w:rFonts w:hint="eastAsia"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万元，公务车购置费</w:t>
      </w:r>
      <w:r>
        <w:rPr>
          <w:rFonts w:hint="eastAsia"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万元，公务车运行维护费</w:t>
      </w:r>
      <w:r>
        <w:rPr>
          <w:rFonts w:hint="eastAsia"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万元，公务接待费</w:t>
      </w:r>
      <w:r>
        <w:rPr>
          <w:rFonts w:hint="eastAsia" w:ascii="方正仿宋_GBK" w:hAnsi="方正仿宋_GBK" w:eastAsia="方正仿宋_GBK" w:cs="方正仿宋_GBK"/>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p>
    <w:p w14:paraId="6F0D464D">
      <w:pPr>
        <w:autoSpaceDE w:val="0"/>
        <w:ind w:firstLine="643" w:firstLineChars="200"/>
        <w:rPr>
          <w:rFonts w:hint="default"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（三）“三公”经费实物量情况</w:t>
      </w:r>
    </w:p>
    <w:p w14:paraId="3B20185C">
      <w:p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2024年度本单位因公出国（境）共计</w:t>
      </w:r>
      <w:r>
        <w:rPr>
          <w:rFonts w:hint="eastAsia" w:ascii="方正仿宋_GBK" w:hAnsi="方正仿宋_GBK" w:eastAsia="方正仿宋_GBK" w:cs="方正仿宋_GBK"/>
          <w:sz w:val="32"/>
          <w:szCs w:val="32"/>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个团组，</w:t>
      </w:r>
      <w:r>
        <w:rPr>
          <w:rFonts w:hint="eastAsia" w:ascii="方正仿宋_GBK" w:hAnsi="方正仿宋_GBK" w:eastAsia="方正仿宋_GBK" w:cs="方正仿宋_GBK"/>
          <w:sz w:val="32"/>
          <w:szCs w:val="32"/>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人；公务用车购置</w:t>
      </w:r>
      <w:r>
        <w:rPr>
          <w:rFonts w:hint="eastAsia" w:ascii="方正仿宋_GBK" w:hAnsi="方正仿宋_GBK" w:eastAsia="方正仿宋_GBK" w:cs="方正仿宋_GBK"/>
          <w:sz w:val="32"/>
          <w:szCs w:val="32"/>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辆，公务车保有量为</w:t>
      </w:r>
      <w:r>
        <w:rPr>
          <w:rFonts w:hint="eastAsia" w:ascii="方正仿宋_GBK" w:hAnsi="方正仿宋_GBK" w:eastAsia="方正仿宋_GBK" w:cs="方正仿宋_GBK"/>
          <w:sz w:val="32"/>
          <w:szCs w:val="32"/>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辆；国内公务接待</w:t>
      </w:r>
      <w:r>
        <w:rPr>
          <w:rFonts w:hint="eastAsia" w:ascii="方正仿宋_GBK" w:hAnsi="方正仿宋_GBK" w:eastAsia="方正仿宋_GBK" w:cs="方正仿宋_GBK"/>
          <w:sz w:val="32"/>
          <w:szCs w:val="32"/>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批次</w:t>
      </w:r>
      <w:r>
        <w:rPr>
          <w:rFonts w:hint="eastAsia" w:ascii="方正仿宋_GBK" w:hAnsi="方正仿宋_GBK" w:eastAsia="方正仿宋_GBK" w:cs="方正仿宋_GBK"/>
          <w:sz w:val="32"/>
          <w:szCs w:val="32"/>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人，其中：国内外事接待</w:t>
      </w:r>
      <w:r>
        <w:rPr>
          <w:rFonts w:hint="eastAsia" w:ascii="方正仿宋_GBK" w:hAnsi="方正仿宋_GBK" w:eastAsia="方正仿宋_GBK" w:cs="方正仿宋_GBK"/>
          <w:sz w:val="32"/>
          <w:szCs w:val="32"/>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批次，</w:t>
      </w:r>
      <w:r>
        <w:rPr>
          <w:rFonts w:hint="eastAsia" w:ascii="方正仿宋_GBK" w:hAnsi="方正仿宋_GBK" w:eastAsia="方正仿宋_GBK" w:cs="方正仿宋_GBK"/>
          <w:sz w:val="32"/>
          <w:szCs w:val="32"/>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人；国（境）外公务接待</w:t>
      </w:r>
      <w:r>
        <w:rPr>
          <w:rFonts w:hint="eastAsia" w:ascii="方正仿宋_GBK" w:hAnsi="方正仿宋_GBK" w:eastAsia="方正仿宋_GBK" w:cs="方正仿宋_GBK"/>
          <w:sz w:val="32"/>
          <w:szCs w:val="32"/>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批次，</w:t>
      </w:r>
      <w:r>
        <w:rPr>
          <w:rFonts w:hint="eastAsia" w:ascii="方正仿宋_GBK" w:hAnsi="方正仿宋_GBK" w:eastAsia="方正仿宋_GBK" w:cs="方正仿宋_GBK"/>
          <w:sz w:val="32"/>
          <w:szCs w:val="32"/>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人。2024年本单位人均接待费</w:t>
      </w:r>
      <w:r>
        <w:rPr>
          <w:rFonts w:hint="eastAsia" w:ascii="方正仿宋_GBK" w:hAnsi="方正仿宋_GBK" w:eastAsia="方正仿宋_GBK" w:cs="方正仿宋_GBK"/>
          <w:sz w:val="32"/>
          <w:szCs w:val="32"/>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元，车均购置费</w:t>
      </w:r>
      <w:r>
        <w:rPr>
          <w:rFonts w:hint="eastAsia" w:ascii="方正仿宋_GBK" w:hAnsi="方正仿宋_GBK" w:eastAsia="方正仿宋_GBK" w:cs="方正仿宋_GBK"/>
          <w:sz w:val="32"/>
          <w:szCs w:val="32"/>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万元，车均维护费</w:t>
      </w:r>
      <w:r>
        <w:rPr>
          <w:rFonts w:hint="eastAsia" w:ascii="方正仿宋_GBK" w:hAnsi="方正仿宋_GBK" w:eastAsia="方正仿宋_GBK" w:cs="方正仿宋_GBK"/>
          <w:sz w:val="32"/>
          <w:szCs w:val="32"/>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万元。</w:t>
      </w:r>
    </w:p>
    <w:p w14:paraId="4CF214D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3AAC73E7">
      <w:pPr>
        <w:autoSpaceDE w:val="0"/>
        <w:ind w:firstLine="643" w:firstLineChars="200"/>
        <w:rPr>
          <w:rFonts w:hint="default"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（一）财政拨款会议费和培训费情况说明</w:t>
      </w:r>
    </w:p>
    <w:p w14:paraId="317C2F1A">
      <w:p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年度会议费支出0万元，主要原因是本年未开展会议，未使用财政资金保障会议费。本年度培训费支出0.39万元，与2023年度相比，增加0.37万元，增加1850%，主要原因是产生部分专技人员培训费。本年度差旅费支出9.59万元，与2023年度相比，</w:t>
      </w:r>
      <w:r>
        <w:rPr>
          <w:rFonts w:hint="default" w:ascii="方正仿宋_GBK" w:hAnsi="方正仿宋_GBK" w:eastAsia="方正仿宋_GBK" w:cs="方正仿宋_GBK"/>
          <w:sz w:val="32"/>
          <w:szCs w:val="32"/>
          <w:shd w:val="clear" w:color="auto" w:fill="FFFFFF"/>
          <w:lang w:val="en-US" w:eastAsia="zh-CN" w:bidi="ar-SA"/>
        </w:rPr>
        <w:t>减少3.74万元，下降28.1%</w:t>
      </w:r>
      <w:r>
        <w:rPr>
          <w:rFonts w:hint="eastAsia" w:ascii="方正仿宋_GBK" w:hAnsi="方正仿宋_GBK" w:eastAsia="方正仿宋_GBK" w:cs="方正仿宋_GBK"/>
          <w:sz w:val="32"/>
          <w:szCs w:val="32"/>
          <w:shd w:val="clear" w:color="auto" w:fill="FFFFFF"/>
          <w:lang w:val="en-US" w:eastAsia="zh-CN" w:bidi="ar-SA"/>
        </w:rPr>
        <w:t>，主</w:t>
      </w:r>
      <w:r>
        <w:rPr>
          <w:rFonts w:ascii="方正仿宋_GBK" w:hAnsi="方正仿宋_GBK" w:eastAsia="方正仿宋_GBK" w:cs="方正仿宋_GBK"/>
          <w:sz w:val="32"/>
          <w:szCs w:val="32"/>
          <w:shd w:val="clear" w:color="auto" w:fill="FFFFFF"/>
        </w:rPr>
        <w:t>要原因是</w:t>
      </w:r>
      <w:r>
        <w:rPr>
          <w:rFonts w:hint="eastAsia" w:ascii="方正仿宋_GBK" w:hAnsi="方正仿宋_GBK" w:eastAsia="方正仿宋_GBK" w:cs="方正仿宋_GBK"/>
          <w:sz w:val="32"/>
          <w:szCs w:val="32"/>
          <w:shd w:val="clear" w:color="auto" w:fill="FFFFFF"/>
          <w:lang w:val="en-US" w:eastAsia="zh-CN" w:bidi="ar-SA"/>
        </w:rPr>
        <w:t>单位厉行节俭，减少不必要的出差开支。</w:t>
      </w:r>
    </w:p>
    <w:p w14:paraId="6C4515C0">
      <w:pPr>
        <w:autoSpaceDE w:val="0"/>
        <w:ind w:firstLine="643" w:firstLineChars="200"/>
        <w:rPr>
          <w:rFonts w:hint="default"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（二）机关运行经费情况说明</w:t>
      </w:r>
    </w:p>
    <w:p w14:paraId="40D54919">
      <w:p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按照单位决算列报口径，我单位不在机关运行经费统计范围之内。</w:t>
      </w:r>
    </w:p>
    <w:p w14:paraId="30968215">
      <w:pPr>
        <w:autoSpaceDE w:val="0"/>
        <w:ind w:firstLine="643" w:firstLineChars="200"/>
        <w:rPr>
          <w:rFonts w:hint="default"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（三）国有资产占用情况说明</w:t>
      </w:r>
    </w:p>
    <w:p w14:paraId="3054F4F7">
      <w:p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因我单位无车辆等国有资产，我单位资产未纳入部门决算报表。</w:t>
      </w:r>
    </w:p>
    <w:p w14:paraId="5A003F19">
      <w:pPr>
        <w:autoSpaceDE w:val="0"/>
        <w:ind w:firstLine="643" w:firstLineChars="200"/>
        <w:rPr>
          <w:rFonts w:hint="default"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（四）政府采购支出情况说明</w:t>
      </w:r>
    </w:p>
    <w:p w14:paraId="4EEE4E28">
      <w:p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lang w:val="en-US" w:eastAsia="zh-CN" w:bidi="ar-SA"/>
        </w:rPr>
        <w:t>2024年度我单位未发生政府采购事项，无相关经费支出。</w:t>
      </w:r>
    </w:p>
    <w:p w14:paraId="4B2623B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55730FEF">
      <w:pPr>
        <w:autoSpaceDE w:val="0"/>
        <w:ind w:firstLine="643" w:firstLineChars="200"/>
        <w:rPr>
          <w:rFonts w:hint="default"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（一）单位自评情况</w:t>
      </w:r>
    </w:p>
    <w:p w14:paraId="188019D8">
      <w:pPr>
        <w:autoSpaceDE w:val="0"/>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根据预算绩效管理要求，我单位对单位2个项目开展了绩效自评，涉及财政拨款项目支出资金7.43万元。</w:t>
      </w:r>
    </w:p>
    <w:p w14:paraId="44CE357E">
      <w:pPr>
        <w:autoSpaceDE w:val="0"/>
        <w:spacing w:before="0" w:beforeAutospacing="0" w:after="100" w:afterAutospacing="1" w:line="600" w:lineRule="exact"/>
        <w:ind w:firstLine="640" w:firstLineChars="200"/>
        <w:jc w:val="center"/>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w:t>
      </w:r>
      <w:r>
        <w:rPr>
          <w:rFonts w:ascii="方正仿宋_GBK" w:hAnsi="方正仿宋_GBK" w:eastAsia="方正仿宋_GBK" w:cs="方正仿宋_GBK"/>
          <w:sz w:val="32"/>
          <w:szCs w:val="32"/>
          <w:shd w:val="clear" w:color="auto" w:fill="FFFFFF"/>
          <w:lang w:val="en-US" w:eastAsia="zh-CN" w:bidi="ar-SA"/>
        </w:rPr>
        <w:t>02</w:t>
      </w:r>
      <w:r>
        <w:rPr>
          <w:rFonts w:hint="eastAsia" w:ascii="方正仿宋_GBK" w:hAnsi="方正仿宋_GBK" w:eastAsia="方正仿宋_GBK" w:cs="方正仿宋_GBK"/>
          <w:sz w:val="32"/>
          <w:szCs w:val="32"/>
          <w:shd w:val="clear" w:color="auto" w:fill="FFFFFF"/>
          <w:lang w:val="en-US" w:eastAsia="zh-CN" w:bidi="ar-SA"/>
        </w:rPr>
        <w:t>4年度二级项目绩效自评表</w:t>
      </w:r>
    </w:p>
    <w:p w14:paraId="5C4486CD">
      <w:pPr>
        <w:autoSpaceDE w:val="0"/>
        <w:ind w:firstLine="480" w:firstLineChars="200"/>
        <w:rPr>
          <w:rFonts w:hint="eastAsia" w:eastAsia="宋体"/>
          <w:lang w:eastAsia="zh-CN"/>
        </w:rPr>
      </w:pPr>
      <w:r>
        <w:drawing>
          <wp:inline distT="0" distB="0" distL="114300" distR="114300">
            <wp:extent cx="5276215" cy="4057015"/>
            <wp:effectExtent l="0" t="0" r="63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276215" cy="4057015"/>
                    </a:xfrm>
                    <a:prstGeom prst="rect">
                      <a:avLst/>
                    </a:prstGeom>
                    <a:noFill/>
                    <a:ln>
                      <a:noFill/>
                    </a:ln>
                  </pic:spPr>
                </pic:pic>
              </a:graphicData>
            </a:graphic>
          </wp:inline>
        </w:drawing>
      </w:r>
    </w:p>
    <w:p w14:paraId="56EB6625">
      <w:pPr>
        <w:pStyle w:val="2"/>
        <w:rPr>
          <w:rFonts w:hint="eastAsia"/>
          <w:lang w:eastAsia="zh-CN"/>
        </w:rPr>
      </w:pPr>
    </w:p>
    <w:p w14:paraId="58FFEFD4">
      <w:pPr>
        <w:autoSpaceDE w:val="0"/>
        <w:ind w:firstLine="480" w:firstLineChars="200"/>
        <w:rPr>
          <w:rFonts w:hint="eastAsia"/>
          <w:lang w:val="en-US" w:eastAsia="zh-CN"/>
        </w:rPr>
      </w:pPr>
      <w:r>
        <w:drawing>
          <wp:inline distT="0" distB="0" distL="114300" distR="114300">
            <wp:extent cx="5271770" cy="3392170"/>
            <wp:effectExtent l="0" t="0" r="5080" b="1778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271770" cy="3392170"/>
                    </a:xfrm>
                    <a:prstGeom prst="rect">
                      <a:avLst/>
                    </a:prstGeom>
                    <a:noFill/>
                    <a:ln>
                      <a:noFill/>
                    </a:ln>
                  </pic:spPr>
                </pic:pic>
              </a:graphicData>
            </a:graphic>
          </wp:inline>
        </w:drawing>
      </w:r>
      <w:bookmarkStart w:id="0" w:name="_GoBack"/>
      <w:bookmarkEnd w:id="0"/>
    </w:p>
    <w:p w14:paraId="0DCD4C72">
      <w:pPr>
        <w:autoSpaceDE w:val="0"/>
        <w:ind w:firstLine="643"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（二）单位绩效评价情况</w:t>
      </w:r>
    </w:p>
    <w:p w14:paraId="62362FD1">
      <w:pPr>
        <w:autoSpaceDE w:val="0"/>
        <w:ind w:firstLine="640" w:firstLineChars="200"/>
        <w:rPr>
          <w:rFonts w:hint="default" w:ascii="楷体" w:hAnsi="楷体" w:eastAsia="楷体" w:cs="楷体"/>
          <w:b/>
          <w:bCs/>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我单位对</w:t>
      </w:r>
      <w:r>
        <w:rPr>
          <w:rFonts w:hint="eastAsia" w:ascii="Times New Roman" w:hAnsi="Times New Roman" w:eastAsia="方正仿宋_GBK" w:cs="Times New Roman"/>
          <w:sz w:val="32"/>
          <w:szCs w:val="32"/>
          <w:lang w:val="en-US" w:eastAsia="zh-CN" w:bidi="ar-SA"/>
        </w:rPr>
        <w:t>旅游宣传营销经费和创新人才安家补助</w:t>
      </w:r>
      <w:r>
        <w:rPr>
          <w:rFonts w:hint="eastAsia" w:ascii="方正仿宋_GBK" w:hAnsi="方正仿宋_GBK" w:eastAsia="方正仿宋_GBK" w:cs="方正仿宋_GBK"/>
          <w:sz w:val="32"/>
          <w:szCs w:val="32"/>
          <w:shd w:val="clear" w:color="auto" w:fill="FFFFFF"/>
          <w:lang w:val="en-US" w:eastAsia="zh-CN" w:bidi="ar-SA"/>
        </w:rPr>
        <w:t>开展了绩效评价，涉及财政拨款项目资金</w:t>
      </w:r>
      <w:r>
        <w:rPr>
          <w:rFonts w:hint="eastAsia" w:ascii="Times New Roman" w:hAnsi="Times New Roman" w:eastAsia="方正仿宋_GBK" w:cs="Times New Roman"/>
          <w:sz w:val="32"/>
          <w:szCs w:val="32"/>
          <w:lang w:val="en-US" w:eastAsia="zh-CN" w:bidi="ar-SA"/>
        </w:rPr>
        <w:t>7.43</w:t>
      </w:r>
      <w:r>
        <w:rPr>
          <w:rFonts w:hint="eastAsia" w:ascii="方正仿宋_GBK" w:hAnsi="方正仿宋_GBK" w:eastAsia="方正仿宋_GBK" w:cs="方正仿宋_GBK"/>
          <w:sz w:val="32"/>
          <w:szCs w:val="32"/>
          <w:shd w:val="clear" w:color="auto" w:fill="FFFFFF"/>
          <w:lang w:val="en-US" w:eastAsia="zh-CN" w:bidi="ar-SA"/>
        </w:rPr>
        <w:t>万元，评价得分</w:t>
      </w:r>
      <w:r>
        <w:rPr>
          <w:rFonts w:hint="eastAsia" w:ascii="Times New Roman" w:hAnsi="Times New Roman" w:eastAsia="方正仿宋_GBK" w:cs="Times New Roman"/>
          <w:sz w:val="32"/>
          <w:szCs w:val="32"/>
          <w:lang w:val="en-US" w:eastAsia="zh-CN" w:bidi="ar-SA"/>
        </w:rPr>
        <w:t>分别为100</w:t>
      </w:r>
      <w:r>
        <w:rPr>
          <w:rFonts w:hint="eastAsia" w:ascii="方正仿宋_GBK" w:hAnsi="方正仿宋_GBK" w:eastAsia="方正仿宋_GBK" w:cs="方正仿宋_GBK"/>
          <w:sz w:val="32"/>
          <w:szCs w:val="32"/>
          <w:shd w:val="clear" w:color="auto" w:fill="FFFFFF"/>
          <w:lang w:val="en-US" w:eastAsia="zh-CN" w:bidi="ar-SA"/>
        </w:rPr>
        <w:t>分和</w:t>
      </w:r>
      <w:r>
        <w:rPr>
          <w:rFonts w:hint="eastAsia" w:ascii="Times New Roman" w:hAnsi="Times New Roman" w:eastAsia="方正仿宋_GBK" w:cs="Times New Roman"/>
          <w:sz w:val="32"/>
          <w:szCs w:val="32"/>
          <w:lang w:val="en-US" w:eastAsia="zh-CN" w:bidi="ar-SA"/>
        </w:rPr>
        <w:t>91.42</w:t>
      </w:r>
      <w:r>
        <w:rPr>
          <w:rFonts w:hint="eastAsia" w:ascii="方正仿宋_GBK" w:hAnsi="方正仿宋_GBK" w:eastAsia="方正仿宋_GBK" w:cs="方正仿宋_GBK"/>
          <w:sz w:val="32"/>
          <w:szCs w:val="32"/>
          <w:shd w:val="clear" w:color="auto" w:fill="FFFFFF"/>
          <w:lang w:val="en-US" w:eastAsia="zh-CN" w:bidi="ar-SA"/>
        </w:rPr>
        <w:t>分，评价等次为</w:t>
      </w:r>
      <w:r>
        <w:rPr>
          <w:rFonts w:hint="eastAsia" w:ascii="Times New Roman" w:hAnsi="Times New Roman" w:eastAsia="方正仿宋_GBK" w:cs="Times New Roman"/>
          <w:sz w:val="32"/>
          <w:szCs w:val="32"/>
          <w:lang w:val="en-US" w:eastAsia="zh-CN" w:bidi="ar-SA"/>
        </w:rPr>
        <w:t>优</w:t>
      </w:r>
      <w:r>
        <w:rPr>
          <w:rFonts w:hint="eastAsia" w:ascii="方正仿宋_GBK" w:hAnsi="方正仿宋_GBK" w:eastAsia="方正仿宋_GBK" w:cs="方正仿宋_GBK"/>
          <w:sz w:val="32"/>
          <w:szCs w:val="32"/>
          <w:shd w:val="clear" w:color="auto" w:fill="FFFFFF"/>
          <w:lang w:val="en-US" w:eastAsia="zh-CN" w:bidi="ar-SA"/>
        </w:rPr>
        <w:t>，绩效评价未发现问题。</w:t>
      </w:r>
    </w:p>
    <w:p w14:paraId="70920505">
      <w:pPr>
        <w:autoSpaceDE w:val="0"/>
        <w:ind w:firstLine="643" w:firstLineChars="200"/>
        <w:rPr>
          <w:rFonts w:hint="default"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（三）财政绩效评价情况</w:t>
      </w:r>
    </w:p>
    <w:p w14:paraId="4C2B35AB">
      <w:pPr>
        <w:autoSpaceDE w:val="0"/>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40A3692D">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p>
    <w:p w14:paraId="6736A3E0">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54AAAD0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6BFE0B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E89F27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A2FF33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3BDBA1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E1D9C4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E9032B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w:t>
      </w:r>
      <w:r>
        <w:rPr>
          <w:rFonts w:hint="eastAsia" w:ascii="方正仿宋_GBK" w:hAnsi="方正仿宋_GBK" w:eastAsia="方正仿宋_GBK" w:cs="方正仿宋_GBK"/>
          <w:kern w:val="0"/>
          <w:sz w:val="32"/>
          <w:szCs w:val="32"/>
          <w:shd w:val="clear" w:fill="FFFFFF"/>
          <w:lang w:val="en-US" w:eastAsia="zh-CN"/>
        </w:rPr>
        <w:t>交</w:t>
      </w:r>
      <w:r>
        <w:rPr>
          <w:rFonts w:hint="eastAsia" w:ascii="方正仿宋_GBK" w:hAnsi="方正仿宋_GBK" w:eastAsia="方正仿宋_GBK" w:cs="方正仿宋_GBK"/>
          <w:kern w:val="0"/>
          <w:sz w:val="32"/>
          <w:szCs w:val="32"/>
          <w:shd w:val="clear" w:fill="FFFFFF"/>
        </w:rPr>
        <w:t>纳所得税、提取专用基金、转入非财政拨款结余等当年结余的分配情况。</w:t>
      </w:r>
    </w:p>
    <w:p w14:paraId="1C9B69B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201837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594381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8A9ACC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1A03672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F3DFCD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CE233B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6CBB500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EF08EE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2E1ADD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1D5AC0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13B0D05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395758E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刘洋</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70618088</w:t>
      </w:r>
    </w:p>
    <w:p w14:paraId="34309600">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4E035A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73BD6F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95AE32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14C1B8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8D14954">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CD6632D">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CAF10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24418F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2FD2E8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丰都县旅游宣传营销中心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38FFDB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8A9545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4AF4A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47C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E2C2C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08A16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B4E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3FD8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3BDB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2C00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3B7B4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BCD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F59F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294.94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1082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EEC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CF57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3E9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D70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1CFC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B91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5AEB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C10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0B7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2C3E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0A3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BD7E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40B68">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715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17129">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914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EAC3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6C9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8EF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D248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791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244C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A61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5AF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AD43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3D6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016A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F841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386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449D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F93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232.65</w:t>
            </w:r>
            <w:r>
              <w:rPr>
                <w:rFonts w:ascii="Times New Roman" w:hAnsi="Times New Roman"/>
                <w:color w:val="000000"/>
                <w:sz w:val="20"/>
                <w:u w:color="auto"/>
              </w:rPr>
              <w:t xml:space="preserve"> </w:t>
            </w:r>
          </w:p>
        </w:tc>
      </w:tr>
      <w:tr w14:paraId="2EDC99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DB93">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2C82A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73C4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4354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38.86</w:t>
            </w:r>
            <w:r>
              <w:rPr>
                <w:rFonts w:ascii="Times New Roman" w:hAnsi="Times New Roman"/>
                <w:color w:val="000000"/>
                <w:sz w:val="20"/>
                <w:u w:color="auto"/>
              </w:rPr>
              <w:t xml:space="preserve"> </w:t>
            </w:r>
          </w:p>
        </w:tc>
      </w:tr>
      <w:tr w14:paraId="19300D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E70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CFF7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E691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17B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r>
              <w:rPr>
                <w:rFonts w:ascii="Times New Roman" w:hAnsi="Times New Roman"/>
                <w:color w:val="000000"/>
                <w:sz w:val="20"/>
                <w:u w:color="auto"/>
              </w:rPr>
              <w:t xml:space="preserve"> </w:t>
            </w:r>
          </w:p>
        </w:tc>
      </w:tr>
      <w:tr w14:paraId="483EA8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FBB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CE138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F565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2E5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47CC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824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7730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7812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FEF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4943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24C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5EE3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AE5B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103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7CEA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0D7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2CB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1D7D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39A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5326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B06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45BF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5553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83A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A273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6EA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B60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B2F8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3C9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92B3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4F9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C5A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B63AB">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16C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07DD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DF9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AFA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65CA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994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3705BC">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8EA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221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7AC3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8E7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783D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2C33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8D5C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9B52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9238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r>
      <w:tr w14:paraId="01B6F5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B79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BEE4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15FE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21D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1086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DFC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DE5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ADABF">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F55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3091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21B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D7F3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0E9F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E24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E616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4CB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CE5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312D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BAD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3664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7828">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461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19FD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4B3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9BAB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8A5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563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5E503">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22A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4B33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253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55A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DE36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124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BE74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CA2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CCE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294.94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C2A7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875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296.28</w:t>
            </w:r>
            <w:r>
              <w:rPr>
                <w:rFonts w:ascii="Times New Roman" w:hAnsi="Times New Roman"/>
                <w:color w:val="000000"/>
                <w:sz w:val="20"/>
                <w:u w:color="auto"/>
              </w:rPr>
              <w:t xml:space="preserve"> </w:t>
            </w:r>
          </w:p>
        </w:tc>
      </w:tr>
      <w:tr w14:paraId="14D8B6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2080">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557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8ED1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912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92A3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0D6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F8DB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50BC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EF968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68B3F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95D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5F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296.28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CDFCF9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C19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296.28</w:t>
            </w:r>
            <w:r>
              <w:rPr>
                <w:rFonts w:ascii="Times New Roman" w:hAnsi="Times New Roman"/>
                <w:color w:val="000000"/>
                <w:sz w:val="20"/>
                <w:u w:color="auto"/>
              </w:rPr>
              <w:t xml:space="preserve"> </w:t>
            </w:r>
          </w:p>
        </w:tc>
      </w:tr>
    </w:tbl>
    <w:p w14:paraId="271068EF">
      <w:pPr>
        <w:rPr>
          <w:rFonts w:hint="default" w:cs="宋体"/>
          <w:sz w:val="21"/>
          <w:szCs w:val="21"/>
        </w:rPr>
      </w:pPr>
    </w:p>
    <w:p w14:paraId="67C4C043">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3E40F530">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99ABD2A">
            <w:pPr>
              <w:jc w:val="center"/>
              <w:textAlignment w:val="bottom"/>
              <w:rPr>
                <w:rFonts w:hint="default" w:cs="宋体"/>
                <w:b/>
                <w:color w:val="000000"/>
                <w:sz w:val="32"/>
                <w:szCs w:val="32"/>
              </w:rPr>
            </w:pPr>
            <w:r>
              <w:rPr>
                <w:rFonts w:cs="宋体"/>
                <w:b/>
                <w:color w:val="000000"/>
                <w:sz w:val="32"/>
                <w:szCs w:val="32"/>
              </w:rPr>
              <w:t>收入决算表</w:t>
            </w:r>
          </w:p>
        </w:tc>
      </w:tr>
      <w:tr w14:paraId="387DA30F">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277585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丰都县旅游宣传营销中心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349F15B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2D6340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4E237D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CD885BA">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2CB732">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48DAB58">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B89217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8E0B875">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0704981">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BC6D2C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EDF55F2">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26168D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462F169">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BF0F615">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5EE24F5">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7AE30D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F442E0">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E6B893C">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9171F">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B708">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4D20E">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100557">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E832A">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D64F4">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2A411">
            <w:pPr>
              <w:jc w:val="center"/>
              <w:textAlignment w:val="center"/>
              <w:rPr>
                <w:rFonts w:hint="default" w:cs="宋体"/>
                <w:b/>
                <w:color w:val="000000"/>
                <w:sz w:val="20"/>
                <w:szCs w:val="20"/>
              </w:rPr>
            </w:pPr>
            <w:r>
              <w:rPr>
                <w:rFonts w:cs="宋体"/>
                <w:b/>
                <w:color w:val="000000"/>
                <w:sz w:val="20"/>
                <w:szCs w:val="20"/>
              </w:rPr>
              <w:t>其他收入</w:t>
            </w:r>
          </w:p>
        </w:tc>
      </w:tr>
      <w:tr w14:paraId="7459F4F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C155">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E18F26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C3CC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C34D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15464">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2E1DF">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3C5AC">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AF64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A1A3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96876">
            <w:pPr>
              <w:jc w:val="center"/>
              <w:rPr>
                <w:rFonts w:hint="default" w:cs="宋体"/>
                <w:b/>
                <w:color w:val="000000"/>
                <w:sz w:val="20"/>
                <w:szCs w:val="20"/>
              </w:rPr>
            </w:pPr>
          </w:p>
        </w:tc>
      </w:tr>
      <w:tr w14:paraId="345D5A4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6735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5323F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9234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5B61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F749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6931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82C4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ADD2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80A8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E75C">
            <w:pPr>
              <w:jc w:val="center"/>
              <w:rPr>
                <w:rFonts w:hint="default" w:cs="宋体"/>
                <w:b/>
                <w:color w:val="000000"/>
                <w:sz w:val="20"/>
                <w:szCs w:val="20"/>
              </w:rPr>
            </w:pPr>
          </w:p>
        </w:tc>
      </w:tr>
      <w:tr w14:paraId="7728C9A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662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0B920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0C97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A142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D39B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7CB7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8071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7539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F69D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C26A3">
            <w:pPr>
              <w:jc w:val="center"/>
              <w:rPr>
                <w:rFonts w:hint="default" w:cs="宋体"/>
                <w:b/>
                <w:color w:val="000000"/>
                <w:sz w:val="20"/>
                <w:szCs w:val="20"/>
              </w:rPr>
            </w:pPr>
          </w:p>
        </w:tc>
      </w:tr>
      <w:tr w14:paraId="3D642D8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34E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3DD1C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1EA5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EFDA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DDC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7A90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53F1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701A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A0D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A93F9">
            <w:pPr>
              <w:jc w:val="center"/>
              <w:rPr>
                <w:rFonts w:hint="default" w:cs="宋体"/>
                <w:b/>
                <w:color w:val="000000"/>
                <w:sz w:val="20"/>
                <w:szCs w:val="20"/>
              </w:rPr>
            </w:pPr>
          </w:p>
        </w:tc>
      </w:tr>
      <w:tr w14:paraId="7839832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89C9">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DBC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294.94</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8D6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294.94</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0EA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D09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A6F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197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3C3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249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46FC0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CC07">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29181">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A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231.31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7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231.31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8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5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0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D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F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4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C686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FBA2">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0A88C">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4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231.31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C1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231.31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C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C0F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7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9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7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8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EF0B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3C6D">
            <w:pPr>
              <w:textAlignment w:val="center"/>
              <w:rPr>
                <w:rFonts w:hint="default" w:cs="宋体"/>
                <w:color w:val="000000"/>
                <w:sz w:val="20"/>
                <w:szCs w:val="20"/>
              </w:rPr>
            </w:pPr>
            <w:r>
              <w:rPr>
                <w:rFonts w:cs="宋体"/>
                <w:color w:val="000000"/>
                <w:sz w:val="20"/>
                <w:szCs w:val="20"/>
              </w:rPr>
              <w:t>2070113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91FE6">
            <w:pPr>
              <w:textAlignment w:val="center"/>
              <w:rPr>
                <w:rFonts w:hint="default" w:cs="宋体"/>
                <w:color w:val="000000"/>
                <w:sz w:val="20"/>
                <w:szCs w:val="20"/>
              </w:rPr>
            </w:pPr>
            <w:r>
              <w:rPr>
                <w:rFonts w:cs="宋体"/>
                <w:color w:val="000000"/>
                <w:sz w:val="20"/>
                <w:szCs w:val="20"/>
              </w:rPr>
              <w:t>旅游宣传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5A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A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3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30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2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3A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3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E0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73C5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1ED0">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0ED83">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5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225.22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C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225.22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D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2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5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A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D4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EAAE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BCD6">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6F9AF">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1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E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0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F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7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E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D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F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9B44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641D">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E09D2">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8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1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0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9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E8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E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A9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C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358B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6580">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6BD0B">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2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6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1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E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A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6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C5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4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034F1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B896">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332C1">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54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2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D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E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C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3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A0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2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502E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3E32">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64D8C">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AB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F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44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0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B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C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B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8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BEDD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170B">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2CE66">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F2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F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9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9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2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D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8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2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769D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FDA8">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35E46">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9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0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D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C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0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5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E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6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76558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BB0A">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155FA">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F8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1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6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5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2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0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4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4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E8AD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4286">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02CA0">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9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1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E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2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6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4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B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58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CA8AE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B536">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7E2CC">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8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8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3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6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6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24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1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B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3FB7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5A81">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08F95">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4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5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A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C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4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9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D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C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E525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06CC">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53DA2">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4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6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1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4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E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C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D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E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64D975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C6F97E9">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7F43B5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E0FD3FA">
            <w:pPr>
              <w:jc w:val="center"/>
              <w:textAlignment w:val="bottom"/>
              <w:rPr>
                <w:rFonts w:hint="default" w:cs="宋体"/>
                <w:b/>
                <w:color w:val="000000"/>
                <w:sz w:val="32"/>
                <w:szCs w:val="32"/>
              </w:rPr>
            </w:pPr>
            <w:r>
              <w:rPr>
                <w:rFonts w:cs="宋体"/>
                <w:b/>
                <w:color w:val="000000"/>
                <w:sz w:val="32"/>
                <w:szCs w:val="32"/>
              </w:rPr>
              <w:t>支出决算表</w:t>
            </w:r>
          </w:p>
        </w:tc>
      </w:tr>
      <w:tr w14:paraId="347A4DF6">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7ADE81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丰都县旅游宣传营销中心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27E4C4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5E084C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284A913">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B6C6F00">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AACE93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703486B">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94F041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65D01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4EB204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955757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517D350">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ACA76B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FC55D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565C01">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8733E">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802BE">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41417">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A37D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7999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40FB7">
            <w:pPr>
              <w:jc w:val="center"/>
              <w:textAlignment w:val="center"/>
              <w:rPr>
                <w:rFonts w:hint="default" w:cs="宋体"/>
                <w:b/>
                <w:color w:val="000000"/>
                <w:sz w:val="20"/>
                <w:szCs w:val="20"/>
              </w:rPr>
            </w:pPr>
            <w:r>
              <w:rPr>
                <w:rFonts w:cs="宋体"/>
                <w:b/>
                <w:color w:val="000000"/>
                <w:sz w:val="20"/>
                <w:szCs w:val="20"/>
              </w:rPr>
              <w:t>对附属单位补助支出</w:t>
            </w:r>
          </w:p>
        </w:tc>
      </w:tr>
      <w:tr w14:paraId="1E93ED8F">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4A07">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BD96FE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8965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168A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E52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2AD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F7F9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86C9E">
            <w:pPr>
              <w:jc w:val="center"/>
              <w:rPr>
                <w:rFonts w:hint="default" w:cs="宋体"/>
                <w:b/>
                <w:color w:val="000000"/>
                <w:sz w:val="20"/>
                <w:szCs w:val="20"/>
              </w:rPr>
            </w:pPr>
          </w:p>
        </w:tc>
      </w:tr>
      <w:tr w14:paraId="5A1AD17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4B1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2096C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808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8DBB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3458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4C40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C4D9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88984">
            <w:pPr>
              <w:jc w:val="center"/>
              <w:rPr>
                <w:rFonts w:hint="default" w:cs="宋体"/>
                <w:b/>
                <w:color w:val="000000"/>
                <w:sz w:val="20"/>
                <w:szCs w:val="20"/>
              </w:rPr>
            </w:pPr>
          </w:p>
        </w:tc>
      </w:tr>
      <w:tr w14:paraId="2A79ABE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967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8C5B0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C6E9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874F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F6BF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0602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22B6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5AF6D">
            <w:pPr>
              <w:jc w:val="center"/>
              <w:rPr>
                <w:rFonts w:hint="default" w:cs="宋体"/>
                <w:b/>
                <w:color w:val="000000"/>
                <w:sz w:val="20"/>
                <w:szCs w:val="20"/>
              </w:rPr>
            </w:pPr>
          </w:p>
        </w:tc>
      </w:tr>
      <w:tr w14:paraId="57C5DD3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C51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E0675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8AA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66C4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CF74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1DFA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3043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F467C">
            <w:pPr>
              <w:jc w:val="center"/>
              <w:rPr>
                <w:rFonts w:hint="default" w:cs="宋体"/>
                <w:b/>
                <w:color w:val="000000"/>
                <w:sz w:val="20"/>
                <w:szCs w:val="20"/>
              </w:rPr>
            </w:pPr>
          </w:p>
        </w:tc>
      </w:tr>
      <w:tr w14:paraId="69949F4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F056">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1A5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296.28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0EF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288.86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470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7.43</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4A5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05B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F25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D81A8B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53F7">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7A700">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B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B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225.22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D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2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8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5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2A27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9A26">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6CDCA">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7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A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225.22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D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0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E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A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9FB6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C73F">
            <w:pPr>
              <w:textAlignment w:val="center"/>
              <w:rPr>
                <w:rFonts w:hint="default" w:cs="宋体"/>
                <w:color w:val="000000"/>
                <w:sz w:val="20"/>
                <w:szCs w:val="20"/>
              </w:rPr>
            </w:pPr>
            <w:r>
              <w:rPr>
                <w:rFonts w:cs="宋体"/>
                <w:color w:val="000000"/>
                <w:sz w:val="20"/>
                <w:szCs w:val="20"/>
              </w:rPr>
              <w:t>2070113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8EE1F">
            <w:pPr>
              <w:textAlignment w:val="center"/>
              <w:rPr>
                <w:rFonts w:hint="default" w:cs="宋体"/>
                <w:color w:val="000000"/>
                <w:sz w:val="20"/>
                <w:szCs w:val="20"/>
              </w:rPr>
            </w:pPr>
            <w:r>
              <w:rPr>
                <w:rFonts w:cs="宋体"/>
                <w:color w:val="000000"/>
                <w:sz w:val="20"/>
                <w:szCs w:val="20"/>
              </w:rPr>
              <w:t>旅游宣传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A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4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2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F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7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B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9385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2BEA">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AFAD4">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E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B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225.22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E2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9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D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4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A14E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C7D0">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6448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83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B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93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CA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2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A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3446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3D2A">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B18FB">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E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2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5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96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0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3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18F6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55AA">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728DF">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72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A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9F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7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4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F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931F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7AE88">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EAA87">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63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C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E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B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E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7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617D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5DD9">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EEDFA">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B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A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1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0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A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8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99CF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D677">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A9F95">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1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8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B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2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4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D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7BB7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55AD">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7B080">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9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6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1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6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6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D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AE86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6348">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B50C7">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B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C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8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4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8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2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1C38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214B">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3B6E6">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0A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6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D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6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1E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A0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CE34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11CED">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E76A1">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4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76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68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B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7C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56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B664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1D85">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9C6CB">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D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40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9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0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3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8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086D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5C1A">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A585F">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D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6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8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E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21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9A8DCE9">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CCCA63B">
      <w:pPr>
        <w:rPr>
          <w:rFonts w:hint="default" w:cs="宋体"/>
          <w:sz w:val="21"/>
          <w:szCs w:val="21"/>
        </w:rPr>
      </w:pPr>
      <w:r>
        <w:rPr>
          <w:rFonts w:cs="宋体"/>
          <w:sz w:val="21"/>
          <w:szCs w:val="21"/>
        </w:rPr>
        <w:br w:type="page"/>
      </w:r>
    </w:p>
    <w:p w14:paraId="710CDBD7">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C4706A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3D1D97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7EA3F3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B9E501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丰都县旅游宣传营销中心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3953BB5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1E9E8D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31CD6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00B85B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BF04A2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095BB6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F3C6F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C41E06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4FC27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4A28EB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4ED99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508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7CF2">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64EE22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C854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7170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84CC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4585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B1713D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8DBDE">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F5ED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56BD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4B1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B35E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F8A4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7067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F3E7B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ACB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60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294.94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4AD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D0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2A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65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70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55F1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634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8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329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41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0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1BE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43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BA34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3A8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EC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473C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A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B6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A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0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4AB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C1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1EEA7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BE5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1C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6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7F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AF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AF88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0C2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7903B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00C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E1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2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AA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C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4424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4472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B76F0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AA15">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EE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F79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4F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B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ECA7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EC7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07D79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4F6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47E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AF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A6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D0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A0C4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500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CCEAF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B4C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D0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F7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B4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D4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FEBA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C03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1E8C2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490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4C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FF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12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A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0E4D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74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B5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4E23">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00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7A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3D4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F8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03A6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79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0BC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B65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0E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DA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1A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75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BAB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DA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A20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410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EF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3F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35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87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B81E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B32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122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45F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7C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6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62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86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6BFD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0CA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5B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A3E0">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AD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A52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7C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B5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F569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15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C3E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41B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4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09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A7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09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99BD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374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23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6DD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10F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DB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02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13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A0B7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84C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394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53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73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C1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E1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79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B7DF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36E6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DD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B90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D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34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19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72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375B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32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816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1C34">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37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1C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EA0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A3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5F5D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E7E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C4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657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2F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0A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53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D9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3F8D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AC1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2E1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998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ED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66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D3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34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C8F9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D35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C877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216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1F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DC1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5B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FC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0862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B7A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0F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A3D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94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46F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78D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1C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8C05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8EB3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9B9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4E54">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C6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CA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29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EA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464C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AFB1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6EF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D7E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0C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AA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63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94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BFC6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E3975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0F0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3E9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CB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AE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0B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7D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4CED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EAF3">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BC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294.94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D50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45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C7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6F5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FB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6750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837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2D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27E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BC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9C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D9E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FB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16B5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612D">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B7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BE2B45">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5CC62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EBA8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249633">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D733D6">
            <w:pPr>
              <w:spacing w:line="200" w:lineRule="exact"/>
              <w:rPr>
                <w:rFonts w:hint="default" w:ascii="Times New Roman" w:hAnsi="Times New Roman"/>
                <w:color w:val="000000"/>
                <w:sz w:val="18"/>
                <w:szCs w:val="18"/>
              </w:rPr>
            </w:pPr>
          </w:p>
        </w:tc>
      </w:tr>
      <w:tr w14:paraId="15D0EE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BB9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06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BBB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4B1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61A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4986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B15A">
            <w:pPr>
              <w:spacing w:line="200" w:lineRule="exact"/>
              <w:jc w:val="right"/>
              <w:rPr>
                <w:rFonts w:hint="default" w:ascii="Times New Roman" w:hAnsi="Times New Roman"/>
                <w:color w:val="000000"/>
                <w:sz w:val="18"/>
                <w:szCs w:val="18"/>
              </w:rPr>
            </w:pPr>
          </w:p>
        </w:tc>
      </w:tr>
      <w:tr w14:paraId="7E5125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00C6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8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E02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A4F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D51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8BF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864D">
            <w:pPr>
              <w:spacing w:line="200" w:lineRule="exact"/>
              <w:jc w:val="right"/>
              <w:rPr>
                <w:rFonts w:hint="default" w:ascii="Times New Roman" w:hAnsi="Times New Roman"/>
                <w:color w:val="000000"/>
                <w:sz w:val="18"/>
                <w:szCs w:val="18"/>
              </w:rPr>
            </w:pPr>
          </w:p>
        </w:tc>
      </w:tr>
      <w:tr w14:paraId="1310EC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06B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FE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296.28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004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8D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05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D9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7B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7D69900">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560A202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1E6519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FE4EE3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94FF3A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丰都县旅游宣传营销中心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7EA767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C3836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983513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888B048">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3F64F4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619BDA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1D4AE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E4902">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B0BB62">
            <w:pPr>
              <w:jc w:val="center"/>
              <w:textAlignment w:val="center"/>
              <w:rPr>
                <w:rFonts w:hint="default" w:cs="宋体"/>
                <w:b/>
                <w:color w:val="000000"/>
                <w:sz w:val="20"/>
                <w:szCs w:val="20"/>
              </w:rPr>
            </w:pPr>
            <w:r>
              <w:rPr>
                <w:rFonts w:cs="宋体"/>
                <w:b/>
                <w:color w:val="000000"/>
                <w:sz w:val="20"/>
                <w:szCs w:val="20"/>
              </w:rPr>
              <w:t>本年支出</w:t>
            </w:r>
          </w:p>
        </w:tc>
      </w:tr>
      <w:tr w14:paraId="3E56BD3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2376F">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1129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4B6DA">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B665F">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66E2C">
            <w:pPr>
              <w:jc w:val="center"/>
              <w:textAlignment w:val="center"/>
              <w:rPr>
                <w:rFonts w:hint="default" w:cs="宋体"/>
                <w:b/>
                <w:color w:val="000000"/>
                <w:sz w:val="20"/>
                <w:szCs w:val="20"/>
              </w:rPr>
            </w:pPr>
            <w:r>
              <w:rPr>
                <w:rFonts w:cs="宋体"/>
                <w:b/>
                <w:color w:val="000000"/>
                <w:sz w:val="20"/>
                <w:szCs w:val="20"/>
              </w:rPr>
              <w:t>项目支出</w:t>
            </w:r>
          </w:p>
        </w:tc>
      </w:tr>
      <w:tr w14:paraId="7D84E51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5F4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09B4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847A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82D4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47E9A">
            <w:pPr>
              <w:jc w:val="center"/>
              <w:rPr>
                <w:rFonts w:hint="default" w:cs="宋体"/>
                <w:b/>
                <w:color w:val="000000"/>
                <w:sz w:val="20"/>
                <w:szCs w:val="20"/>
              </w:rPr>
            </w:pPr>
          </w:p>
        </w:tc>
      </w:tr>
      <w:tr w14:paraId="0C7B6687">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E39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4630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155F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93658">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82569">
            <w:pPr>
              <w:jc w:val="center"/>
              <w:rPr>
                <w:rFonts w:hint="default" w:cs="宋体"/>
                <w:b/>
                <w:color w:val="000000"/>
                <w:sz w:val="20"/>
                <w:szCs w:val="20"/>
              </w:rPr>
            </w:pPr>
          </w:p>
        </w:tc>
      </w:tr>
      <w:tr w14:paraId="7AFF0FE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2D508">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E61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296.28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8E2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288.86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AAE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7.43</w:t>
            </w:r>
            <w:r>
              <w:rPr>
                <w:rFonts w:ascii="Times New Roman" w:hAnsi="Times New Roman"/>
                <w:b/>
                <w:color w:val="000000"/>
                <w:sz w:val="20"/>
                <w:u w:color="auto"/>
              </w:rPr>
              <w:t xml:space="preserve"> </w:t>
            </w:r>
          </w:p>
        </w:tc>
      </w:tr>
      <w:tr w14:paraId="4D06EA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F0BC">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60F78">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335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E03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A3F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7.43</w:t>
            </w:r>
            <w:r>
              <w:rPr>
                <w:rFonts w:ascii="Times New Roman" w:hAnsi="Times New Roman"/>
                <w:b/>
                <w:color w:val="000000"/>
                <w:sz w:val="20"/>
                <w:u w:color="auto"/>
              </w:rPr>
              <w:t xml:space="preserve"> </w:t>
            </w:r>
          </w:p>
        </w:tc>
      </w:tr>
      <w:tr w14:paraId="2ADB72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B355">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E666E">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637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A67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255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7.43</w:t>
            </w:r>
            <w:r>
              <w:rPr>
                <w:rFonts w:ascii="Times New Roman" w:hAnsi="Times New Roman"/>
                <w:b/>
                <w:color w:val="000000"/>
                <w:sz w:val="20"/>
                <w:u w:color="auto"/>
              </w:rPr>
              <w:t xml:space="preserve"> </w:t>
            </w:r>
          </w:p>
        </w:tc>
      </w:tr>
      <w:tr w14:paraId="7CDEBC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D9D7">
            <w:pPr>
              <w:textAlignment w:val="center"/>
              <w:rPr>
                <w:rFonts w:hint="default" w:cs="宋体"/>
                <w:color w:val="000000"/>
                <w:sz w:val="20"/>
                <w:szCs w:val="20"/>
              </w:rPr>
            </w:pPr>
            <w:r>
              <w:rPr>
                <w:rFonts w:cs="宋体"/>
                <w:color w:val="000000"/>
                <w:sz w:val="20"/>
                <w:szCs w:val="20"/>
              </w:rPr>
              <w:t>2070113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8AA94">
            <w:pPr>
              <w:textAlignment w:val="center"/>
              <w:rPr>
                <w:rFonts w:hint="default" w:cs="宋体"/>
                <w:color w:val="000000"/>
                <w:sz w:val="20"/>
                <w:szCs w:val="20"/>
              </w:rPr>
            </w:pPr>
            <w:r>
              <w:rPr>
                <w:rFonts w:cs="宋体"/>
                <w:color w:val="000000"/>
                <w:sz w:val="20"/>
                <w:szCs w:val="20"/>
              </w:rPr>
              <w:t>旅游宣传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212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A52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9C0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6.09</w:t>
            </w:r>
            <w:r>
              <w:rPr>
                <w:rFonts w:ascii="Times New Roman" w:hAnsi="Times New Roman"/>
                <w:color w:val="000000"/>
                <w:sz w:val="20"/>
                <w:u w:color="auto"/>
              </w:rPr>
              <w:t xml:space="preserve"> </w:t>
            </w:r>
          </w:p>
        </w:tc>
      </w:tr>
      <w:tr w14:paraId="3429A0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C8A4">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00134">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BA6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22B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225.22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7CB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r>
      <w:tr w14:paraId="7B967D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9E1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5580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D8E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532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94A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C30C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586E">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440BF">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7F1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A0D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2E0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F351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9C94">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1904A">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3E1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F37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B40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6552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14BDF">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A7B0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7C2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7A3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204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D819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2B34">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E134A">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55F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6E5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306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4796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8AC6">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692B3">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46E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D85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08A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3919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F15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8C349">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4E2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093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517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F037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C3352">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12A6F">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194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152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D3E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4972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65C9">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A5099">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7CC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636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B96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996F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90F5">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DF8B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6CB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913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C34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88CC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1ACF">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54776">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3BF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1F7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3A1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6DD3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557C">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63966">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6E0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CC3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C4F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0F6689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CACF6EF">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55FE6BF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953A255">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E7373A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BF4158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丰都县旅游宣传营销中心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5DDECCD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73AF0D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0C42BD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3F90E0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A4F842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A01755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9D653D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CCE372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D7D7F5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9B05B2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1DE21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75B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27C3E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8B7856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A756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9874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06D6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B579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BBB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545E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37FE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AA3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F1A8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550450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51ED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43E0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6F75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F368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A540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D984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42E5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E7A5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23F7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94A06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EC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05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1C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9A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57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E2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E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A6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2B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4393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B9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15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16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D5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50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5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89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32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13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3489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CF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6E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42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9B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68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88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BC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6C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8D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3DE8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F8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3A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FA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C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F9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4F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E9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31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DE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C0F6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A5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6E5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BD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65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6A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F9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1F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33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06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7535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0D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F4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D3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EF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9F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74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78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E4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F8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1166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65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FB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6F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45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C7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CA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CE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A6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D5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852F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3F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20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ED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83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3E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D2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4A9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0B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35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E274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1C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07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59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B5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8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5C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D4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F3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95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91F6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2F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61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2C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27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A7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A8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60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8D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42E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E463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CC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E9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9C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E7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F2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33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BA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54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BC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DD0B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361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B3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AB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55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4C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65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AA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35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35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2B6E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57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68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B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C4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71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E8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2D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E0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12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F95C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D5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EA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64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13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77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1F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07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80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50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848B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0B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6D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C9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3A7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CA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B3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20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84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695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0A4A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27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AD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B2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1A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D3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185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53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96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CE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7417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0A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0F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17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E5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27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B4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63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B6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8F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42D7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81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79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AF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5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45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A4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1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5D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8E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D0DD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E2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5B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57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6F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C5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E6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D2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E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3E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0111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21C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2C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E2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62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6A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55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5F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2B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60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6521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81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EA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A6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C0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A4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C7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13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726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8D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D7B1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65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2F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2E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44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60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DB3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A1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5D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88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D80E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87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45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BB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35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09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41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29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AA3DD">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13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EBC8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C1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B0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07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99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FD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9C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2A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48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68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DA0D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B4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59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A7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0C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0C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6D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B2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F2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7D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152D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D8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54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CE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B5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D9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5E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B6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26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A9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2325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B6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62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2B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19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90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A8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7D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D9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74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D116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B1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C6C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C9FFE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90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EE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12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03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AE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AC8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9EAB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C77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3AF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E8FE6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BB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62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14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95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40B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56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6A8B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5E5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8B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9E22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90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12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5A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80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E4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5D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5F4A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F4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97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6FB46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3F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A7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FC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7F1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CE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16E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F8ED3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7A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DC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FADF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22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35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5E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2F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A73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A8B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D3FAF4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D59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B3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89E1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8D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ED8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F10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29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301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938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4CD12F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2A9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53E4B4">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259.17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E338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5EF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29.68</w:t>
            </w:r>
            <w:r>
              <w:rPr>
                <w:rFonts w:ascii="Times New Roman" w:hAnsi="Times New Roman"/>
                <w:color w:val="000000"/>
                <w:sz w:val="18"/>
                <w:u w:color="auto"/>
              </w:rPr>
              <w:t xml:space="preserve"> </w:t>
            </w:r>
          </w:p>
        </w:tc>
      </w:tr>
    </w:tbl>
    <w:p w14:paraId="71C83F7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718FB2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C02CC4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855404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729A2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丰都县旅游宣传营销中心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058D0CF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85F82B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5DC62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791256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BFAEE4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850F51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AAFBE2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4AEF78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4E37B5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4A974B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BD40F2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4C653A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166AF2">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41A2F">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9AF0BC">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5AADA">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0D6FA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DF3E7">
            <w:pPr>
              <w:jc w:val="center"/>
              <w:textAlignment w:val="center"/>
              <w:rPr>
                <w:rFonts w:hint="default" w:cs="宋体"/>
                <w:b/>
                <w:color w:val="000000"/>
                <w:sz w:val="20"/>
                <w:szCs w:val="20"/>
              </w:rPr>
            </w:pPr>
            <w:r>
              <w:rPr>
                <w:rFonts w:cs="宋体"/>
                <w:b/>
                <w:color w:val="000000"/>
                <w:sz w:val="20"/>
                <w:szCs w:val="20"/>
              </w:rPr>
              <w:t>年末结转和结余</w:t>
            </w:r>
          </w:p>
        </w:tc>
      </w:tr>
      <w:tr w14:paraId="236E796E">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F6419">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BF7B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6E4B4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38571">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79574">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9B6A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BADB2">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6A67D">
            <w:pPr>
              <w:jc w:val="center"/>
              <w:rPr>
                <w:rFonts w:hint="default" w:cs="宋体"/>
                <w:b/>
                <w:color w:val="000000"/>
                <w:sz w:val="20"/>
                <w:szCs w:val="20"/>
              </w:rPr>
            </w:pPr>
          </w:p>
        </w:tc>
      </w:tr>
      <w:tr w14:paraId="00B12D77">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6DDC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28E0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D5E92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F4E4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7038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687E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D2D6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A0E68">
            <w:pPr>
              <w:jc w:val="center"/>
              <w:rPr>
                <w:rFonts w:hint="default" w:cs="宋体"/>
                <w:b/>
                <w:color w:val="000000"/>
                <w:sz w:val="20"/>
                <w:szCs w:val="20"/>
              </w:rPr>
            </w:pPr>
          </w:p>
        </w:tc>
      </w:tr>
      <w:tr w14:paraId="741D3A6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F9C1A">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8D26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F0E44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01F6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69E9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2BE9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4B2A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68D86">
            <w:pPr>
              <w:jc w:val="center"/>
              <w:rPr>
                <w:rFonts w:hint="default" w:cs="宋体"/>
                <w:b/>
                <w:color w:val="000000"/>
                <w:sz w:val="20"/>
                <w:szCs w:val="20"/>
              </w:rPr>
            </w:pPr>
          </w:p>
        </w:tc>
      </w:tr>
      <w:tr w14:paraId="4834C4C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09CD7">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0C0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753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DEC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AEB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03B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A3D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CE3814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43F6">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75C94">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AAF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7B9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AE1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985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D49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EF5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BA8716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1B12BC6">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A2878B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C359A5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2D058C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C0BE7B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丰都县旅游宣传营销中心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284243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40DF45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52FE8C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B7D8016">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069FEF">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51697E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4D570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148DCB">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BE7D5D">
            <w:pPr>
              <w:jc w:val="center"/>
              <w:textAlignment w:val="bottom"/>
              <w:rPr>
                <w:rFonts w:hint="default" w:cs="宋体"/>
                <w:b/>
                <w:color w:val="000000"/>
                <w:sz w:val="20"/>
                <w:szCs w:val="20"/>
              </w:rPr>
            </w:pPr>
            <w:r>
              <w:rPr>
                <w:rFonts w:cs="宋体"/>
                <w:b/>
                <w:color w:val="000000"/>
                <w:sz w:val="20"/>
                <w:szCs w:val="20"/>
              </w:rPr>
              <w:t>本年支出</w:t>
            </w:r>
          </w:p>
        </w:tc>
      </w:tr>
      <w:tr w14:paraId="6259525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11DAF">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20986">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43434">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802BC">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8249D">
            <w:pPr>
              <w:jc w:val="center"/>
              <w:textAlignment w:val="center"/>
              <w:rPr>
                <w:rFonts w:hint="default" w:cs="宋体"/>
                <w:b/>
                <w:color w:val="000000"/>
                <w:sz w:val="20"/>
                <w:szCs w:val="20"/>
              </w:rPr>
            </w:pPr>
            <w:r>
              <w:rPr>
                <w:rFonts w:cs="宋体"/>
                <w:b/>
                <w:color w:val="000000"/>
                <w:sz w:val="20"/>
                <w:szCs w:val="20"/>
              </w:rPr>
              <w:t>项目支出</w:t>
            </w:r>
          </w:p>
        </w:tc>
      </w:tr>
      <w:tr w14:paraId="43CF9BF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8140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49C5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8ED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A521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76B6E">
            <w:pPr>
              <w:jc w:val="center"/>
              <w:rPr>
                <w:rFonts w:hint="default" w:cs="宋体"/>
                <w:b/>
                <w:color w:val="000000"/>
                <w:sz w:val="20"/>
                <w:szCs w:val="20"/>
              </w:rPr>
            </w:pPr>
          </w:p>
        </w:tc>
      </w:tr>
      <w:tr w14:paraId="1EFFDB5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37F1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64E2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9273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A1B9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CD0A8">
            <w:pPr>
              <w:jc w:val="center"/>
              <w:rPr>
                <w:rFonts w:hint="default" w:cs="宋体"/>
                <w:b/>
                <w:color w:val="000000"/>
                <w:sz w:val="20"/>
                <w:szCs w:val="20"/>
              </w:rPr>
            </w:pPr>
          </w:p>
        </w:tc>
      </w:tr>
      <w:tr w14:paraId="4A95383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9EAF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C0C9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2911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A0F0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30BF6">
            <w:pPr>
              <w:jc w:val="center"/>
              <w:rPr>
                <w:rFonts w:hint="default" w:cs="宋体"/>
                <w:b/>
                <w:color w:val="000000"/>
                <w:sz w:val="20"/>
                <w:szCs w:val="20"/>
              </w:rPr>
            </w:pPr>
          </w:p>
        </w:tc>
      </w:tr>
      <w:tr w14:paraId="4375C918">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6A07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67B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1273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EC8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646432A">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4A9A">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4A74F">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F2B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82B8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7E7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9E41C21">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7F41FD1">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00EE232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DB91EC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36E161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0467A35">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19FF118">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1225017">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446BDCC">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D4B42D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75472C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910221A">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丰都县旅游宣传营销中心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5909D6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BAF87F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39A8D6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265F9D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ECC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FF7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AE9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661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EF5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FCA173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8C9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5AD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4B0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798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BD4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496B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9E1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4B1E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73C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E01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60EC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EC1C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9A1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5C90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03C3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6AA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9F4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E535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36E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EE0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8290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E3B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6320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406E6E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4211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49EA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217A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B09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8910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CD43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434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958A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9F85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71B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0FE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CA35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E87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2E3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89B9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28D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A3C5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DAFB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6AC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1095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8EEC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697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B9CB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C23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451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985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30A2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CB3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FC6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F48D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FBF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07A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26E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493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55B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1CCD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D99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521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91FB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CE2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21C6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03D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12E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77D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5052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783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6FCA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4504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69B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DC9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CE07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E20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FCD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0FD5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FC7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CAD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8148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FF4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E02B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DBEE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40A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59A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BDFA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782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ACD3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69C7E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511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E00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4CD2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D57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0EAB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A149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3B3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C88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A2AE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D40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F23F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207E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DDC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2FD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DDCF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7FA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F23C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6D00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ABBA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2F6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4F60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51A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F06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91A3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6BF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F92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E986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362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67FC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4B1F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048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999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3226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408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FC42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24155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788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3722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3DDE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59A7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00FA2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073C21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070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6DC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64F9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ACB0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D90F1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24475B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001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816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FF29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523C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590D0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C2C1EE3">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ED6FD">
    <w:pPr>
      <w:pStyle w:val="6"/>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4C17071">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6766">
    <w:pPr>
      <w:pStyle w:val="6"/>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D77DA29">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5AEBFBC">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BFE0B">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172A27"/>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6D42C3"/>
    <w:rsid w:val="01F3521E"/>
    <w:rsid w:val="02207AD0"/>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202BD8"/>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4C3273"/>
    <w:rsid w:val="2C636760"/>
    <w:rsid w:val="2C6762A3"/>
    <w:rsid w:val="2E8F3135"/>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30F87"/>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E43EE6"/>
    <w:rsid w:val="5842572D"/>
    <w:rsid w:val="5A3B59D6"/>
    <w:rsid w:val="5AD134D8"/>
    <w:rsid w:val="5BF41F67"/>
    <w:rsid w:val="5C263CE4"/>
    <w:rsid w:val="5C5D2777"/>
    <w:rsid w:val="5CF14D4D"/>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15032"/>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5148</Words>
  <Characters>6544</Characters>
  <Lines>186</Lines>
  <Paragraphs>52</Paragraphs>
  <TotalTime>2</TotalTime>
  <ScaleCrop>false</ScaleCrop>
  <LinksUpToDate>false</LinksUpToDate>
  <CharactersWithSpaces>6847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 劉先森</cp:lastModifiedBy>
  <dcterms:modified xsi:type="dcterms:W3CDTF">2025-09-18T07:37:38Z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eyJoZGlkIjoiNDk4MDlkNTdlMzYzYzczNzJjNDU4MDVmYTMzOGFjZTkiLCJ1c2VySWQiOiIzODQ4NDQ3NzYifQ==</vt:lpwstr>
  </property>
</Properties>
</file>