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069917" w14:textId="77777777" w:rsidR="004D0A99"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丰都县少年儿童业余体校</w:t>
      </w:r>
    </w:p>
    <w:p w14:paraId="702BE889" w14:textId="77777777" w:rsidR="004D0A99" w:rsidRDefault="00000000">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2024</w:t>
      </w:r>
      <w:r>
        <w:rPr>
          <w:rFonts w:ascii="Times New Roman" w:eastAsia="方正小标宋_GBK" w:hAnsi="Times New Roman"/>
          <w:sz w:val="44"/>
          <w:szCs w:val="44"/>
        </w:rPr>
        <w:t>年单位预算情况说明</w:t>
      </w:r>
    </w:p>
    <w:p w14:paraId="5F84C029" w14:textId="77777777" w:rsidR="004D0A99" w:rsidRDefault="004D0A99">
      <w:pPr>
        <w:spacing w:line="600" w:lineRule="exact"/>
        <w:ind w:firstLineChars="200" w:firstLine="880"/>
        <w:jc w:val="center"/>
        <w:rPr>
          <w:rFonts w:ascii="Times New Roman" w:eastAsia="方正黑体_GBK" w:hAnsi="Times New Roman"/>
          <w:sz w:val="44"/>
          <w:szCs w:val="44"/>
        </w:rPr>
      </w:pPr>
    </w:p>
    <w:p w14:paraId="02CCD06C" w14:textId="77777777" w:rsidR="004D0A99" w:rsidRDefault="00000000">
      <w:pPr>
        <w:adjustRightInd w:val="0"/>
        <w:snapToGrid w:val="0"/>
        <w:spacing w:line="560" w:lineRule="exact"/>
        <w:ind w:firstLineChars="200" w:firstLine="640"/>
        <w:rPr>
          <w:rFonts w:ascii="Times New Roman" w:eastAsia="方正黑体_GBK" w:hAnsi="Times New Roman"/>
          <w:sz w:val="32"/>
        </w:rPr>
      </w:pPr>
      <w:r>
        <w:rPr>
          <w:rFonts w:ascii="Times New Roman" w:eastAsia="方正黑体_GBK" w:hAnsi="Times New Roman"/>
          <w:sz w:val="32"/>
        </w:rPr>
        <w:t>一、单位基本情况</w:t>
      </w:r>
    </w:p>
    <w:p w14:paraId="06646574" w14:textId="77777777" w:rsidR="004D0A99" w:rsidRDefault="00000000">
      <w:pPr>
        <w:tabs>
          <w:tab w:val="left" w:pos="9045"/>
        </w:tabs>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（一）职能职责</w:t>
      </w:r>
    </w:p>
    <w:p w14:paraId="5494B8AE" w14:textId="77777777" w:rsidR="004D0A99" w:rsidRDefault="00000000">
      <w:pPr>
        <w:pStyle w:val="14"/>
        <w:shd w:val="clear" w:color="auto" w:fill="FFFFFF"/>
        <w:adjustRightInd w:val="0"/>
        <w:snapToGrid w:val="0"/>
        <w:spacing w:before="0" w:beforeAutospacing="0" w:after="0" w:afterAutospacing="0" w:line="560" w:lineRule="exact"/>
        <w:rPr>
          <w:rFonts w:ascii="Times New Roman" w:eastAsia="方正仿宋_GBK" w:hAnsi="Times New Roman"/>
          <w:sz w:val="32"/>
        </w:rPr>
      </w:pPr>
      <w:r>
        <w:rPr>
          <w:rFonts w:ascii="Times New Roman" w:eastAsia="方正仿宋_GBK" w:hAnsi="Times New Roman"/>
          <w:sz w:val="32"/>
        </w:rPr>
        <w:t xml:space="preserve">  </w:t>
      </w:r>
      <w:r>
        <w:rPr>
          <w:rFonts w:ascii="Times New Roman" w:eastAsia="方正仿宋_GBK" w:hAnsi="Times New Roman"/>
          <w:kern w:val="2"/>
          <w:sz w:val="32"/>
          <w:szCs w:val="22"/>
        </w:rPr>
        <w:t xml:space="preserve">  </w:t>
      </w:r>
      <w:r>
        <w:rPr>
          <w:rFonts w:ascii="Times New Roman" w:eastAsia="方正仿宋_GBK" w:hAnsi="Times New Roman"/>
          <w:kern w:val="2"/>
          <w:sz w:val="32"/>
          <w:szCs w:val="22"/>
        </w:rPr>
        <w:t>在九年制义务教育阶段，培养少年儿童专项体育技能。为国家和社会培养、输送具有思想品德、文化素质和体育特长的优秀体育后备人才，管好用好现有的体育训练场地，为市民健身，业余训练和竞技体育服务。</w:t>
      </w:r>
    </w:p>
    <w:p w14:paraId="687DDC1E" w14:textId="77777777" w:rsidR="004D0A99" w:rsidRDefault="00000000">
      <w:pPr>
        <w:pStyle w:val="14"/>
        <w:shd w:val="clear" w:color="auto" w:fill="FFFFFF"/>
        <w:adjustRightInd w:val="0"/>
        <w:snapToGrid w:val="0"/>
        <w:spacing w:before="0" w:beforeAutospacing="0" w:after="0" w:afterAutospacing="0" w:line="560" w:lineRule="exact"/>
        <w:ind w:firstLineChars="200" w:firstLine="640"/>
        <w:rPr>
          <w:rFonts w:ascii="Times New Roman" w:eastAsia="方正仿宋_GBK" w:hAnsi="Times New Roman"/>
          <w:kern w:val="2"/>
          <w:sz w:val="32"/>
          <w:szCs w:val="22"/>
        </w:rPr>
      </w:pPr>
      <w:r>
        <w:rPr>
          <w:rFonts w:ascii="Times New Roman" w:eastAsia="方正仿宋_GBK" w:hAnsi="Times New Roman"/>
          <w:kern w:val="2"/>
          <w:sz w:val="32"/>
          <w:szCs w:val="22"/>
        </w:rPr>
        <w:t>全校共开设田径、举重、乒乓球、拳击、羽毛球、武术散打、跆拳道、篮球和围棋</w:t>
      </w:r>
      <w:r>
        <w:rPr>
          <w:rFonts w:ascii="Times New Roman" w:eastAsia="方正仿宋_GBK" w:hAnsi="Times New Roman"/>
          <w:kern w:val="2"/>
          <w:sz w:val="32"/>
          <w:szCs w:val="22"/>
        </w:rPr>
        <w:t>9</w:t>
      </w:r>
      <w:r>
        <w:rPr>
          <w:rFonts w:ascii="Times New Roman" w:eastAsia="方正仿宋_GBK" w:hAnsi="Times New Roman"/>
          <w:kern w:val="2"/>
          <w:sz w:val="32"/>
          <w:szCs w:val="22"/>
        </w:rPr>
        <w:t>个项目。</w:t>
      </w:r>
    </w:p>
    <w:p w14:paraId="3F72518D" w14:textId="77777777" w:rsidR="004D0A99" w:rsidRDefault="00000000">
      <w:pPr>
        <w:tabs>
          <w:tab w:val="left" w:pos="9045"/>
        </w:tabs>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（二）单位构成</w:t>
      </w:r>
      <w:r>
        <w:rPr>
          <w:rFonts w:ascii="Times New Roman" w:eastAsia="方正仿宋_GBK" w:hAnsi="Times New Roman"/>
          <w:sz w:val="32"/>
        </w:rPr>
        <w:t xml:space="preserve">  </w:t>
      </w:r>
    </w:p>
    <w:p w14:paraId="1FAF6238" w14:textId="77777777"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 xml:space="preserve"> </w:t>
      </w:r>
      <w:r>
        <w:rPr>
          <w:rFonts w:ascii="Times New Roman" w:eastAsia="方正仿宋_GBK" w:hAnsi="Times New Roman"/>
          <w:sz w:val="32"/>
        </w:rPr>
        <w:t>机构类别：公益二类，属全额拨款的事业单位，事业编制</w:t>
      </w:r>
      <w:r>
        <w:rPr>
          <w:rFonts w:ascii="Times New Roman" w:eastAsia="方正仿宋_GBK" w:hAnsi="Times New Roman"/>
          <w:sz w:val="32"/>
        </w:rPr>
        <w:t>6</w:t>
      </w:r>
      <w:r>
        <w:rPr>
          <w:rFonts w:ascii="Times New Roman" w:eastAsia="方正仿宋_GBK" w:hAnsi="Times New Roman"/>
          <w:sz w:val="32"/>
        </w:rPr>
        <w:t>人。</w:t>
      </w:r>
    </w:p>
    <w:p w14:paraId="2657C993" w14:textId="77777777" w:rsidR="004D0A99" w:rsidRDefault="00000000">
      <w:pPr>
        <w:adjustRightInd w:val="0"/>
        <w:snapToGrid w:val="0"/>
        <w:spacing w:line="560" w:lineRule="exact"/>
        <w:ind w:firstLineChars="200" w:firstLine="640"/>
        <w:jc w:val="left"/>
        <w:rPr>
          <w:rFonts w:ascii="Times New Roman" w:eastAsia="方正黑体_GBK" w:hAnsi="Times New Roman"/>
          <w:sz w:val="32"/>
          <w:szCs w:val="32"/>
        </w:rPr>
      </w:pPr>
      <w:r>
        <w:rPr>
          <w:rFonts w:ascii="Times New Roman" w:eastAsia="方正黑体_GBK" w:hAnsi="Times New Roman"/>
          <w:sz w:val="32"/>
          <w:szCs w:val="32"/>
        </w:rPr>
        <w:t>二、部门收支总体情况</w:t>
      </w:r>
    </w:p>
    <w:p w14:paraId="10DCCDF8" w14:textId="77777777"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（一）收入预算：</w:t>
      </w:r>
      <w:r>
        <w:rPr>
          <w:rFonts w:ascii="Times New Roman" w:eastAsia="方正仿宋_GBK" w:hAnsi="Times New Roman"/>
          <w:sz w:val="32"/>
        </w:rPr>
        <w:t>2024</w:t>
      </w:r>
      <w:r>
        <w:rPr>
          <w:rFonts w:ascii="Times New Roman" w:eastAsia="方正仿宋_GBK" w:hAnsi="Times New Roman"/>
          <w:sz w:val="32"/>
        </w:rPr>
        <w:t>年年初预算数</w:t>
      </w:r>
      <w:r>
        <w:rPr>
          <w:rFonts w:ascii="Times New Roman" w:eastAsia="方正仿宋_GBK" w:hAnsi="Times New Roman"/>
          <w:sz w:val="32"/>
        </w:rPr>
        <w:t>267.61</w:t>
      </w:r>
      <w:r>
        <w:rPr>
          <w:rFonts w:ascii="Times New Roman" w:eastAsia="方正仿宋_GBK" w:hAnsi="Times New Roman"/>
          <w:sz w:val="32"/>
        </w:rPr>
        <w:t>万元，其中：一般公共预算拨款</w:t>
      </w:r>
      <w:r>
        <w:rPr>
          <w:rFonts w:ascii="Times New Roman" w:eastAsia="方正仿宋_GBK" w:hAnsi="Times New Roman"/>
          <w:sz w:val="32"/>
        </w:rPr>
        <w:t>240.44</w:t>
      </w:r>
      <w:r>
        <w:rPr>
          <w:rFonts w:ascii="Times New Roman" w:eastAsia="方正仿宋_GBK" w:hAnsi="Times New Roman"/>
          <w:sz w:val="32"/>
        </w:rPr>
        <w:t>万元，政府性基金预算拨款</w:t>
      </w:r>
      <w:r>
        <w:rPr>
          <w:rFonts w:ascii="Times New Roman" w:eastAsia="方正仿宋_GBK" w:hAnsi="Times New Roman"/>
          <w:sz w:val="32"/>
        </w:rPr>
        <w:t>27.17</w:t>
      </w:r>
      <w:r>
        <w:rPr>
          <w:rFonts w:ascii="Times New Roman" w:eastAsia="方正仿宋_GBK" w:hAnsi="Times New Roman"/>
          <w:sz w:val="32"/>
        </w:rPr>
        <w:t>万元，国有资本经营预算拨款</w:t>
      </w:r>
      <w:r>
        <w:rPr>
          <w:rFonts w:ascii="Times New Roman" w:eastAsia="方正仿宋_GBK" w:hAnsi="Times New Roman"/>
          <w:sz w:val="32"/>
        </w:rPr>
        <w:t>0</w:t>
      </w:r>
      <w:r>
        <w:rPr>
          <w:rFonts w:ascii="Times New Roman" w:eastAsia="方正仿宋_GBK" w:hAnsi="Times New Roman"/>
          <w:sz w:val="32"/>
        </w:rPr>
        <w:t>万元，事业收入</w:t>
      </w:r>
      <w:r>
        <w:rPr>
          <w:rFonts w:ascii="Times New Roman" w:eastAsia="方正仿宋_GBK" w:hAnsi="Times New Roman"/>
          <w:sz w:val="32"/>
        </w:rPr>
        <w:t>0</w:t>
      </w:r>
      <w:r>
        <w:rPr>
          <w:rFonts w:ascii="Times New Roman" w:eastAsia="方正仿宋_GBK" w:hAnsi="Times New Roman"/>
          <w:sz w:val="32"/>
        </w:rPr>
        <w:t>万元，事业单位经营收入</w:t>
      </w:r>
      <w:r>
        <w:rPr>
          <w:rFonts w:ascii="Times New Roman" w:eastAsia="方正仿宋_GBK" w:hAnsi="Times New Roman"/>
          <w:sz w:val="32"/>
        </w:rPr>
        <w:t>0</w:t>
      </w:r>
      <w:r>
        <w:rPr>
          <w:rFonts w:ascii="Times New Roman" w:eastAsia="方正仿宋_GBK" w:hAnsi="Times New Roman"/>
          <w:sz w:val="32"/>
        </w:rPr>
        <w:t>万元，其他收入</w:t>
      </w:r>
      <w:r>
        <w:rPr>
          <w:rFonts w:ascii="Times New Roman" w:eastAsia="方正仿宋_GBK" w:hAnsi="Times New Roman"/>
          <w:sz w:val="32"/>
        </w:rPr>
        <w:t>0</w:t>
      </w:r>
      <w:r>
        <w:rPr>
          <w:rFonts w:ascii="Times New Roman" w:eastAsia="方正仿宋_GBK" w:hAnsi="Times New Roman"/>
          <w:sz w:val="32"/>
        </w:rPr>
        <w:t>万元。收入较去年增加</w:t>
      </w:r>
      <w:r>
        <w:rPr>
          <w:rFonts w:ascii="Times New Roman" w:eastAsia="方正仿宋_GBK" w:hAnsi="Times New Roman"/>
          <w:sz w:val="32"/>
        </w:rPr>
        <w:t>24.85</w:t>
      </w:r>
      <w:r>
        <w:rPr>
          <w:rFonts w:ascii="Times New Roman" w:eastAsia="方正仿宋_GBK" w:hAnsi="Times New Roman"/>
          <w:sz w:val="32"/>
        </w:rPr>
        <w:t>万元，主要是人员增加。</w:t>
      </w:r>
    </w:p>
    <w:p w14:paraId="01D6541A" w14:textId="77777777"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（二）支出预算：</w:t>
      </w:r>
      <w:r>
        <w:rPr>
          <w:rFonts w:ascii="Times New Roman" w:eastAsia="方正仿宋_GBK" w:hAnsi="Times New Roman"/>
          <w:sz w:val="32"/>
        </w:rPr>
        <w:t>2024</w:t>
      </w:r>
      <w:r>
        <w:rPr>
          <w:rFonts w:ascii="Times New Roman" w:eastAsia="方正仿宋_GBK" w:hAnsi="Times New Roman"/>
          <w:sz w:val="32"/>
        </w:rPr>
        <w:t>年年初预算数</w:t>
      </w:r>
      <w:r>
        <w:rPr>
          <w:rFonts w:ascii="Times New Roman" w:eastAsia="方正仿宋_GBK" w:hAnsi="Times New Roman"/>
          <w:sz w:val="32"/>
        </w:rPr>
        <w:t>267.61</w:t>
      </w:r>
      <w:r>
        <w:rPr>
          <w:rFonts w:ascii="Times New Roman" w:eastAsia="方正仿宋_GBK" w:hAnsi="Times New Roman"/>
          <w:sz w:val="32"/>
        </w:rPr>
        <w:t>万元，其中：一般公共预算支出</w:t>
      </w:r>
      <w:r>
        <w:rPr>
          <w:rFonts w:ascii="Times New Roman" w:eastAsia="方正仿宋_GBK" w:hAnsi="Times New Roman"/>
          <w:sz w:val="32"/>
        </w:rPr>
        <w:t>240.44</w:t>
      </w:r>
      <w:r>
        <w:rPr>
          <w:rFonts w:ascii="Times New Roman" w:eastAsia="方正仿宋_GBK" w:hAnsi="Times New Roman"/>
          <w:sz w:val="32"/>
        </w:rPr>
        <w:t>万元，教育支出</w:t>
      </w:r>
      <w:r>
        <w:rPr>
          <w:rFonts w:ascii="Times New Roman" w:eastAsia="方正仿宋_GBK" w:hAnsi="Times New Roman"/>
          <w:sz w:val="32"/>
        </w:rPr>
        <w:t>0</w:t>
      </w:r>
      <w:r>
        <w:rPr>
          <w:rFonts w:ascii="Times New Roman" w:eastAsia="方正仿宋_GBK" w:hAnsi="Times New Roman"/>
          <w:sz w:val="32"/>
        </w:rPr>
        <w:t>万元，社会保障和</w:t>
      </w:r>
      <w:r>
        <w:rPr>
          <w:rFonts w:ascii="Times New Roman" w:eastAsia="方正仿宋_GBK" w:hAnsi="Times New Roman"/>
          <w:sz w:val="32"/>
        </w:rPr>
        <w:lastRenderedPageBreak/>
        <w:t>就业支出</w:t>
      </w:r>
      <w:r>
        <w:rPr>
          <w:rFonts w:ascii="Times New Roman" w:eastAsia="方正仿宋_GBK" w:hAnsi="Times New Roman"/>
          <w:sz w:val="32"/>
        </w:rPr>
        <w:t>95.17</w:t>
      </w:r>
      <w:r>
        <w:rPr>
          <w:rFonts w:ascii="Times New Roman" w:eastAsia="方正仿宋_GBK" w:hAnsi="Times New Roman"/>
          <w:sz w:val="32"/>
        </w:rPr>
        <w:t>万元，卫生健康支出</w:t>
      </w:r>
      <w:r>
        <w:rPr>
          <w:rFonts w:ascii="Times New Roman" w:eastAsia="方正仿宋_GBK" w:hAnsi="Times New Roman"/>
          <w:sz w:val="32"/>
        </w:rPr>
        <w:t>13.23</w:t>
      </w:r>
      <w:r>
        <w:rPr>
          <w:rFonts w:ascii="Times New Roman" w:eastAsia="方正仿宋_GBK" w:hAnsi="Times New Roman"/>
          <w:sz w:val="32"/>
        </w:rPr>
        <w:t>万元，住房保障支出</w:t>
      </w:r>
      <w:r>
        <w:rPr>
          <w:rFonts w:ascii="Times New Roman" w:eastAsia="方正仿宋_GBK" w:hAnsi="Times New Roman"/>
          <w:sz w:val="32"/>
        </w:rPr>
        <w:t>6.09</w:t>
      </w:r>
      <w:r>
        <w:rPr>
          <w:rFonts w:ascii="Times New Roman" w:eastAsia="方正仿宋_GBK" w:hAnsi="Times New Roman"/>
          <w:sz w:val="32"/>
        </w:rPr>
        <w:t>万元，文化旅游体育与传媒支出</w:t>
      </w:r>
      <w:r>
        <w:rPr>
          <w:rFonts w:ascii="Times New Roman" w:eastAsia="方正仿宋_GBK" w:hAnsi="Times New Roman"/>
          <w:sz w:val="32"/>
        </w:rPr>
        <w:t>125.95</w:t>
      </w:r>
      <w:r>
        <w:rPr>
          <w:rFonts w:ascii="Times New Roman" w:eastAsia="方正仿宋_GBK" w:hAnsi="Times New Roman"/>
          <w:sz w:val="32"/>
        </w:rPr>
        <w:t>万元，其他支出</w:t>
      </w:r>
      <w:r>
        <w:rPr>
          <w:rFonts w:ascii="Times New Roman" w:eastAsia="方正仿宋_GBK" w:hAnsi="Times New Roman"/>
          <w:sz w:val="32"/>
        </w:rPr>
        <w:t>27.17</w:t>
      </w:r>
      <w:r>
        <w:rPr>
          <w:rFonts w:ascii="Times New Roman" w:eastAsia="方正仿宋_GBK" w:hAnsi="Times New Roman"/>
          <w:sz w:val="32"/>
        </w:rPr>
        <w:t>万元。支出较去年增加</w:t>
      </w:r>
      <w:r>
        <w:rPr>
          <w:rFonts w:ascii="Times New Roman" w:eastAsia="方正仿宋_GBK" w:hAnsi="Times New Roman"/>
          <w:sz w:val="32"/>
        </w:rPr>
        <w:t>24.85</w:t>
      </w:r>
      <w:r>
        <w:rPr>
          <w:rFonts w:ascii="Times New Roman" w:eastAsia="方正仿宋_GBK" w:hAnsi="Times New Roman"/>
          <w:sz w:val="32"/>
        </w:rPr>
        <w:t>万元，主要是基本支出增加</w:t>
      </w:r>
      <w:r>
        <w:rPr>
          <w:rFonts w:ascii="Times New Roman" w:eastAsia="方正仿宋_GBK" w:hAnsi="Times New Roman"/>
          <w:sz w:val="32"/>
        </w:rPr>
        <w:t>28.27</w:t>
      </w:r>
      <w:r>
        <w:rPr>
          <w:rFonts w:ascii="Times New Roman" w:eastAsia="方正仿宋_GBK" w:hAnsi="Times New Roman"/>
          <w:sz w:val="32"/>
        </w:rPr>
        <w:t>万元，项目支出减少</w:t>
      </w:r>
      <w:r>
        <w:rPr>
          <w:rFonts w:ascii="Times New Roman" w:eastAsia="方正仿宋_GBK" w:hAnsi="Times New Roman"/>
          <w:sz w:val="32"/>
        </w:rPr>
        <w:t>3.42</w:t>
      </w:r>
      <w:r>
        <w:rPr>
          <w:rFonts w:ascii="Times New Roman" w:eastAsia="方正仿宋_GBK" w:hAnsi="Times New Roman"/>
          <w:sz w:val="32"/>
        </w:rPr>
        <w:t>万元。</w:t>
      </w:r>
    </w:p>
    <w:p w14:paraId="166514FB" w14:textId="77777777" w:rsidR="004D0A99" w:rsidRDefault="00000000">
      <w:pPr>
        <w:adjustRightInd w:val="0"/>
        <w:snapToGrid w:val="0"/>
        <w:spacing w:line="560" w:lineRule="exact"/>
        <w:ind w:firstLineChars="200" w:firstLine="640"/>
        <w:rPr>
          <w:rFonts w:ascii="方正黑体_GBK" w:eastAsia="方正黑体_GBK" w:hAnsi="方正黑体_GBK" w:cs="方正黑体_GBK"/>
          <w:sz w:val="32"/>
        </w:rPr>
      </w:pPr>
      <w:r>
        <w:rPr>
          <w:rFonts w:ascii="方正黑体_GBK" w:eastAsia="方正黑体_GBK" w:hAnsi="方正黑体_GBK" w:cs="方正黑体_GBK" w:hint="eastAsia"/>
          <w:sz w:val="32"/>
        </w:rPr>
        <w:t>三、部门预算情况说明</w:t>
      </w:r>
    </w:p>
    <w:p w14:paraId="3EE2A91E" w14:textId="77777777"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2024</w:t>
      </w:r>
      <w:r>
        <w:rPr>
          <w:rFonts w:ascii="Times New Roman" w:eastAsia="方正仿宋_GBK" w:hAnsi="Times New Roman"/>
          <w:sz w:val="32"/>
        </w:rPr>
        <w:t>年一般公共预算财政拨款收入</w:t>
      </w:r>
      <w:r>
        <w:rPr>
          <w:rFonts w:ascii="Times New Roman" w:eastAsia="方正仿宋_GBK" w:hAnsi="Times New Roman"/>
          <w:sz w:val="32"/>
        </w:rPr>
        <w:t>240.44</w:t>
      </w:r>
      <w:r>
        <w:rPr>
          <w:rFonts w:ascii="Times New Roman" w:eastAsia="方正仿宋_GBK" w:hAnsi="Times New Roman"/>
          <w:sz w:val="32"/>
        </w:rPr>
        <w:t>万元，一般公共预算财政拨款支出</w:t>
      </w:r>
      <w:r>
        <w:rPr>
          <w:rFonts w:ascii="Times New Roman" w:eastAsia="方正仿宋_GBK" w:hAnsi="Times New Roman"/>
          <w:sz w:val="32"/>
        </w:rPr>
        <w:t>240.44</w:t>
      </w:r>
      <w:r>
        <w:rPr>
          <w:rFonts w:ascii="Times New Roman" w:eastAsia="方正仿宋_GBK" w:hAnsi="Times New Roman"/>
          <w:sz w:val="32"/>
        </w:rPr>
        <w:t>万元，比</w:t>
      </w:r>
      <w:r>
        <w:rPr>
          <w:rFonts w:ascii="Times New Roman" w:eastAsia="方正仿宋_GBK" w:hAnsi="Times New Roman"/>
          <w:sz w:val="32"/>
        </w:rPr>
        <w:t>2023</w:t>
      </w:r>
      <w:r>
        <w:rPr>
          <w:rFonts w:ascii="Times New Roman" w:eastAsia="方正仿宋_GBK" w:hAnsi="Times New Roman"/>
          <w:sz w:val="32"/>
        </w:rPr>
        <w:t>年减少</w:t>
      </w:r>
      <w:r>
        <w:rPr>
          <w:rFonts w:ascii="Times New Roman" w:eastAsia="方正仿宋_GBK" w:hAnsi="Times New Roman"/>
          <w:sz w:val="32"/>
        </w:rPr>
        <w:t>14.69</w:t>
      </w:r>
      <w:r>
        <w:rPr>
          <w:rFonts w:ascii="Times New Roman" w:eastAsia="方正仿宋_GBK" w:hAnsi="Times New Roman"/>
          <w:sz w:val="32"/>
        </w:rPr>
        <w:t>万元。其中：基本支出</w:t>
      </w:r>
      <w:r>
        <w:rPr>
          <w:rFonts w:ascii="Times New Roman" w:eastAsia="方正仿宋_GBK" w:hAnsi="Times New Roman"/>
          <w:sz w:val="32"/>
        </w:rPr>
        <w:t>219.2</w:t>
      </w:r>
      <w:r>
        <w:rPr>
          <w:rFonts w:ascii="Times New Roman" w:eastAsia="方正仿宋_GBK" w:hAnsi="Times New Roman"/>
          <w:sz w:val="32"/>
        </w:rPr>
        <w:t>万元，比</w:t>
      </w:r>
      <w:r>
        <w:rPr>
          <w:rFonts w:ascii="Times New Roman" w:eastAsia="方正仿宋_GBK" w:hAnsi="Times New Roman"/>
          <w:sz w:val="32"/>
        </w:rPr>
        <w:t>2023</w:t>
      </w:r>
      <w:r>
        <w:rPr>
          <w:rFonts w:ascii="Times New Roman" w:eastAsia="方正仿宋_GBK" w:hAnsi="Times New Roman"/>
          <w:sz w:val="32"/>
        </w:rPr>
        <w:t>年增加</w:t>
      </w:r>
      <w:r>
        <w:rPr>
          <w:rFonts w:ascii="Times New Roman" w:eastAsia="方正仿宋_GBK" w:hAnsi="Times New Roman"/>
          <w:sz w:val="32"/>
        </w:rPr>
        <w:t>28.27</w:t>
      </w:r>
      <w:r>
        <w:rPr>
          <w:rFonts w:ascii="Times New Roman" w:eastAsia="方正仿宋_GBK" w:hAnsi="Times New Roman"/>
          <w:sz w:val="32"/>
        </w:rPr>
        <w:t>万元，主要原因是社保及工资提高。项目支出</w:t>
      </w:r>
      <w:r>
        <w:rPr>
          <w:rFonts w:ascii="Times New Roman" w:eastAsia="方正仿宋_GBK" w:hAnsi="Times New Roman"/>
          <w:sz w:val="32"/>
        </w:rPr>
        <w:t xml:space="preserve"> 21.24</w:t>
      </w:r>
      <w:r>
        <w:rPr>
          <w:rFonts w:ascii="Times New Roman" w:eastAsia="方正仿宋_GBK" w:hAnsi="Times New Roman"/>
          <w:sz w:val="32"/>
        </w:rPr>
        <w:t>万元，比</w:t>
      </w:r>
      <w:r>
        <w:rPr>
          <w:rFonts w:ascii="Times New Roman" w:eastAsia="方正仿宋_GBK" w:hAnsi="Times New Roman"/>
          <w:sz w:val="32"/>
        </w:rPr>
        <w:t>2023</w:t>
      </w:r>
      <w:r>
        <w:rPr>
          <w:rFonts w:ascii="Times New Roman" w:eastAsia="方正仿宋_GBK" w:hAnsi="Times New Roman"/>
          <w:sz w:val="32"/>
        </w:rPr>
        <w:t>年减少</w:t>
      </w:r>
      <w:r>
        <w:rPr>
          <w:rFonts w:ascii="Times New Roman" w:eastAsia="方正仿宋_GBK" w:hAnsi="Times New Roman"/>
          <w:sz w:val="32"/>
        </w:rPr>
        <w:t>13.58</w:t>
      </w:r>
      <w:r>
        <w:rPr>
          <w:rFonts w:ascii="Times New Roman" w:eastAsia="方正仿宋_GBK" w:hAnsi="Times New Roman"/>
          <w:sz w:val="32"/>
        </w:rPr>
        <w:t>万元，主要原因是县级项目资金减少。</w:t>
      </w:r>
    </w:p>
    <w:p w14:paraId="187EBCC4" w14:textId="77777777"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2024</w:t>
      </w:r>
      <w:r>
        <w:rPr>
          <w:rFonts w:ascii="Times New Roman" w:eastAsia="方正仿宋_GBK" w:hAnsi="Times New Roman"/>
          <w:sz w:val="32"/>
        </w:rPr>
        <w:t>年政府性基金预算收入</w:t>
      </w:r>
      <w:r>
        <w:rPr>
          <w:rFonts w:ascii="Times New Roman" w:eastAsia="方正仿宋_GBK" w:hAnsi="Times New Roman"/>
          <w:sz w:val="32"/>
        </w:rPr>
        <w:t>27.17</w:t>
      </w:r>
      <w:r>
        <w:rPr>
          <w:rFonts w:ascii="Times New Roman" w:eastAsia="方正仿宋_GBK" w:hAnsi="Times New Roman"/>
          <w:sz w:val="32"/>
        </w:rPr>
        <w:t>万元，政府性基金预算支出</w:t>
      </w:r>
      <w:r>
        <w:rPr>
          <w:rFonts w:ascii="Times New Roman" w:eastAsia="方正仿宋_GBK" w:hAnsi="Times New Roman"/>
          <w:sz w:val="32"/>
        </w:rPr>
        <w:t xml:space="preserve"> 27.17</w:t>
      </w:r>
      <w:r>
        <w:rPr>
          <w:rFonts w:ascii="Times New Roman" w:eastAsia="方正仿宋_GBK" w:hAnsi="Times New Roman"/>
          <w:sz w:val="32"/>
        </w:rPr>
        <w:t>万元，与</w:t>
      </w:r>
      <w:r>
        <w:rPr>
          <w:rFonts w:ascii="Times New Roman" w:eastAsia="方正仿宋_GBK" w:hAnsi="Times New Roman"/>
          <w:sz w:val="32"/>
        </w:rPr>
        <w:t>2023</w:t>
      </w:r>
      <w:r>
        <w:rPr>
          <w:rFonts w:ascii="Times New Roman" w:eastAsia="方正仿宋_GBK" w:hAnsi="Times New Roman"/>
          <w:sz w:val="32"/>
        </w:rPr>
        <w:t>年增加</w:t>
      </w:r>
      <w:r>
        <w:rPr>
          <w:rFonts w:ascii="Times New Roman" w:eastAsia="方正仿宋_GBK" w:hAnsi="Times New Roman"/>
          <w:sz w:val="32"/>
        </w:rPr>
        <w:t>10.16</w:t>
      </w:r>
      <w:r>
        <w:rPr>
          <w:rFonts w:ascii="Times New Roman" w:eastAsia="方正仿宋_GBK" w:hAnsi="Times New Roman"/>
          <w:sz w:val="32"/>
        </w:rPr>
        <w:t>万元，主要原因是上年项目结转。</w:t>
      </w:r>
    </w:p>
    <w:p w14:paraId="511C6F03" w14:textId="77777777" w:rsidR="004D0A99" w:rsidRDefault="00000000">
      <w:pPr>
        <w:adjustRightInd w:val="0"/>
        <w:snapToGrid w:val="0"/>
        <w:spacing w:line="560" w:lineRule="exact"/>
        <w:ind w:firstLineChars="200" w:firstLine="640"/>
        <w:jc w:val="left"/>
        <w:rPr>
          <w:rFonts w:ascii="Times New Roman" w:eastAsia="方正黑体_GBK" w:hAnsi="Times New Roman"/>
          <w:sz w:val="32"/>
          <w:szCs w:val="32"/>
        </w:rPr>
      </w:pPr>
      <w:r>
        <w:rPr>
          <w:rFonts w:ascii="Times New Roman" w:eastAsia="方正黑体_GBK" w:hAnsi="Times New Roman" w:hint="eastAsia"/>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14:paraId="4ADBAEB0" w14:textId="77777777" w:rsidR="004D0A99" w:rsidRDefault="00000000">
      <w:pPr>
        <w:adjustRightInd w:val="0"/>
        <w:snapToGrid w:val="0"/>
        <w:spacing w:line="560" w:lineRule="exact"/>
        <w:ind w:firstLine="600"/>
        <w:rPr>
          <w:rFonts w:ascii="Times New Roman" w:eastAsia="方正仿宋_GBK" w:hAnsi="Times New Roman"/>
          <w:sz w:val="32"/>
        </w:rPr>
      </w:pPr>
      <w:r>
        <w:rPr>
          <w:rFonts w:ascii="Times New Roman" w:eastAsia="方正仿宋_GBK" w:hAnsi="Times New Roman"/>
          <w:sz w:val="32"/>
        </w:rPr>
        <w:t>2024</w:t>
      </w:r>
      <w:r>
        <w:rPr>
          <w:rFonts w:ascii="Times New Roman" w:eastAsia="方正仿宋_GBK" w:hAnsi="Times New Roman"/>
          <w:sz w:val="32"/>
        </w:rPr>
        <w:t>年</w:t>
      </w:r>
      <w:r>
        <w:rPr>
          <w:rFonts w:ascii="Times New Roman" w:eastAsia="方正仿宋_GBK" w:hAnsi="Times New Roman"/>
          <w:sz w:val="32"/>
        </w:rPr>
        <w:t>“</w:t>
      </w:r>
      <w:r>
        <w:rPr>
          <w:rFonts w:ascii="Times New Roman" w:eastAsia="方正仿宋_GBK" w:hAnsi="Times New Roman"/>
          <w:sz w:val="32"/>
        </w:rPr>
        <w:t>三公</w:t>
      </w:r>
      <w:r>
        <w:rPr>
          <w:rFonts w:ascii="Times New Roman" w:eastAsia="方正仿宋_GBK" w:hAnsi="Times New Roman"/>
          <w:sz w:val="32"/>
        </w:rPr>
        <w:t>”</w:t>
      </w:r>
      <w:r>
        <w:rPr>
          <w:rFonts w:ascii="Times New Roman" w:eastAsia="方正仿宋_GBK" w:hAnsi="Times New Roman"/>
          <w:sz w:val="32"/>
        </w:rPr>
        <w:t>经费预算</w:t>
      </w:r>
      <w:r>
        <w:rPr>
          <w:rFonts w:ascii="Times New Roman" w:eastAsia="方正仿宋_GBK" w:hAnsi="Times New Roman"/>
          <w:sz w:val="32"/>
        </w:rPr>
        <w:t>0.5</w:t>
      </w:r>
      <w:r>
        <w:rPr>
          <w:rFonts w:ascii="Times New Roman" w:eastAsia="方正仿宋_GBK" w:hAnsi="Times New Roman"/>
          <w:sz w:val="32"/>
        </w:rPr>
        <w:t>万元，与</w:t>
      </w:r>
      <w:r>
        <w:rPr>
          <w:rFonts w:ascii="Times New Roman" w:eastAsia="方正仿宋_GBK" w:hAnsi="Times New Roman"/>
          <w:sz w:val="32"/>
        </w:rPr>
        <w:t>2023</w:t>
      </w:r>
      <w:r>
        <w:rPr>
          <w:rFonts w:ascii="Times New Roman" w:eastAsia="方正仿宋_GBK" w:hAnsi="Times New Roman"/>
          <w:sz w:val="32"/>
        </w:rPr>
        <w:t>年持平。其中：因公出国（境）费用</w:t>
      </w:r>
      <w:r>
        <w:rPr>
          <w:rFonts w:ascii="Times New Roman" w:eastAsia="方正仿宋_GBK" w:hAnsi="Times New Roman"/>
          <w:sz w:val="32"/>
        </w:rPr>
        <w:t>0</w:t>
      </w:r>
      <w:r>
        <w:rPr>
          <w:rFonts w:ascii="Times New Roman" w:eastAsia="方正仿宋_GBK" w:hAnsi="Times New Roman"/>
          <w:sz w:val="32"/>
        </w:rPr>
        <w:t>万元，与</w:t>
      </w:r>
      <w:r>
        <w:rPr>
          <w:rFonts w:ascii="Times New Roman" w:eastAsia="方正仿宋_GBK" w:hAnsi="Times New Roman"/>
          <w:sz w:val="32"/>
        </w:rPr>
        <w:t>2023</w:t>
      </w:r>
      <w:r>
        <w:rPr>
          <w:rFonts w:ascii="Times New Roman" w:eastAsia="方正仿宋_GBK" w:hAnsi="Times New Roman"/>
          <w:sz w:val="32"/>
        </w:rPr>
        <w:t>年持平；公务接待费</w:t>
      </w:r>
      <w:r>
        <w:rPr>
          <w:rFonts w:ascii="Times New Roman" w:eastAsia="方正仿宋_GBK" w:hAnsi="Times New Roman"/>
          <w:sz w:val="32"/>
        </w:rPr>
        <w:t>0.5</w:t>
      </w:r>
      <w:r>
        <w:rPr>
          <w:rFonts w:ascii="Times New Roman" w:eastAsia="方正仿宋_GBK" w:hAnsi="Times New Roman"/>
          <w:sz w:val="32"/>
        </w:rPr>
        <w:t>万元，与</w:t>
      </w:r>
      <w:r>
        <w:rPr>
          <w:rFonts w:ascii="Times New Roman" w:eastAsia="方正仿宋_GBK" w:hAnsi="Times New Roman"/>
          <w:sz w:val="32"/>
        </w:rPr>
        <w:t>2023</w:t>
      </w:r>
      <w:r>
        <w:rPr>
          <w:rFonts w:ascii="Times New Roman" w:eastAsia="方正仿宋_GBK" w:hAnsi="Times New Roman"/>
          <w:sz w:val="32"/>
        </w:rPr>
        <w:t>年持平；公务用车运行维护费</w:t>
      </w:r>
      <w:r>
        <w:rPr>
          <w:rFonts w:ascii="Times New Roman" w:eastAsia="方正仿宋_GBK" w:hAnsi="Times New Roman"/>
          <w:sz w:val="32"/>
        </w:rPr>
        <w:t>0</w:t>
      </w:r>
      <w:r>
        <w:rPr>
          <w:rFonts w:ascii="Times New Roman" w:eastAsia="方正仿宋_GBK" w:hAnsi="Times New Roman"/>
          <w:sz w:val="32"/>
        </w:rPr>
        <w:t>万元，与</w:t>
      </w:r>
      <w:r>
        <w:rPr>
          <w:rFonts w:ascii="Times New Roman" w:eastAsia="方正仿宋_GBK" w:hAnsi="Times New Roman"/>
          <w:sz w:val="32"/>
        </w:rPr>
        <w:t>2023</w:t>
      </w:r>
      <w:r>
        <w:rPr>
          <w:rFonts w:ascii="Times New Roman" w:eastAsia="方正仿宋_GBK" w:hAnsi="Times New Roman"/>
          <w:sz w:val="32"/>
        </w:rPr>
        <w:t>年持平；公务用车购置费</w:t>
      </w:r>
      <w:r>
        <w:rPr>
          <w:rFonts w:ascii="Times New Roman" w:eastAsia="方正仿宋_GBK" w:hAnsi="Times New Roman"/>
          <w:sz w:val="32"/>
        </w:rPr>
        <w:t>0</w:t>
      </w:r>
      <w:r>
        <w:rPr>
          <w:rFonts w:ascii="Times New Roman" w:eastAsia="方正仿宋_GBK" w:hAnsi="Times New Roman"/>
          <w:sz w:val="32"/>
        </w:rPr>
        <w:t>万元，与</w:t>
      </w:r>
      <w:r>
        <w:rPr>
          <w:rFonts w:ascii="Times New Roman" w:eastAsia="方正仿宋_GBK" w:hAnsi="Times New Roman"/>
          <w:sz w:val="32"/>
        </w:rPr>
        <w:t>2023</w:t>
      </w:r>
      <w:r>
        <w:rPr>
          <w:rFonts w:ascii="Times New Roman" w:eastAsia="方正仿宋_GBK" w:hAnsi="Times New Roman"/>
          <w:sz w:val="32"/>
        </w:rPr>
        <w:t>年持平。</w:t>
      </w:r>
    </w:p>
    <w:p w14:paraId="68C985A7" w14:textId="77777777" w:rsidR="004D0A99" w:rsidRDefault="00000000">
      <w:pPr>
        <w:adjustRightInd w:val="0"/>
        <w:snapToGrid w:val="0"/>
        <w:spacing w:line="560" w:lineRule="exact"/>
        <w:ind w:firstLineChars="200" w:firstLine="640"/>
        <w:rPr>
          <w:rFonts w:ascii="Times New Roman" w:eastAsia="方正黑体_GBK" w:hAnsi="Times New Roman"/>
          <w:sz w:val="32"/>
        </w:rPr>
      </w:pPr>
      <w:r>
        <w:rPr>
          <w:rFonts w:ascii="Times New Roman" w:eastAsia="方正黑体_GBK" w:hAnsi="Times New Roman" w:hint="eastAsia"/>
          <w:sz w:val="32"/>
        </w:rPr>
        <w:t>五</w:t>
      </w:r>
      <w:r>
        <w:rPr>
          <w:rFonts w:ascii="Times New Roman" w:eastAsia="方正黑体_GBK" w:hAnsi="Times New Roman"/>
          <w:sz w:val="32"/>
        </w:rPr>
        <w:t>、其他重要事项的情况说明</w:t>
      </w:r>
    </w:p>
    <w:p w14:paraId="16195134" w14:textId="77777777"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hint="eastAsia"/>
          <w:sz w:val="32"/>
        </w:rPr>
        <w:t>（一）</w:t>
      </w:r>
      <w:r>
        <w:rPr>
          <w:rFonts w:ascii="Times New Roman" w:eastAsia="方正仿宋_GBK" w:hAnsi="Times New Roman"/>
          <w:sz w:val="32"/>
        </w:rPr>
        <w:t>机关运行经费。我单位不在机关运行经费统计范围之内。</w:t>
      </w:r>
    </w:p>
    <w:p w14:paraId="644D0331" w14:textId="77777777"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（二）政府采购情况。所属各预算单位政府采购预算总额</w:t>
      </w:r>
      <w:r>
        <w:rPr>
          <w:rFonts w:ascii="Times New Roman" w:eastAsia="方正仿宋_GBK" w:hAnsi="Times New Roman"/>
          <w:sz w:val="32"/>
        </w:rPr>
        <w:t xml:space="preserve"> </w:t>
      </w:r>
      <w:r>
        <w:rPr>
          <w:rFonts w:ascii="Times New Roman" w:eastAsia="方正仿宋_GBK" w:hAnsi="Times New Roman"/>
          <w:sz w:val="32"/>
        </w:rPr>
        <w:lastRenderedPageBreak/>
        <w:t>0</w:t>
      </w:r>
      <w:r>
        <w:rPr>
          <w:rFonts w:ascii="Times New Roman" w:eastAsia="方正仿宋_GBK" w:hAnsi="Times New Roman"/>
          <w:sz w:val="32"/>
        </w:rPr>
        <w:t>万元：政府采购货物预算</w:t>
      </w:r>
      <w:r>
        <w:rPr>
          <w:rFonts w:ascii="Times New Roman" w:eastAsia="方正仿宋_GBK" w:hAnsi="Times New Roman"/>
          <w:sz w:val="32"/>
        </w:rPr>
        <w:t>0</w:t>
      </w:r>
      <w:r>
        <w:rPr>
          <w:rFonts w:ascii="Times New Roman" w:eastAsia="方正仿宋_GBK" w:hAnsi="Times New Roman"/>
          <w:sz w:val="32"/>
        </w:rPr>
        <w:t>万元、政府采购工程预算</w:t>
      </w:r>
      <w:r>
        <w:rPr>
          <w:rFonts w:ascii="Times New Roman" w:eastAsia="方正仿宋_GBK" w:hAnsi="Times New Roman"/>
          <w:sz w:val="32"/>
        </w:rPr>
        <w:t>0</w:t>
      </w:r>
      <w:r>
        <w:rPr>
          <w:rFonts w:ascii="Times New Roman" w:eastAsia="方正仿宋_GBK" w:hAnsi="Times New Roman"/>
          <w:sz w:val="32"/>
        </w:rPr>
        <w:t>万元、政府采购服务预算</w:t>
      </w:r>
      <w:r>
        <w:rPr>
          <w:rFonts w:ascii="Times New Roman" w:eastAsia="方正仿宋_GBK" w:hAnsi="Times New Roman"/>
          <w:sz w:val="32"/>
        </w:rPr>
        <w:t>0</w:t>
      </w:r>
      <w:r>
        <w:rPr>
          <w:rFonts w:ascii="Times New Roman" w:eastAsia="方正仿宋_GBK" w:hAnsi="Times New Roman"/>
          <w:sz w:val="32"/>
        </w:rPr>
        <w:t>万元；其中一般公共预算拨款政府采购</w:t>
      </w:r>
      <w:r>
        <w:rPr>
          <w:rFonts w:ascii="Times New Roman" w:eastAsia="方正仿宋_GBK" w:hAnsi="Times New Roman"/>
          <w:sz w:val="32"/>
        </w:rPr>
        <w:t>0</w:t>
      </w:r>
      <w:r>
        <w:rPr>
          <w:rFonts w:ascii="Times New Roman" w:eastAsia="方正仿宋_GBK" w:hAnsi="Times New Roman"/>
          <w:sz w:val="32"/>
        </w:rPr>
        <w:t>万元：政府采购货物预算</w:t>
      </w:r>
      <w:r>
        <w:rPr>
          <w:rFonts w:ascii="Times New Roman" w:eastAsia="方正仿宋_GBK" w:hAnsi="Times New Roman"/>
          <w:sz w:val="32"/>
        </w:rPr>
        <w:t>0</w:t>
      </w:r>
      <w:r>
        <w:rPr>
          <w:rFonts w:ascii="Times New Roman" w:eastAsia="方正仿宋_GBK" w:hAnsi="Times New Roman"/>
          <w:sz w:val="32"/>
        </w:rPr>
        <w:t>万元、政府采购工程预算</w:t>
      </w:r>
      <w:r>
        <w:rPr>
          <w:rFonts w:ascii="Times New Roman" w:eastAsia="方正仿宋_GBK" w:hAnsi="Times New Roman"/>
          <w:sz w:val="32"/>
        </w:rPr>
        <w:t>0</w:t>
      </w:r>
      <w:r>
        <w:rPr>
          <w:rFonts w:ascii="Times New Roman" w:eastAsia="方正仿宋_GBK" w:hAnsi="Times New Roman"/>
          <w:sz w:val="32"/>
        </w:rPr>
        <w:t>万元、政府采购服务预算</w:t>
      </w:r>
      <w:r>
        <w:rPr>
          <w:rFonts w:ascii="Times New Roman" w:eastAsia="方正仿宋_GBK" w:hAnsi="Times New Roman"/>
          <w:sz w:val="32"/>
        </w:rPr>
        <w:t>0</w:t>
      </w:r>
      <w:r>
        <w:rPr>
          <w:rFonts w:ascii="Times New Roman" w:eastAsia="方正仿宋_GBK" w:hAnsi="Times New Roman"/>
          <w:sz w:val="32"/>
        </w:rPr>
        <w:t>万元。</w:t>
      </w:r>
    </w:p>
    <w:p w14:paraId="79805DB1" w14:textId="77777777"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（三）绩效目标设置情况。</w:t>
      </w:r>
      <w:r>
        <w:rPr>
          <w:rFonts w:ascii="Times New Roman" w:eastAsia="方正仿宋_GBK" w:hAnsi="Times New Roman"/>
          <w:sz w:val="32"/>
        </w:rPr>
        <w:t>2024</w:t>
      </w:r>
      <w:r>
        <w:rPr>
          <w:rFonts w:ascii="Times New Roman" w:eastAsia="方正仿宋_GBK" w:hAnsi="Times New Roman"/>
          <w:sz w:val="32"/>
        </w:rPr>
        <w:t>年项目支出均实行了绩效目标管理，涉及资金量</w:t>
      </w:r>
      <w:r>
        <w:rPr>
          <w:rFonts w:ascii="Times New Roman" w:eastAsia="方正仿宋_GBK" w:hAnsi="Times New Roman"/>
          <w:sz w:val="32"/>
        </w:rPr>
        <w:t>33.24</w:t>
      </w:r>
      <w:r>
        <w:rPr>
          <w:rFonts w:ascii="Times New Roman" w:eastAsia="方正仿宋_GBK" w:hAnsi="Times New Roman"/>
          <w:sz w:val="32"/>
        </w:rPr>
        <w:t>万元。</w:t>
      </w:r>
    </w:p>
    <w:p w14:paraId="4C9748E9" w14:textId="5CDBBF48" w:rsidR="004D0A99" w:rsidRDefault="00000000">
      <w:pPr>
        <w:adjustRightInd w:val="0"/>
        <w:snapToGrid w:val="0"/>
        <w:spacing w:line="560" w:lineRule="exact"/>
        <w:ind w:firstLineChars="200" w:firstLine="640"/>
        <w:rPr>
          <w:rFonts w:ascii="Times New Roman" w:eastAsia="方正仿宋_GBK" w:hAnsi="Times New Roman"/>
          <w:sz w:val="32"/>
        </w:rPr>
      </w:pPr>
      <w:r>
        <w:rPr>
          <w:rFonts w:ascii="Times New Roman" w:eastAsia="方正仿宋_GBK" w:hAnsi="Times New Roman"/>
          <w:sz w:val="32"/>
        </w:rPr>
        <w:t>（四）国有资产占有使用情况。截</w:t>
      </w:r>
      <w:r w:rsidR="00474B86">
        <w:rPr>
          <w:rFonts w:ascii="Times New Roman" w:eastAsia="方正仿宋_GBK" w:hAnsi="Times New Roman" w:hint="eastAsia"/>
          <w:sz w:val="32"/>
        </w:rPr>
        <w:t>至</w:t>
      </w:r>
      <w:r>
        <w:rPr>
          <w:rFonts w:ascii="Times New Roman" w:eastAsia="方正仿宋_GBK" w:hAnsi="Times New Roman"/>
          <w:sz w:val="32"/>
        </w:rPr>
        <w:t>2023</w:t>
      </w:r>
      <w:r>
        <w:rPr>
          <w:rFonts w:ascii="Times New Roman" w:eastAsia="方正仿宋_GBK" w:hAnsi="Times New Roman"/>
          <w:sz w:val="32"/>
        </w:rPr>
        <w:t>年</w:t>
      </w:r>
      <w:r>
        <w:rPr>
          <w:rFonts w:ascii="Times New Roman" w:eastAsia="方正仿宋_GBK" w:hAnsi="Times New Roman"/>
          <w:sz w:val="32"/>
        </w:rPr>
        <w:t>12</w:t>
      </w:r>
      <w:r>
        <w:rPr>
          <w:rFonts w:ascii="Times New Roman" w:eastAsia="方正仿宋_GBK" w:hAnsi="Times New Roman"/>
          <w:sz w:val="32"/>
        </w:rPr>
        <w:t>月，所属各预算单位共有车辆</w:t>
      </w:r>
      <w:r>
        <w:rPr>
          <w:rFonts w:ascii="Times New Roman" w:eastAsia="方正仿宋_GBK" w:hAnsi="Times New Roman"/>
          <w:sz w:val="32"/>
        </w:rPr>
        <w:t>0</w:t>
      </w:r>
      <w:r>
        <w:rPr>
          <w:rFonts w:ascii="Times New Roman" w:eastAsia="方正仿宋_GBK" w:hAnsi="Times New Roman"/>
          <w:sz w:val="32"/>
        </w:rPr>
        <w:t>辆，其中一般公务用车</w:t>
      </w:r>
      <w:r>
        <w:rPr>
          <w:rFonts w:ascii="Times New Roman" w:eastAsia="方正仿宋_GBK" w:hAnsi="Times New Roman"/>
          <w:sz w:val="32"/>
        </w:rPr>
        <w:t>0</w:t>
      </w:r>
      <w:r>
        <w:rPr>
          <w:rFonts w:ascii="Times New Roman" w:eastAsia="方正仿宋_GBK" w:hAnsi="Times New Roman"/>
          <w:sz w:val="32"/>
        </w:rPr>
        <w:t>辆、执勤执法用车</w:t>
      </w:r>
      <w:r>
        <w:rPr>
          <w:rFonts w:ascii="Times New Roman" w:eastAsia="方正仿宋_GBK" w:hAnsi="Times New Roman"/>
          <w:sz w:val="32"/>
        </w:rPr>
        <w:t xml:space="preserve"> 0</w:t>
      </w:r>
      <w:r>
        <w:rPr>
          <w:rFonts w:ascii="Times New Roman" w:eastAsia="方正仿宋_GBK" w:hAnsi="Times New Roman"/>
          <w:sz w:val="32"/>
        </w:rPr>
        <w:t>辆。</w:t>
      </w:r>
      <w:r>
        <w:rPr>
          <w:rFonts w:ascii="Times New Roman" w:eastAsia="方正仿宋_GBK" w:hAnsi="Times New Roman"/>
          <w:sz w:val="32"/>
        </w:rPr>
        <w:t>2024</w:t>
      </w:r>
      <w:r>
        <w:rPr>
          <w:rFonts w:ascii="Times New Roman" w:eastAsia="方正仿宋_GBK" w:hAnsi="Times New Roman"/>
          <w:sz w:val="32"/>
        </w:rPr>
        <w:t>年一般公共预算安排购置车辆</w:t>
      </w:r>
      <w:r>
        <w:rPr>
          <w:rFonts w:ascii="Times New Roman" w:eastAsia="方正仿宋_GBK" w:hAnsi="Times New Roman"/>
          <w:sz w:val="32"/>
        </w:rPr>
        <w:t>0</w:t>
      </w:r>
      <w:r>
        <w:rPr>
          <w:rFonts w:ascii="Times New Roman" w:eastAsia="方正仿宋_GBK" w:hAnsi="Times New Roman"/>
          <w:sz w:val="32"/>
        </w:rPr>
        <w:t>辆，其中一般公务用车</w:t>
      </w:r>
      <w:r>
        <w:rPr>
          <w:rFonts w:ascii="Times New Roman" w:eastAsia="方正仿宋_GBK" w:hAnsi="Times New Roman"/>
          <w:sz w:val="32"/>
        </w:rPr>
        <w:t>0</w:t>
      </w:r>
      <w:r>
        <w:rPr>
          <w:rFonts w:ascii="Times New Roman" w:eastAsia="方正仿宋_GBK" w:hAnsi="Times New Roman"/>
          <w:sz w:val="32"/>
        </w:rPr>
        <w:t>辆、执勤执法用车</w:t>
      </w:r>
      <w:r>
        <w:rPr>
          <w:rFonts w:ascii="Times New Roman" w:eastAsia="方正仿宋_GBK" w:hAnsi="Times New Roman"/>
          <w:sz w:val="32"/>
        </w:rPr>
        <w:t>0</w:t>
      </w:r>
      <w:r>
        <w:rPr>
          <w:rFonts w:ascii="Times New Roman" w:eastAsia="方正仿宋_GBK" w:hAnsi="Times New Roman"/>
          <w:sz w:val="32"/>
        </w:rPr>
        <w:t>辆。</w:t>
      </w:r>
    </w:p>
    <w:p w14:paraId="62D4E4FD" w14:textId="77777777" w:rsidR="004D0A99" w:rsidRDefault="00000000">
      <w:pPr>
        <w:adjustRightInd w:val="0"/>
        <w:snapToGrid w:val="0"/>
        <w:spacing w:line="560" w:lineRule="exact"/>
        <w:ind w:firstLineChars="200" w:firstLine="640"/>
        <w:rPr>
          <w:rFonts w:ascii="Times New Roman" w:eastAsia="方正黑体_GBK" w:hAnsi="Times New Roman"/>
          <w:sz w:val="32"/>
        </w:rPr>
      </w:pPr>
      <w:r>
        <w:rPr>
          <w:rFonts w:ascii="Times New Roman" w:eastAsia="方正黑体_GBK" w:hAnsi="Times New Roman" w:hint="eastAsia"/>
          <w:sz w:val="32"/>
        </w:rPr>
        <w:t>六</w:t>
      </w:r>
      <w:r>
        <w:rPr>
          <w:rFonts w:ascii="Times New Roman" w:eastAsia="方正黑体_GBK" w:hAnsi="Times New Roman"/>
          <w:sz w:val="32"/>
        </w:rPr>
        <w:t>、专业性名词解释</w:t>
      </w:r>
    </w:p>
    <w:p w14:paraId="1C61AFA7" w14:textId="77777777" w:rsidR="004D0A99" w:rsidRDefault="00000000">
      <w:pPr>
        <w:pStyle w:val="a6"/>
        <w:tabs>
          <w:tab w:val="center" w:pos="4153"/>
          <w:tab w:val="left" w:pos="7275"/>
        </w:tabs>
        <w:adjustRightInd w:val="0"/>
        <w:snapToGrid w:val="0"/>
        <w:spacing w:line="56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（一）财政拨款收入：指本年度从本级财政部门取得的财政拨款，包括一般公共预算财政拨款和政府性基金预算财政拨款。</w:t>
      </w:r>
    </w:p>
    <w:p w14:paraId="6A9C692A" w14:textId="77777777" w:rsidR="004D0A99" w:rsidRDefault="00000000">
      <w:pPr>
        <w:pStyle w:val="a6"/>
        <w:tabs>
          <w:tab w:val="center" w:pos="4153"/>
          <w:tab w:val="left" w:pos="7275"/>
        </w:tabs>
        <w:adjustRightInd w:val="0"/>
        <w:snapToGrid w:val="0"/>
        <w:spacing w:line="56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（二）其他收入：指单位取得的除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14:paraId="0D7B65C0" w14:textId="77777777" w:rsidR="004D0A99" w:rsidRDefault="00000000">
      <w:pPr>
        <w:pStyle w:val="a6"/>
        <w:tabs>
          <w:tab w:val="center" w:pos="4153"/>
          <w:tab w:val="left" w:pos="7275"/>
        </w:tabs>
        <w:adjustRightInd w:val="0"/>
        <w:snapToGrid w:val="0"/>
        <w:spacing w:line="56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（三）基本支出：指为保障机构正常运转、完成日常工作任务而发生的人员经费和公用经费。</w:t>
      </w:r>
    </w:p>
    <w:p w14:paraId="51FB2308" w14:textId="77777777" w:rsidR="004D0A99" w:rsidRDefault="00000000">
      <w:pPr>
        <w:pStyle w:val="a6"/>
        <w:tabs>
          <w:tab w:val="center" w:pos="4153"/>
          <w:tab w:val="left" w:pos="7275"/>
        </w:tabs>
        <w:adjustRightInd w:val="0"/>
        <w:snapToGrid w:val="0"/>
        <w:spacing w:line="560" w:lineRule="exact"/>
        <w:ind w:firstLine="640"/>
        <w:jc w:val="left"/>
        <w:rPr>
          <w:rFonts w:ascii="Times New Roman" w:eastAsia="方正仿宋_GBK" w:hAnsi="Times New Roman"/>
          <w:sz w:val="32"/>
          <w:szCs w:val="32"/>
        </w:rPr>
      </w:pPr>
      <w:r>
        <w:rPr>
          <w:rFonts w:ascii="Times New Roman" w:eastAsia="方正仿宋_GBK" w:hAnsi="Times New Roman"/>
          <w:sz w:val="32"/>
          <w:szCs w:val="32"/>
        </w:rPr>
        <w:t>（四）项目支出：指在基本支出之外为完成特定行政任务和事业发展目标所发生的支出。</w:t>
      </w:r>
    </w:p>
    <w:p w14:paraId="2A7BD129" w14:textId="77777777" w:rsidR="004D0A99" w:rsidRDefault="00000000">
      <w:pPr>
        <w:adjustRightInd w:val="0"/>
        <w:snapToGrid w:val="0"/>
        <w:spacing w:line="56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（五）</w:t>
      </w:r>
      <w:r>
        <w:rPr>
          <w:rFonts w:ascii="Times New Roman" w:eastAsia="方正仿宋_GBK" w:hAnsi="Times New Roman"/>
          <w:sz w:val="32"/>
          <w:szCs w:val="32"/>
        </w:rPr>
        <w:t>“</w:t>
      </w:r>
      <w:r>
        <w:rPr>
          <w:rFonts w:ascii="Times New Roman" w:eastAsia="方正仿宋_GBK" w:hAnsi="Times New Roman"/>
          <w:sz w:val="32"/>
          <w:szCs w:val="32"/>
        </w:rPr>
        <w:t>三公</w:t>
      </w:r>
      <w:r>
        <w:rPr>
          <w:rFonts w:ascii="Times New Roman" w:eastAsia="方正仿宋_GBK" w:hAnsi="Times New Roman"/>
          <w:sz w:val="32"/>
          <w:szCs w:val="32"/>
        </w:rPr>
        <w:t>”</w:t>
      </w:r>
      <w:r>
        <w:rPr>
          <w:rFonts w:ascii="Times New Roman" w:eastAsia="方正仿宋_GBK" w:hAnsi="Times New Roman"/>
          <w:sz w:val="32"/>
          <w:szCs w:val="32"/>
        </w:rPr>
        <w:t>经费：指用一般公共预算财政拨款安排的因公出国（境）费、公务用车购置及运行维护费、公务接待费。</w:t>
      </w:r>
      <w:r>
        <w:rPr>
          <w:rFonts w:ascii="Times New Roman" w:eastAsia="方正仿宋_GBK" w:hAnsi="Times New Roman"/>
          <w:sz w:val="32"/>
          <w:szCs w:val="32"/>
        </w:rPr>
        <w:lastRenderedPageBreak/>
        <w:t>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B13D0E8" w14:textId="77777777" w:rsidR="004D0A99" w:rsidRDefault="004D0A99">
      <w:pPr>
        <w:adjustRightInd w:val="0"/>
        <w:snapToGrid w:val="0"/>
        <w:spacing w:line="560" w:lineRule="exact"/>
        <w:ind w:firstLineChars="200" w:firstLine="640"/>
        <w:rPr>
          <w:rFonts w:ascii="Times New Roman" w:eastAsia="方正仿宋_GBK" w:hAnsi="Times New Roman"/>
          <w:b/>
          <w:sz w:val="32"/>
        </w:rPr>
      </w:pPr>
    </w:p>
    <w:p w14:paraId="72424B44" w14:textId="77777777" w:rsidR="004D0A99" w:rsidRDefault="00000000">
      <w:pPr>
        <w:adjustRightInd w:val="0"/>
        <w:snapToGrid w:val="0"/>
        <w:spacing w:line="560" w:lineRule="exact"/>
        <w:ind w:firstLineChars="200" w:firstLine="640"/>
        <w:rPr>
          <w:rFonts w:ascii="Times New Roman" w:eastAsia="方正仿宋_GBK" w:hAnsi="Times New Roman"/>
          <w:bCs/>
          <w:sz w:val="32"/>
        </w:rPr>
      </w:pPr>
      <w:r>
        <w:rPr>
          <w:rFonts w:ascii="Times New Roman" w:eastAsia="方正仿宋_GBK" w:hAnsi="Times New Roman"/>
          <w:bCs/>
          <w:sz w:val="32"/>
        </w:rPr>
        <w:t>部门预算公开联系人：卢雨涵</w:t>
      </w:r>
      <w:r>
        <w:rPr>
          <w:rFonts w:ascii="Times New Roman" w:eastAsia="方正仿宋_GBK" w:hAnsi="Times New Roman"/>
          <w:bCs/>
          <w:sz w:val="32"/>
        </w:rPr>
        <w:t xml:space="preserve">   </w:t>
      </w:r>
      <w:r>
        <w:rPr>
          <w:rFonts w:ascii="Times New Roman" w:eastAsia="方正仿宋_GBK" w:hAnsi="Times New Roman"/>
          <w:bCs/>
          <w:sz w:val="32"/>
        </w:rPr>
        <w:t>联系方式：</w:t>
      </w:r>
      <w:r>
        <w:rPr>
          <w:rFonts w:ascii="Times New Roman" w:eastAsia="方正仿宋_GBK" w:hAnsi="Times New Roman"/>
          <w:bCs/>
          <w:sz w:val="32"/>
        </w:rPr>
        <w:t>023-85602200</w:t>
      </w:r>
    </w:p>
    <w:sectPr w:rsidR="004D0A99">
      <w:footerReference w:type="default" r:id="rId7"/>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272C3" w14:textId="77777777" w:rsidR="0005307D" w:rsidRDefault="0005307D">
      <w:r>
        <w:separator/>
      </w:r>
    </w:p>
  </w:endnote>
  <w:endnote w:type="continuationSeparator" w:id="0">
    <w:p w14:paraId="7266CB94" w14:textId="77777777" w:rsidR="0005307D" w:rsidRDefault="00053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auto"/>
    <w:pitch w:val="default"/>
    <w:sig w:usb0="00000001" w:usb1="080E0000" w:usb2="00000000" w:usb3="00000000" w:csb0="00040000" w:csb1="00000000"/>
  </w:font>
  <w:font w:name="方正仿宋_GBK">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8506" w14:textId="77777777" w:rsidR="004D0A99" w:rsidRDefault="00000000">
    <w:pPr>
      <w:pStyle w:val="12"/>
      <w:tabs>
        <w:tab w:val="clear" w:pos="4153"/>
        <w:tab w:val="clear" w:pos="8306"/>
      </w:tabs>
    </w:pPr>
    <w:r>
      <w:rPr>
        <w:noProof/>
      </w:rPr>
      <mc:AlternateContent>
        <mc:Choice Requires="wps">
          <w:drawing>
            <wp:anchor distT="0" distB="0" distL="0" distR="0" simplePos="0" relativeHeight="251659264" behindDoc="0" locked="0" layoutInCell="1" allowOverlap="1" wp14:anchorId="05B803B0" wp14:editId="7F7218F4">
              <wp:simplePos x="0" y="0"/>
              <wp:positionH relativeFrom="margin">
                <wp:align>outside</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57343450" w14:textId="77777777" w:rsidR="004D0A99" w:rsidRDefault="00000000">
                          <w:pPr>
                            <w:pStyle w:val="12"/>
                            <w:tabs>
                              <w:tab w:val="clear" w:pos="4153"/>
                              <w:tab w:val="clear" w:pos="8306"/>
                            </w:tabs>
                            <w:rPr>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r>
                            <w:rPr>
                              <w:rFonts w:hint="eastAsia"/>
                              <w:sz w:val="24"/>
                              <w:szCs w:val="24"/>
                            </w:rPr>
                            <w:t>—</w:t>
                          </w:r>
                        </w:p>
                        <w:p w14:paraId="08C7BBA8" w14:textId="77777777" w:rsidR="004D0A99" w:rsidRDefault="004D0A99"/>
                      </w:txbxContent>
                    </wps:txbx>
                    <wps:bodyPr rot="0" vert="horz" wrap="square" lIns="91440" tIns="45720" rIns="91440" bIns="45720" anchor="t" anchorCtr="0"/>
                  </wps:wsp>
                </a:graphicData>
              </a:graphic>
            </wp:anchor>
          </w:drawing>
        </mc:Choice>
        <mc:Fallback>
          <w:pict>
            <v:rect w14:anchorId="05B803B0" id="_x0000_s2049" o:spid="_x0000_s1026" style="position:absolute;margin-left:92.8pt;margin-top:0;width:2in;height:2in;z-index:251659264;visibility:visible;mso-wrap-style:square;mso-wrap-distance-left:0;mso-wrap-distance-top:0;mso-wrap-distance-right:0;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" filled="f" stroked="f">
              <v:textbox>
                <w:txbxContent>
                  <w:p w14:paraId="57343450" w14:textId="77777777" w:rsidR="004D0A99" w:rsidRDefault="00000000">
                    <w:pPr>
                      <w:pStyle w:val="12"/>
                      <w:tabs>
                        <w:tab w:val="clear" w:pos="4153"/>
                        <w:tab w:val="clear" w:pos="8306"/>
                      </w:tabs>
                      <w:rPr>
                        <w:sz w:val="24"/>
                        <w:szCs w:val="24"/>
                      </w:rPr>
                    </w:pPr>
                    <w:r>
                      <w:rPr>
                        <w:rFonts w:hint="eastAsia"/>
                        <w:sz w:val="24"/>
                        <w:szCs w:val="24"/>
                      </w:rPr>
                      <w:t>—</w:t>
                    </w: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r>
                      <w:rPr>
                        <w:rFonts w:hint="eastAsia"/>
                        <w:sz w:val="24"/>
                        <w:szCs w:val="24"/>
                      </w:rPr>
                      <w:t>—</w:t>
                    </w:r>
                  </w:p>
                  <w:p w14:paraId="08C7BBA8" w14:textId="77777777" w:rsidR="004D0A99" w:rsidRDefault="004D0A99"/>
                </w:txbxContent>
              </v:textbox>
              <w10:wrap anchorx="margin"/>
            </v:rect>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6DE6" w14:textId="77777777" w:rsidR="0005307D" w:rsidRDefault="0005307D">
      <w:r>
        <w:separator/>
      </w:r>
    </w:p>
  </w:footnote>
  <w:footnote w:type="continuationSeparator" w:id="0">
    <w:p w14:paraId="09A53AD2" w14:textId="77777777" w:rsidR="0005307D" w:rsidRDefault="00053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Q4OWM3MmM5YzYxYmNlODIxZjc4MDdkZDRiMzhiNjEifQ=="/>
  </w:docVars>
  <w:rsids>
    <w:rsidRoot w:val="004D0A99"/>
    <w:rsid w:val="0005307D"/>
    <w:rsid w:val="00474B86"/>
    <w:rsid w:val="004D0A99"/>
    <w:rsid w:val="20CA53E5"/>
    <w:rsid w:val="22426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21FEC"/>
  <w15:docId w15:val="{8B358B34-4661-4D73-A895-C698D150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1"/>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semiHidden/>
  </w:style>
  <w:style w:type="table" w:customStyle="1" w:styleId="10">
    <w:name w:val="普通表格1"/>
    <w:semiHidden/>
    <w:tblPr>
      <w:tblCellMar>
        <w:top w:w="0" w:type="dxa"/>
        <w:left w:w="0" w:type="dxa"/>
        <w:bottom w:w="0" w:type="dxa"/>
        <w:right w:w="0" w:type="dxa"/>
      </w:tblCellMar>
    </w:tblPr>
  </w:style>
  <w:style w:type="paragraph" w:customStyle="1" w:styleId="11">
    <w:name w:val="批注框文本1"/>
    <w:basedOn w:val="a"/>
    <w:link w:val="a3"/>
    <w:rPr>
      <w:sz w:val="18"/>
      <w:szCs w:val="18"/>
    </w:rPr>
  </w:style>
  <w:style w:type="character" w:customStyle="1" w:styleId="a3">
    <w:name w:val="批注框文本 字符"/>
    <w:link w:val="11"/>
    <w:rPr>
      <w:kern w:val="2"/>
      <w:sz w:val="18"/>
      <w:szCs w:val="18"/>
    </w:rPr>
  </w:style>
  <w:style w:type="paragraph" w:customStyle="1" w:styleId="12">
    <w:name w:val="页脚1"/>
    <w:basedOn w:val="a"/>
    <w:link w:val="a4"/>
    <w:pPr>
      <w:tabs>
        <w:tab w:val="center" w:pos="4153"/>
        <w:tab w:val="right" w:pos="8306"/>
      </w:tabs>
      <w:snapToGrid w:val="0"/>
      <w:jc w:val="left"/>
    </w:pPr>
    <w:rPr>
      <w:sz w:val="18"/>
      <w:szCs w:val="18"/>
    </w:rPr>
  </w:style>
  <w:style w:type="character" w:customStyle="1" w:styleId="a4">
    <w:name w:val="页脚 字符"/>
    <w:link w:val="12"/>
    <w:rPr>
      <w:kern w:val="2"/>
      <w:sz w:val="18"/>
      <w:szCs w:val="18"/>
    </w:rPr>
  </w:style>
  <w:style w:type="paragraph" w:customStyle="1" w:styleId="13">
    <w:name w:val="页眉1"/>
    <w:basedOn w:val="a"/>
    <w:link w:val="a5"/>
    <w:pPr>
      <w:pBdr>
        <w:bottom w:val="single" w:sz="6" w:space="1" w:color="000000"/>
      </w:pBdr>
      <w:tabs>
        <w:tab w:val="center" w:pos="4153"/>
        <w:tab w:val="right" w:pos="8306"/>
      </w:tabs>
      <w:snapToGrid w:val="0"/>
      <w:jc w:val="center"/>
    </w:pPr>
    <w:rPr>
      <w:sz w:val="18"/>
      <w:szCs w:val="18"/>
    </w:rPr>
  </w:style>
  <w:style w:type="character" w:customStyle="1" w:styleId="a5">
    <w:name w:val="页眉 字符"/>
    <w:link w:val="13"/>
    <w:rPr>
      <w:kern w:val="2"/>
      <w:sz w:val="18"/>
      <w:szCs w:val="18"/>
    </w:rPr>
  </w:style>
  <w:style w:type="paragraph" w:customStyle="1" w:styleId="14">
    <w:name w:val="普通(网站)1"/>
    <w:basedOn w:val="a"/>
    <w:pPr>
      <w:widowControl/>
      <w:spacing w:before="100" w:beforeAutospacing="1" w:after="100" w:afterAutospacing="1"/>
      <w:jc w:val="left"/>
    </w:pPr>
    <w:rPr>
      <w:rFonts w:ascii="宋体" w:hAnsi="宋体"/>
      <w:kern w:val="0"/>
      <w:sz w:val="24"/>
      <w:szCs w:val="24"/>
    </w:rPr>
  </w:style>
  <w:style w:type="paragraph" w:customStyle="1" w:styleId="a6">
    <w:name w:val="列出段落"/>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姚婷</dc:creator>
  <cp:lastModifiedBy>Sir Wang</cp:lastModifiedBy>
  <cp:revision>2</cp:revision>
  <dcterms:created xsi:type="dcterms:W3CDTF">2024-03-28T01:12:00Z</dcterms:created>
  <dcterms:modified xsi:type="dcterms:W3CDTF">2024-03-28T01:12:00Z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87E94CAE85664F8A801120FAB5A1FFB6_12</vt:lpwstr>
  </property>
</Properties>
</file>