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16E6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丰都县卫生健康委员会（本级）</w:t>
      </w:r>
    </w:p>
    <w:p w14:paraId="6184D9E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sz w:val="32"/>
          <w:szCs w:val="32"/>
        </w:rPr>
      </w:pPr>
      <w:r>
        <w:rPr>
          <w:rFonts w:hint="default" w:ascii="Times New Roman" w:hAnsi="Times New Roman" w:eastAsia="方正小标宋_GBK" w:cs="Times New Roman"/>
          <w:sz w:val="44"/>
          <w:szCs w:val="44"/>
        </w:rPr>
        <w:t>2024</w:t>
      </w:r>
      <w:r>
        <w:rPr>
          <w:rFonts w:hint="eastAsia" w:ascii="方正小标宋_GBK" w:hAnsi="方正小标宋_GBK" w:eastAsia="方正小标宋_GBK" w:cs="方正小标宋_GBK"/>
          <w:sz w:val="44"/>
          <w:szCs w:val="44"/>
        </w:rPr>
        <w:t>年度决算公开说明</w:t>
      </w:r>
    </w:p>
    <w:p w14:paraId="1B06F7A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p>
    <w:p w14:paraId="6C5CF75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一、单位基本情况</w:t>
      </w:r>
    </w:p>
    <w:p w14:paraId="16934E5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（一）职能职责</w:t>
      </w:r>
    </w:p>
    <w:p w14:paraId="0A9C935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丰都县卫生健康委员会贯彻落实党中央、市委和县委关于卫生健康工作的方针政策和决策部署，在履行职责过程中坚持和加强党对卫生健康工作的集中统一领导。主要职责是：</w:t>
      </w:r>
    </w:p>
    <w:p w14:paraId="7FD3670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贯彻党和国家卫生健康法律法规和方针政策；组织拟订全县卫生健康发展规划并组织实施。统筹规划全县卫生健康资源配置。组织实施上级有关推进全县卫生健康基本公共服务均等化、普惠化、便捷化和公共资源向基层延伸等政策措施。</w:t>
      </w:r>
    </w:p>
    <w:p w14:paraId="0FE48F0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协调推进全县深化医药卫生体制改革，建立以公益性为导向的绩效考核和评价运行机制。组织深化公立医院综合改革，推进管办分离，健全现代医院管理制度，制定并组织实施推动全县卫生健康公共服务提供主体多元化、提供方式多样化的政策措施。贯彻执行医疗服务和药品价格政策。</w:t>
      </w:r>
    </w:p>
    <w:p w14:paraId="3A4495C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3.负责全县医疗卫生机构、卫生健康服务行业管理和监督，监督指导医疗卫生机构服务、技术、质量、安全，以及采供血机构管理的规范化、标准化建设，建立健全医疗卫生服务评价和监督管理体系。会同有关部门制定并组织实施医疗卫生服务规范和卫生健康专业技术人员执业规则、服务规范。组织开展无偿献血工作。</w:t>
      </w:r>
    </w:p>
    <w:p w14:paraId="32614AA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4.贯彻落实国家药物政策和国家基本药物制度，开展药品使用监测、临床综合评价和短缺药品预警，执行国家基本药物目录。</w:t>
      </w:r>
    </w:p>
    <w:p w14:paraId="245DEEE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5.负责职责范围内的职业卫生、放射卫生、环境卫生、学校卫生、公共场所卫生、饮用水卫生等公共卫生监测、调查、评估和监督管理，负责传染病防治监督，健全全县卫生健康综合监督体系。负责全县卫生健康领域综合执法，具体监督执法交由监督执法队伍承担，并以部门名义统一执法。</w:t>
      </w:r>
    </w:p>
    <w:p w14:paraId="184216C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6.负责爱国卫生工作。组织开展爱国卫生运动和各类卫生及健康创建活动，组织实施全县城乡病媒生物防治和农村人居环境改善相关工作；根据《烟草控制框架公约》做好相关工作；具体工作由县爱国卫生运动委员会办公室承担。</w:t>
      </w:r>
    </w:p>
    <w:p w14:paraId="5196891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7.负责疾病预防控制，协调有关部门对重大疾病实施防控，制定并组织实施全县疾病预防控制规划、免疫规划以及严重危害人民健康的公共卫生问题的干预措施，根据国家检疫传染病和监测传染病目录开展相关工作。组织实施食品安全风险监测评估，负责食源性疾病及与食品安全事故有关的流行病学调查。负责全县卫生应急工作，组织指导全县突发公共卫生事件的预防控制和各类突发公共事件的医疗卫生救援。</w:t>
      </w:r>
    </w:p>
    <w:p w14:paraId="1B7B540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8.负责计划生育管理和服务工作，开展人口监测预警，研究提出人口与家庭发展相关政策建议，落实计划生育政策。</w:t>
      </w:r>
    </w:p>
    <w:p w14:paraId="57C559A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9.组织拟订并协调落实应对人口老龄化政策措施，负责推进全县老年健康服务体系建设和医养结合工作。承担丰都县老龄工作委员会的日常工作。</w:t>
      </w:r>
    </w:p>
    <w:p w14:paraId="32BEB90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10.负责机关、直属单位和行业社会组织党建工作。负责基层医疗卫生、妇幼健康服务体系和全科医生队伍建设，推进卫生健康科技创新发展，组织实施卫生健康相关科研项目，推广卫生健康科技成果的普及和应用，督促开展医技人员继续医学教育工作。承担健康扶贫工程相关工作。</w:t>
      </w:r>
    </w:p>
    <w:p w14:paraId="6DCFE79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11.负责县级保健对象和高层次人才的医疗保健工作；负责在全县召开的重要会议、重大活动的医疗卫生保障工作；承担县委、县政府指定的有关保健医疗方面的工作任务及相关事项。</w:t>
      </w:r>
    </w:p>
    <w:p w14:paraId="3729F10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12.负责卫生和计划生育宣传、健康教育、健康促进和信息化建设等工作，依法组织实施统计调查，参与人口基础信息库建设；开展卫生援外工作。</w:t>
      </w:r>
    </w:p>
    <w:p w14:paraId="6CB32C7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13.负责机关和所属单位的安全监管、信访稳定、卫生健康扶贫工作。</w:t>
      </w:r>
    </w:p>
    <w:p w14:paraId="29C16ED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14.代管丰都县计划生育协会机关。</w:t>
      </w:r>
    </w:p>
    <w:p w14:paraId="39B562E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15.完成县委、县政府交办的其他任务。</w:t>
      </w:r>
    </w:p>
    <w:p w14:paraId="520F832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16.职能转变。丰都县卫生健康委员会（本级）牢固树立大卫生、大健康理念，推动实施健康中国战略丰都实践，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w:t>
      </w:r>
      <w:r>
        <w:rPr>
          <w:rFonts w:ascii="Times New Roman" w:hAnsi="Times New Roman" w:eastAsia="方正仿宋_GBK"/>
          <w:sz w:val="32"/>
          <w:szCs w:val="32"/>
        </w:rPr>
        <w:t>、便捷化。四是协调推进深化医药卫生体制改革，加大公立医院改革力度，推进管办分离，推动卫生健康公共服务提供主体多元化、提供方式多样化。</w:t>
      </w:r>
    </w:p>
    <w:p w14:paraId="62324B4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（二）机构设置</w:t>
      </w:r>
    </w:p>
    <w:p w14:paraId="6D67A5A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从单位构成看，本单位为丰都县卫生健康委下属二级预算单位。下列</w:t>
      </w:r>
      <w:r>
        <w:rPr>
          <w:rFonts w:hint="default" w:ascii="Times New Roman" w:hAnsi="Times New Roman" w:eastAsia="方正仿宋_GBK"/>
          <w:sz w:val="32"/>
          <w:szCs w:val="32"/>
        </w:rPr>
        <w:t>11个内设机构：办公室、组织人事科、财务科、医政科（中医科）、基层卫生科、规划信息科、人口监测与家庭发展科、疾病预防控制科、综合监督科、信访安全科、政策法规科（行政审批科）。</w:t>
      </w:r>
    </w:p>
    <w:p w14:paraId="63CD286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二、单位决算收支情况说明</w:t>
      </w:r>
    </w:p>
    <w:p w14:paraId="0704FFA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（一）收入支出决算总体情况说明</w:t>
      </w:r>
    </w:p>
    <w:p w14:paraId="61A3E81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年度收、支总计均为</w:t>
      </w:r>
      <w:r>
        <w:rPr>
          <w:rFonts w:hint="default" w:ascii="Times New Roman" w:hAnsi="Times New Roman" w:eastAsia="方正仿宋_GBK"/>
          <w:sz w:val="32"/>
          <w:szCs w:val="32"/>
        </w:rPr>
        <w:t>6576.02</w:t>
      </w:r>
      <w:r>
        <w:rPr>
          <w:rFonts w:ascii="Times New Roman" w:hAnsi="Times New Roman" w:eastAsia="方正仿宋_GBK"/>
          <w:sz w:val="32"/>
          <w:szCs w:val="32"/>
        </w:rPr>
        <w:t>万元。</w:t>
      </w:r>
      <w:r>
        <w:rPr>
          <w:rFonts w:hint="default" w:ascii="Times New Roman" w:hAnsi="Times New Roman" w:eastAsia="方正仿宋_GBK"/>
          <w:sz w:val="32"/>
          <w:szCs w:val="32"/>
        </w:rPr>
        <w:t>收、支与2023年度相比，减少1901.03万元，下降22.4%</w:t>
      </w:r>
      <w:r>
        <w:rPr>
          <w:rFonts w:ascii="Times New Roman" w:hAnsi="Times New Roman" w:eastAsia="方正仿宋_GBK"/>
          <w:sz w:val="32"/>
          <w:szCs w:val="32"/>
        </w:rPr>
        <w:t>，主要原因是本年三甲医院建设项目购买服务项目收入减少</w:t>
      </w:r>
      <w:r>
        <w:rPr>
          <w:rFonts w:hint="default" w:ascii="Times New Roman" w:hAnsi="Times New Roman" w:eastAsia="方正仿宋_GBK"/>
          <w:sz w:val="32"/>
          <w:szCs w:val="32"/>
        </w:rPr>
        <w:t>2229</w:t>
      </w:r>
      <w:r>
        <w:rPr>
          <w:rFonts w:ascii="Times New Roman" w:hAnsi="Times New Roman" w:eastAsia="方正仿宋_GBK"/>
          <w:sz w:val="32"/>
          <w:szCs w:val="32"/>
        </w:rPr>
        <w:t>.</w:t>
      </w:r>
      <w:r>
        <w:rPr>
          <w:rFonts w:hint="default" w:ascii="Times New Roman" w:hAnsi="Times New Roman" w:eastAsia="方正仿宋_GBK"/>
          <w:sz w:val="32"/>
          <w:szCs w:val="32"/>
        </w:rPr>
        <w:t>24</w:t>
      </w:r>
      <w:r>
        <w:rPr>
          <w:rFonts w:ascii="Times New Roman" w:hAnsi="Times New Roman" w:eastAsia="方正仿宋_GBK"/>
          <w:sz w:val="32"/>
          <w:szCs w:val="32"/>
        </w:rPr>
        <w:t>万</w:t>
      </w:r>
      <w:r>
        <w:rPr>
          <w:rFonts w:hint="default" w:ascii="Times New Roman" w:hAnsi="Times New Roman" w:eastAsia="方正仿宋_GBK"/>
          <w:sz w:val="32"/>
          <w:szCs w:val="32"/>
        </w:rPr>
        <w:t>元</w:t>
      </w:r>
      <w:r>
        <w:rPr>
          <w:rFonts w:ascii="Times New Roman" w:hAnsi="Times New Roman" w:eastAsia="方正仿宋_GBK"/>
          <w:sz w:val="32"/>
          <w:szCs w:val="32"/>
        </w:rPr>
        <w:t>。</w:t>
      </w:r>
    </w:p>
    <w:p w14:paraId="14811E6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bookmarkStart w:id="0" w:name="_GoBack"/>
      <w:r>
        <w:rPr>
          <w:rFonts w:ascii="Times New Roman" w:hAnsi="Times New Roman" w:eastAsia="方正仿宋_GBK"/>
          <w:b/>
          <w:bCs/>
          <w:sz w:val="32"/>
          <w:szCs w:val="32"/>
        </w:rPr>
        <w:t>1.收入情况。</w:t>
      </w:r>
      <w:bookmarkEnd w:id="0"/>
      <w:r>
        <w:rPr>
          <w:rFonts w:hint="default" w:ascii="Times New Roman" w:hAnsi="Times New Roman" w:eastAsia="方正仿宋_GBK"/>
          <w:sz w:val="32"/>
          <w:szCs w:val="32"/>
        </w:rPr>
        <w:t>2024</w:t>
      </w:r>
      <w:r>
        <w:rPr>
          <w:rFonts w:ascii="Times New Roman" w:hAnsi="Times New Roman" w:eastAsia="方正仿宋_GBK"/>
          <w:sz w:val="32"/>
          <w:szCs w:val="32"/>
        </w:rPr>
        <w:t>年度收入合计</w:t>
      </w:r>
      <w:r>
        <w:rPr>
          <w:rFonts w:hint="default" w:ascii="Times New Roman" w:hAnsi="Times New Roman" w:eastAsia="方正仿宋_GBK"/>
          <w:sz w:val="32"/>
          <w:szCs w:val="32"/>
        </w:rPr>
        <w:t>6542.26</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与2023年度相比，减少1760.92万元，下降21.2%</w:t>
      </w:r>
      <w:r>
        <w:rPr>
          <w:rFonts w:ascii="Times New Roman" w:hAnsi="Times New Roman" w:eastAsia="方正仿宋_GBK"/>
          <w:sz w:val="32"/>
          <w:szCs w:val="32"/>
        </w:rPr>
        <w:t>，主要原因是本年三甲医院建设项目购买服务项目收入减少</w:t>
      </w:r>
      <w:r>
        <w:rPr>
          <w:rFonts w:hint="default" w:ascii="Times New Roman" w:hAnsi="Times New Roman" w:eastAsia="方正仿宋_GBK"/>
          <w:sz w:val="32"/>
          <w:szCs w:val="32"/>
        </w:rPr>
        <w:t>2229.24万元。</w:t>
      </w:r>
      <w:r>
        <w:rPr>
          <w:rFonts w:ascii="Times New Roman" w:hAnsi="Times New Roman" w:eastAsia="方正仿宋_GBK"/>
          <w:sz w:val="32"/>
          <w:szCs w:val="32"/>
        </w:rPr>
        <w:t>其中：财政拨款收入</w:t>
      </w:r>
      <w:r>
        <w:rPr>
          <w:rFonts w:hint="default" w:ascii="Times New Roman" w:hAnsi="Times New Roman" w:eastAsia="方正仿宋_GBK"/>
          <w:sz w:val="32"/>
          <w:szCs w:val="32"/>
        </w:rPr>
        <w:t>6528.27</w:t>
      </w:r>
      <w:r>
        <w:rPr>
          <w:rFonts w:ascii="Times New Roman" w:hAnsi="Times New Roman" w:eastAsia="方正仿宋_GBK"/>
          <w:sz w:val="32"/>
          <w:szCs w:val="32"/>
        </w:rPr>
        <w:t>万元，占</w:t>
      </w:r>
      <w:r>
        <w:rPr>
          <w:rFonts w:hint="default" w:ascii="Times New Roman" w:hAnsi="Times New Roman" w:eastAsia="方正仿宋_GBK"/>
          <w:sz w:val="32"/>
          <w:szCs w:val="32"/>
        </w:rPr>
        <w:t>99.8%</w:t>
      </w:r>
      <w:r>
        <w:rPr>
          <w:rFonts w:ascii="Times New Roman" w:hAnsi="Times New Roman" w:eastAsia="方正仿宋_GBK"/>
          <w:sz w:val="32"/>
          <w:szCs w:val="32"/>
        </w:rPr>
        <w:t>；事业收入</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；经营收入</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；其他收入</w:t>
      </w:r>
      <w:r>
        <w:rPr>
          <w:rFonts w:hint="default" w:ascii="Times New Roman" w:hAnsi="Times New Roman" w:eastAsia="方正仿宋_GBK"/>
          <w:sz w:val="32"/>
          <w:szCs w:val="32"/>
        </w:rPr>
        <w:t>13.99</w:t>
      </w:r>
      <w:r>
        <w:rPr>
          <w:rFonts w:ascii="Times New Roman" w:hAnsi="Times New Roman" w:eastAsia="方正仿宋_GBK"/>
          <w:sz w:val="32"/>
          <w:szCs w:val="32"/>
        </w:rPr>
        <w:t>万元，占</w:t>
      </w:r>
      <w:r>
        <w:rPr>
          <w:rFonts w:hint="default" w:ascii="Times New Roman" w:hAnsi="Times New Roman" w:eastAsia="方正仿宋_GBK"/>
          <w:sz w:val="32"/>
          <w:szCs w:val="32"/>
        </w:rPr>
        <w:t>0.2%</w:t>
      </w:r>
      <w:r>
        <w:rPr>
          <w:rFonts w:ascii="Times New Roman" w:hAnsi="Times New Roman" w:eastAsia="方正仿宋_GBK"/>
          <w:sz w:val="32"/>
          <w:szCs w:val="32"/>
        </w:rPr>
        <w:t>。此外，使用非财政拨款结余（含专用结余）</w:t>
      </w:r>
      <w:r>
        <w:rPr>
          <w:rFonts w:hint="default" w:ascii="Times New Roman" w:hAnsi="Times New Roman" w:eastAsia="方正仿宋_GBK"/>
          <w:sz w:val="32"/>
          <w:szCs w:val="32"/>
        </w:rPr>
        <w:t>0.00</w:t>
      </w:r>
      <w:r>
        <w:rPr>
          <w:rFonts w:ascii="Times New Roman" w:hAnsi="Times New Roman" w:eastAsia="方正仿宋_GBK"/>
          <w:sz w:val="32"/>
          <w:szCs w:val="32"/>
        </w:rPr>
        <w:t>万元，年初结转和结余</w:t>
      </w:r>
      <w:r>
        <w:rPr>
          <w:rFonts w:hint="default" w:ascii="Times New Roman" w:hAnsi="Times New Roman" w:eastAsia="方正仿宋_GBK"/>
          <w:sz w:val="32"/>
          <w:szCs w:val="32"/>
        </w:rPr>
        <w:t>33.76</w:t>
      </w:r>
      <w:r>
        <w:rPr>
          <w:rFonts w:ascii="Times New Roman" w:hAnsi="Times New Roman" w:eastAsia="方正仿宋_GBK"/>
          <w:sz w:val="32"/>
          <w:szCs w:val="32"/>
        </w:rPr>
        <w:t>万元。</w:t>
      </w:r>
    </w:p>
    <w:p w14:paraId="02458C7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2.支出情况。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年度支出合计</w:t>
      </w:r>
      <w:r>
        <w:rPr>
          <w:rFonts w:hint="default" w:ascii="Times New Roman" w:hAnsi="Times New Roman" w:eastAsia="方正仿宋_GBK"/>
          <w:sz w:val="32"/>
          <w:szCs w:val="32"/>
        </w:rPr>
        <w:t>6542.26</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与2023年度相比，减少1934.79万元，下降22.8%</w:t>
      </w:r>
      <w:r>
        <w:rPr>
          <w:rFonts w:ascii="Times New Roman" w:hAnsi="Times New Roman" w:eastAsia="方正仿宋_GBK"/>
          <w:sz w:val="32"/>
          <w:szCs w:val="32"/>
        </w:rPr>
        <w:t>，主要原因是本年三甲医院购买服务项目支出减少</w:t>
      </w:r>
      <w:r>
        <w:rPr>
          <w:rFonts w:hint="default" w:ascii="Times New Roman" w:hAnsi="Times New Roman" w:eastAsia="方正仿宋_GBK"/>
          <w:sz w:val="32"/>
          <w:szCs w:val="32"/>
        </w:rPr>
        <w:t>2229.24万元。</w:t>
      </w:r>
      <w:r>
        <w:rPr>
          <w:rFonts w:ascii="Times New Roman" w:hAnsi="Times New Roman" w:eastAsia="方正仿宋_GBK"/>
          <w:sz w:val="32"/>
          <w:szCs w:val="32"/>
        </w:rPr>
        <w:t>其中：基本支出</w:t>
      </w:r>
      <w:r>
        <w:rPr>
          <w:rFonts w:hint="default" w:ascii="Times New Roman" w:hAnsi="Times New Roman" w:eastAsia="方正仿宋_GBK"/>
          <w:sz w:val="32"/>
          <w:szCs w:val="32"/>
        </w:rPr>
        <w:t>1218.59</w:t>
      </w:r>
      <w:r>
        <w:rPr>
          <w:rFonts w:ascii="Times New Roman" w:hAnsi="Times New Roman" w:eastAsia="方正仿宋_GBK"/>
          <w:sz w:val="32"/>
          <w:szCs w:val="32"/>
        </w:rPr>
        <w:t>万元，占</w:t>
      </w:r>
      <w:r>
        <w:rPr>
          <w:rFonts w:hint="default" w:ascii="Times New Roman" w:hAnsi="Times New Roman" w:eastAsia="方正仿宋_GBK"/>
          <w:sz w:val="32"/>
          <w:szCs w:val="32"/>
        </w:rPr>
        <w:t>18.6%</w:t>
      </w:r>
      <w:r>
        <w:rPr>
          <w:rFonts w:ascii="Times New Roman" w:hAnsi="Times New Roman" w:eastAsia="方正仿宋_GBK"/>
          <w:sz w:val="32"/>
          <w:szCs w:val="32"/>
        </w:rPr>
        <w:t>；项目支出</w:t>
      </w:r>
      <w:r>
        <w:rPr>
          <w:rFonts w:hint="default" w:ascii="Times New Roman" w:hAnsi="Times New Roman" w:eastAsia="方正仿宋_GBK"/>
          <w:sz w:val="32"/>
          <w:szCs w:val="32"/>
        </w:rPr>
        <w:t>5323.67</w:t>
      </w:r>
      <w:r>
        <w:rPr>
          <w:rFonts w:ascii="Times New Roman" w:hAnsi="Times New Roman" w:eastAsia="方正仿宋_GBK"/>
          <w:sz w:val="32"/>
          <w:szCs w:val="32"/>
        </w:rPr>
        <w:t>万元，占</w:t>
      </w:r>
      <w:r>
        <w:rPr>
          <w:rFonts w:hint="default" w:ascii="Times New Roman" w:hAnsi="Times New Roman" w:eastAsia="方正仿宋_GBK"/>
          <w:sz w:val="32"/>
          <w:szCs w:val="32"/>
        </w:rPr>
        <w:t>81.4%</w:t>
      </w:r>
      <w:r>
        <w:rPr>
          <w:rFonts w:ascii="Times New Roman" w:hAnsi="Times New Roman" w:eastAsia="方正仿宋_GBK"/>
          <w:sz w:val="32"/>
          <w:szCs w:val="32"/>
        </w:rPr>
        <w:t>；经营支出</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。此外，结余分配</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57AD0F5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ascii="Times New Roman" w:hAnsi="Times New Roman" w:eastAsia="方正仿宋_GBK"/>
          <w:b/>
          <w:bCs/>
          <w:sz w:val="32"/>
          <w:szCs w:val="32"/>
        </w:rPr>
        <w:t>3.结转结余情况。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年度年末结转和结余</w:t>
      </w:r>
      <w:r>
        <w:rPr>
          <w:rFonts w:hint="default" w:ascii="Times New Roman" w:hAnsi="Times New Roman" w:eastAsia="方正仿宋_GBK"/>
          <w:sz w:val="32"/>
          <w:szCs w:val="32"/>
        </w:rPr>
        <w:t>33.76</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与2023年度相比，增加33.76万元，增长100.0%</w:t>
      </w:r>
      <w:r>
        <w:rPr>
          <w:rFonts w:ascii="Times New Roman" w:hAnsi="Times New Roman" w:eastAsia="方正仿宋_GBK"/>
          <w:sz w:val="32"/>
          <w:szCs w:val="32"/>
        </w:rPr>
        <w:t>，主要原因是下属参公事业单位丰都县卫生健康综合行政执法支队因机构改革撤销，该单位年初结转结余33.76万元合并到我单位，本年未使用，年末结转结余33.76万元。</w:t>
      </w:r>
    </w:p>
    <w:p w14:paraId="369F908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（二）财政拨款收入支出决算总体情况说明</w:t>
      </w:r>
    </w:p>
    <w:p w14:paraId="4B94137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年度财政拨款收、支总计均为</w:t>
      </w:r>
      <w:r>
        <w:rPr>
          <w:rFonts w:hint="default" w:ascii="Times New Roman" w:hAnsi="Times New Roman" w:eastAsia="方正仿宋_GBK"/>
          <w:sz w:val="32"/>
          <w:szCs w:val="32"/>
        </w:rPr>
        <w:t>6528.27</w:t>
      </w:r>
      <w:r>
        <w:rPr>
          <w:rFonts w:ascii="Times New Roman" w:hAnsi="Times New Roman" w:eastAsia="方正仿宋_GBK"/>
          <w:sz w:val="32"/>
          <w:szCs w:val="32"/>
        </w:rPr>
        <w:t>万元。与</w:t>
      </w:r>
      <w:r>
        <w:rPr>
          <w:rFonts w:hint="default" w:ascii="Times New Roman" w:hAnsi="Times New Roman" w:eastAsia="方正仿宋_GBK"/>
          <w:sz w:val="32"/>
          <w:szCs w:val="32"/>
        </w:rPr>
        <w:t>2023</w:t>
      </w:r>
      <w:r>
        <w:rPr>
          <w:rFonts w:ascii="Times New Roman" w:hAnsi="Times New Roman" w:eastAsia="方正仿宋_GBK"/>
          <w:sz w:val="32"/>
          <w:szCs w:val="32"/>
        </w:rPr>
        <w:t>年度相比，</w:t>
      </w:r>
      <w:r>
        <w:rPr>
          <w:rFonts w:hint="default" w:ascii="Times New Roman" w:hAnsi="Times New Roman" w:eastAsia="方正仿宋_GBK"/>
          <w:sz w:val="32"/>
          <w:szCs w:val="32"/>
        </w:rPr>
        <w:t>财政拨款收、支总计各减少1839.58万元，下降22.0%</w:t>
      </w:r>
      <w:r>
        <w:rPr>
          <w:rFonts w:ascii="Times New Roman" w:hAnsi="Times New Roman" w:eastAsia="方正仿宋_GBK"/>
          <w:sz w:val="32"/>
          <w:szCs w:val="32"/>
        </w:rPr>
        <w:t>。主要原因是本年三甲医院建设项目购买服务项目收支减少</w:t>
      </w:r>
      <w:r>
        <w:rPr>
          <w:rFonts w:hint="default" w:ascii="Times New Roman" w:hAnsi="Times New Roman" w:eastAsia="方正仿宋_GBK"/>
          <w:sz w:val="32"/>
          <w:szCs w:val="32"/>
        </w:rPr>
        <w:t>2229.24万元</w:t>
      </w:r>
    </w:p>
    <w:p w14:paraId="5150AFA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（三）一般公共预算财政拨款收入支出决算情况说明</w:t>
      </w:r>
    </w:p>
    <w:p w14:paraId="641697D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1</w:t>
      </w:r>
      <w:r>
        <w:rPr>
          <w:rFonts w:ascii="Times New Roman" w:hAnsi="Times New Roman" w:eastAsia="方正仿宋_GBK"/>
          <w:b/>
          <w:bCs/>
          <w:sz w:val="32"/>
          <w:szCs w:val="32"/>
        </w:rPr>
        <w:t>.收入情况。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年度一般公共预算财政拨款收入</w:t>
      </w:r>
      <w:r>
        <w:rPr>
          <w:rFonts w:hint="default" w:ascii="Times New Roman" w:hAnsi="Times New Roman" w:eastAsia="方正仿宋_GBK"/>
          <w:sz w:val="32"/>
          <w:szCs w:val="32"/>
        </w:rPr>
        <w:t>6528.27</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与2023年度相比，增加526.29万元，增长8.8%</w:t>
      </w:r>
      <w:r>
        <w:rPr>
          <w:rFonts w:ascii="Times New Roman" w:hAnsi="Times New Roman" w:eastAsia="方正仿宋_GBK"/>
          <w:sz w:val="32"/>
          <w:szCs w:val="32"/>
        </w:rPr>
        <w:t>。主要原因是下属参公事业单位丰都县卫生健康综合行政执法支队机构改革撤销后，一般公共预算财政拨款收入336.12万元合并到我单位。</w:t>
      </w:r>
      <w:r>
        <w:rPr>
          <w:rFonts w:hint="default" w:ascii="Times New Roman" w:hAnsi="Times New Roman" w:eastAsia="方正仿宋_GBK"/>
          <w:sz w:val="32"/>
          <w:szCs w:val="32"/>
        </w:rPr>
        <w:t>较年初预算数减少1844.22万元，下降22.0%</w:t>
      </w:r>
      <w:r>
        <w:rPr>
          <w:rFonts w:ascii="Times New Roman" w:hAnsi="Times New Roman" w:eastAsia="方正仿宋_GBK"/>
          <w:sz w:val="32"/>
          <w:szCs w:val="32"/>
        </w:rPr>
        <w:t>。主要原因是年中预算调整。此外，年初财政拨款结转和结余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p>
    <w:p w14:paraId="37F8635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2</w:t>
      </w:r>
      <w:r>
        <w:rPr>
          <w:rFonts w:ascii="Times New Roman" w:hAnsi="Times New Roman" w:eastAsia="方正仿宋_GBK"/>
          <w:b/>
          <w:bCs/>
          <w:sz w:val="32"/>
          <w:szCs w:val="32"/>
        </w:rPr>
        <w:t>.支出情况。</w:t>
      </w:r>
      <w:r>
        <w:rPr>
          <w:rFonts w:hint="default" w:ascii="Times New Roman" w:hAnsi="Times New Roman" w:eastAsia="方正仿宋_GBK"/>
          <w:sz w:val="32"/>
          <w:szCs w:val="32"/>
        </w:rPr>
        <w:t>2024</w:t>
      </w:r>
      <w:r>
        <w:rPr>
          <w:rFonts w:ascii="Times New Roman" w:hAnsi="Times New Roman" w:eastAsia="方正仿宋_GBK"/>
          <w:sz w:val="32"/>
          <w:szCs w:val="32"/>
        </w:rPr>
        <w:t>年度一般公共预算财政拨款支出</w:t>
      </w:r>
      <w:r>
        <w:rPr>
          <w:rFonts w:hint="default" w:ascii="Times New Roman" w:hAnsi="Times New Roman" w:eastAsia="方正仿宋_GBK"/>
          <w:sz w:val="32"/>
          <w:szCs w:val="32"/>
        </w:rPr>
        <w:t>6528.27</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与2023年度相比，增加352.42万元，增长5.7%</w:t>
      </w:r>
      <w:r>
        <w:rPr>
          <w:rFonts w:ascii="Times New Roman" w:hAnsi="Times New Roman" w:eastAsia="方正仿宋_GBK"/>
          <w:sz w:val="32"/>
          <w:szCs w:val="32"/>
        </w:rPr>
        <w:t>。主要原因是下属参公事业单位丰都县卫生健康综合行政执法支队机构改革撤销后，一般公共预算财政拨款支出</w:t>
      </w:r>
      <w:r>
        <w:rPr>
          <w:rFonts w:hint="default" w:ascii="Times New Roman" w:hAnsi="Times New Roman" w:eastAsia="方正仿宋_GBK"/>
          <w:sz w:val="32"/>
          <w:szCs w:val="32"/>
        </w:rPr>
        <w:t>336.12万元合并到我单位。较年初预算数减少1844.22万元，下降22.0%</w:t>
      </w:r>
      <w:r>
        <w:rPr>
          <w:rFonts w:ascii="Times New Roman" w:hAnsi="Times New Roman" w:eastAsia="方正仿宋_GBK"/>
          <w:sz w:val="32"/>
          <w:szCs w:val="32"/>
        </w:rPr>
        <w:t>。主要原因是年中预算调整。</w:t>
      </w:r>
    </w:p>
    <w:p w14:paraId="1C8FE85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一般公共预算财政拨款支出主要用途如下：</w:t>
      </w:r>
    </w:p>
    <w:p w14:paraId="224354D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（1）国防支出</w:t>
      </w:r>
      <w:r>
        <w:rPr>
          <w:rFonts w:hint="default" w:ascii="Times New Roman" w:hAnsi="Times New Roman" w:eastAsia="方正仿宋_GBK"/>
          <w:sz w:val="32"/>
          <w:szCs w:val="32"/>
        </w:rPr>
        <w:t>0.00</w:t>
      </w:r>
      <w:r>
        <w:rPr>
          <w:rFonts w:ascii="Times New Roman" w:hAnsi="Times New Roman" w:eastAsia="方正仿宋_GBK"/>
          <w:sz w:val="32"/>
          <w:szCs w:val="32"/>
        </w:rPr>
        <w:t>万元，占</w:t>
      </w:r>
      <w:r>
        <w:rPr>
          <w:rFonts w:hint="default" w:ascii="Times New Roman" w:hAnsi="Times New Roman" w:eastAsia="方正仿宋_GBK"/>
          <w:sz w:val="32"/>
          <w:szCs w:val="32"/>
        </w:rPr>
        <w:t>0.0%</w:t>
      </w:r>
      <w:r>
        <w:rPr>
          <w:rFonts w:ascii="Times New Roman" w:hAnsi="Times New Roman" w:eastAsia="方正仿宋_GBK"/>
          <w:sz w:val="32"/>
          <w:szCs w:val="32"/>
        </w:rPr>
        <w:t>，</w:t>
      </w:r>
      <w:r>
        <w:rPr>
          <w:rFonts w:hint="default" w:ascii="Times New Roman" w:hAnsi="Times New Roman" w:eastAsia="方正仿宋_GBK"/>
          <w:sz w:val="32"/>
          <w:szCs w:val="32"/>
        </w:rPr>
        <w:t>较年初预算数减少30.00万元，下降100.0%</w:t>
      </w:r>
      <w:r>
        <w:rPr>
          <w:rFonts w:ascii="Times New Roman" w:hAnsi="Times New Roman" w:eastAsia="方正仿宋_GBK"/>
          <w:sz w:val="32"/>
          <w:szCs w:val="32"/>
        </w:rPr>
        <w:t>，主要原因是征兵体检项目减少30万元。</w:t>
      </w:r>
    </w:p>
    <w:p w14:paraId="725CE51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（2）社会保障和就业支出</w:t>
      </w:r>
      <w:r>
        <w:rPr>
          <w:rFonts w:hint="default" w:ascii="Times New Roman" w:hAnsi="Times New Roman" w:eastAsia="方正仿宋_GBK"/>
          <w:sz w:val="32"/>
          <w:szCs w:val="32"/>
        </w:rPr>
        <w:t>266.29</w:t>
      </w:r>
      <w:r>
        <w:rPr>
          <w:rFonts w:ascii="Times New Roman" w:hAnsi="Times New Roman" w:eastAsia="方正仿宋_GBK"/>
          <w:sz w:val="32"/>
          <w:szCs w:val="32"/>
        </w:rPr>
        <w:t>万元，占</w:t>
      </w:r>
      <w:r>
        <w:rPr>
          <w:rFonts w:hint="default" w:ascii="Times New Roman" w:hAnsi="Times New Roman" w:eastAsia="方正仿宋_GBK"/>
          <w:sz w:val="32"/>
          <w:szCs w:val="32"/>
        </w:rPr>
        <w:t>4.1%</w:t>
      </w:r>
      <w:r>
        <w:rPr>
          <w:rFonts w:ascii="Times New Roman" w:hAnsi="Times New Roman" w:eastAsia="方正仿宋_GBK"/>
          <w:sz w:val="32"/>
          <w:szCs w:val="32"/>
        </w:rPr>
        <w:t>，</w:t>
      </w:r>
      <w:r>
        <w:rPr>
          <w:rFonts w:hint="default" w:ascii="Times New Roman" w:hAnsi="Times New Roman" w:eastAsia="方正仿宋_GBK"/>
          <w:sz w:val="32"/>
          <w:szCs w:val="32"/>
        </w:rPr>
        <w:t>较年初预算数增加26.05万元，增长10.8%</w:t>
      </w:r>
      <w:r>
        <w:rPr>
          <w:rFonts w:ascii="Times New Roman" w:hAnsi="Times New Roman" w:eastAsia="方正仿宋_GBK"/>
          <w:sz w:val="32"/>
          <w:szCs w:val="32"/>
        </w:rPr>
        <w:t>，主要原因是下属参公事业单位丰都县卫生健康综合行政执法支队机构改革撤销后，人员社保支出合并到我单位。</w:t>
      </w:r>
    </w:p>
    <w:p w14:paraId="491754F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（3）卫生健康支出</w:t>
      </w:r>
      <w:r>
        <w:rPr>
          <w:rFonts w:hint="default" w:ascii="Times New Roman" w:hAnsi="Times New Roman" w:eastAsia="方正仿宋_GBK"/>
          <w:sz w:val="32"/>
          <w:szCs w:val="32"/>
        </w:rPr>
        <w:t>6197.98</w:t>
      </w:r>
      <w:r>
        <w:rPr>
          <w:rFonts w:ascii="Times New Roman" w:hAnsi="Times New Roman" w:eastAsia="方正仿宋_GBK"/>
          <w:sz w:val="32"/>
          <w:szCs w:val="32"/>
        </w:rPr>
        <w:t>万元，占</w:t>
      </w:r>
      <w:r>
        <w:rPr>
          <w:rFonts w:hint="default" w:ascii="Times New Roman" w:hAnsi="Times New Roman" w:eastAsia="方正仿宋_GBK"/>
          <w:sz w:val="32"/>
          <w:szCs w:val="32"/>
        </w:rPr>
        <w:t>94.9%</w:t>
      </w:r>
      <w:r>
        <w:rPr>
          <w:rFonts w:ascii="Times New Roman" w:hAnsi="Times New Roman" w:eastAsia="方正仿宋_GBK"/>
          <w:sz w:val="32"/>
          <w:szCs w:val="32"/>
        </w:rPr>
        <w:t>，</w:t>
      </w:r>
      <w:r>
        <w:rPr>
          <w:rFonts w:hint="default" w:ascii="Times New Roman" w:hAnsi="Times New Roman" w:eastAsia="方正仿宋_GBK"/>
          <w:sz w:val="32"/>
          <w:szCs w:val="32"/>
        </w:rPr>
        <w:t>较年初预算数减少1835.35万元，下降22.9%</w:t>
      </w:r>
      <w:r>
        <w:rPr>
          <w:rFonts w:ascii="Times New Roman" w:hAnsi="Times New Roman" w:eastAsia="方正仿宋_GBK"/>
          <w:sz w:val="32"/>
          <w:szCs w:val="32"/>
        </w:rPr>
        <w:t>，主要原因是年中预算调整。</w:t>
      </w:r>
    </w:p>
    <w:p w14:paraId="7E83127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（4）住房保障支出</w:t>
      </w:r>
      <w:r>
        <w:rPr>
          <w:rFonts w:hint="default" w:ascii="Times New Roman" w:hAnsi="Times New Roman" w:eastAsia="方正仿宋_GBK"/>
          <w:sz w:val="32"/>
          <w:szCs w:val="32"/>
        </w:rPr>
        <w:t>64.00</w:t>
      </w:r>
      <w:r>
        <w:rPr>
          <w:rFonts w:ascii="Times New Roman" w:hAnsi="Times New Roman" w:eastAsia="方正仿宋_GBK"/>
          <w:sz w:val="32"/>
          <w:szCs w:val="32"/>
        </w:rPr>
        <w:t>万元，占</w:t>
      </w:r>
      <w:r>
        <w:rPr>
          <w:rFonts w:hint="default" w:ascii="Times New Roman" w:hAnsi="Times New Roman" w:eastAsia="方正仿宋_GBK"/>
          <w:sz w:val="32"/>
          <w:szCs w:val="32"/>
        </w:rPr>
        <w:t>1.0%</w:t>
      </w:r>
      <w:r>
        <w:rPr>
          <w:rFonts w:ascii="Times New Roman" w:hAnsi="Times New Roman" w:eastAsia="方正仿宋_GBK"/>
          <w:sz w:val="32"/>
          <w:szCs w:val="32"/>
        </w:rPr>
        <w:t>，</w:t>
      </w:r>
      <w:r>
        <w:rPr>
          <w:rFonts w:hint="default" w:ascii="Times New Roman" w:hAnsi="Times New Roman" w:eastAsia="方正仿宋_GBK"/>
          <w:sz w:val="32"/>
          <w:szCs w:val="32"/>
        </w:rPr>
        <w:t>较年初预算数减少4.91万元，下降7.1%</w:t>
      </w:r>
      <w:r>
        <w:rPr>
          <w:rFonts w:ascii="Times New Roman" w:hAnsi="Times New Roman" w:eastAsia="方正仿宋_GBK"/>
          <w:sz w:val="32"/>
          <w:szCs w:val="32"/>
        </w:rPr>
        <w:t>，主要原因是人员退休，支出减少。</w:t>
      </w:r>
    </w:p>
    <w:p w14:paraId="2486BC7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b/>
          <w:bCs/>
          <w:sz w:val="32"/>
          <w:szCs w:val="32"/>
        </w:rPr>
        <w:t>3</w:t>
      </w:r>
      <w:r>
        <w:rPr>
          <w:rFonts w:ascii="Times New Roman" w:hAnsi="Times New Roman" w:eastAsia="方正仿宋_GBK"/>
          <w:b/>
          <w:bCs/>
          <w:sz w:val="32"/>
          <w:szCs w:val="32"/>
        </w:rPr>
        <w:t>.结转结余情况。</w:t>
      </w:r>
      <w:r>
        <w:rPr>
          <w:rFonts w:hint="default" w:ascii="Times New Roman" w:hAnsi="Times New Roman" w:eastAsia="方正仿宋_GBK"/>
          <w:sz w:val="32"/>
          <w:szCs w:val="32"/>
        </w:rPr>
        <w:t>2024</w:t>
      </w:r>
      <w:r>
        <w:rPr>
          <w:rFonts w:ascii="Times New Roman" w:hAnsi="Times New Roman" w:eastAsia="方正仿宋_GBK"/>
          <w:sz w:val="32"/>
          <w:szCs w:val="32"/>
        </w:rPr>
        <w:t>年度年末一般公共预算财政拨款结转和结余</w:t>
      </w:r>
      <w:r>
        <w:rPr>
          <w:rFonts w:hint="default" w:ascii="Times New Roman" w:hAnsi="Times New Roman" w:eastAsia="方正仿宋_GBK"/>
          <w:sz w:val="32"/>
          <w:szCs w:val="32"/>
        </w:rPr>
        <w:t>0.00</w:t>
      </w:r>
      <w:r>
        <w:rPr>
          <w:rFonts w:ascii="Times New Roman" w:hAnsi="Times New Roman" w:eastAsia="方正仿宋_GBK"/>
          <w:sz w:val="32"/>
          <w:szCs w:val="32"/>
        </w:rPr>
        <w:t>万元，</w:t>
      </w:r>
      <w:r>
        <w:rPr>
          <w:rFonts w:hint="default" w:ascii="Times New Roman" w:hAnsi="Times New Roman" w:eastAsia="方正仿宋_GBK"/>
          <w:sz w:val="32"/>
          <w:szCs w:val="32"/>
        </w:rPr>
        <w:t>与上年决算数持平</w:t>
      </w:r>
      <w:r>
        <w:rPr>
          <w:rFonts w:ascii="Times New Roman" w:hAnsi="Times New Roman" w:eastAsia="方正仿宋_GBK"/>
          <w:sz w:val="32"/>
          <w:szCs w:val="32"/>
        </w:rPr>
        <w:t>。</w:t>
      </w:r>
    </w:p>
    <w:p w14:paraId="0925D0E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（四）一般公共预算财政拨款基本支出决算情况说明</w:t>
      </w:r>
    </w:p>
    <w:p w14:paraId="4F3074E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年度一般公共财政拨款基本支出</w:t>
      </w:r>
      <w:r>
        <w:rPr>
          <w:rFonts w:hint="default" w:ascii="Times New Roman" w:hAnsi="Times New Roman" w:eastAsia="方正仿宋_GBK"/>
          <w:sz w:val="32"/>
          <w:szCs w:val="32"/>
        </w:rPr>
        <w:t>1204.60</w:t>
      </w:r>
      <w:r>
        <w:rPr>
          <w:rFonts w:ascii="Times New Roman" w:hAnsi="Times New Roman" w:eastAsia="方正仿宋_GBK"/>
          <w:sz w:val="32"/>
          <w:szCs w:val="32"/>
        </w:rPr>
        <w:t>万元。其中：</w:t>
      </w:r>
    </w:p>
    <w:p w14:paraId="13D3C0D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人员经费</w:t>
      </w:r>
      <w:r>
        <w:rPr>
          <w:rFonts w:hint="default" w:ascii="Times New Roman" w:hAnsi="Times New Roman" w:eastAsia="方正仿宋_GBK"/>
          <w:sz w:val="32"/>
          <w:szCs w:val="32"/>
        </w:rPr>
        <w:t>1013.95</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与2023年度相比，增加465.48万元，增长84.9%</w:t>
      </w:r>
      <w:r>
        <w:rPr>
          <w:rFonts w:ascii="Times New Roman" w:hAnsi="Times New Roman" w:eastAsia="方正仿宋_GBK"/>
          <w:sz w:val="32"/>
          <w:szCs w:val="32"/>
        </w:rPr>
        <w:t>，主要原因一是本年下属单位卫生健康综合行政执法支队机构改革撤销，人员合并到本单位，人员支出增加</w:t>
      </w:r>
      <w:r>
        <w:rPr>
          <w:rFonts w:hint="default" w:ascii="Times New Roman" w:hAnsi="Times New Roman" w:eastAsia="方正仿宋_GBK"/>
          <w:sz w:val="32"/>
          <w:szCs w:val="32"/>
        </w:rPr>
        <w:t>316</w:t>
      </w:r>
      <w:r>
        <w:rPr>
          <w:rFonts w:ascii="Times New Roman" w:hAnsi="Times New Roman" w:eastAsia="方正仿宋_GBK"/>
          <w:sz w:val="32"/>
          <w:szCs w:val="32"/>
        </w:rPr>
        <w:t>.</w:t>
      </w:r>
      <w:r>
        <w:rPr>
          <w:rFonts w:hint="default" w:ascii="Times New Roman" w:hAnsi="Times New Roman" w:eastAsia="方正仿宋_GBK"/>
          <w:sz w:val="32"/>
          <w:szCs w:val="32"/>
        </w:rPr>
        <w:t>5</w:t>
      </w:r>
      <w:r>
        <w:rPr>
          <w:rFonts w:ascii="Times New Roman" w:hAnsi="Times New Roman" w:eastAsia="方正仿宋_GBK"/>
          <w:sz w:val="32"/>
          <w:szCs w:val="32"/>
        </w:rPr>
        <w:t>5万</w:t>
      </w:r>
      <w:r>
        <w:rPr>
          <w:rFonts w:hint="default" w:ascii="Times New Roman" w:hAnsi="Times New Roman" w:eastAsia="方正仿宋_GBK"/>
          <w:sz w:val="32"/>
          <w:szCs w:val="32"/>
        </w:rPr>
        <w:t>元</w:t>
      </w:r>
      <w:r>
        <w:rPr>
          <w:rFonts w:ascii="Times New Roman" w:hAnsi="Times New Roman" w:eastAsia="方正仿宋_GBK"/>
          <w:sz w:val="32"/>
          <w:szCs w:val="32"/>
        </w:rPr>
        <w:t>；</w:t>
      </w:r>
      <w:r>
        <w:rPr>
          <w:rFonts w:hint="default" w:ascii="Times New Roman" w:hAnsi="Times New Roman" w:eastAsia="方正仿宋_GBK"/>
          <w:sz w:val="32"/>
          <w:szCs w:val="32"/>
        </w:rPr>
        <w:t>二是人员调资、社保调标、职业年金记实支出金额增加。</w:t>
      </w:r>
      <w:r>
        <w:rPr>
          <w:rFonts w:ascii="Times New Roman" w:hAnsi="Times New Roman" w:eastAsia="方正仿宋_GBK"/>
          <w:sz w:val="32"/>
          <w:szCs w:val="32"/>
        </w:rPr>
        <w:t>人员经费用途主要包括基本工资、津贴补贴、社会保障缴费等支出。</w:t>
      </w:r>
    </w:p>
    <w:p w14:paraId="6578DF0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公用经费</w:t>
      </w:r>
      <w:r>
        <w:rPr>
          <w:rFonts w:hint="default" w:ascii="Times New Roman" w:hAnsi="Times New Roman" w:eastAsia="方正仿宋_GBK"/>
          <w:sz w:val="32"/>
          <w:szCs w:val="32"/>
        </w:rPr>
        <w:t>190.65</w:t>
      </w:r>
      <w:r>
        <w:rPr>
          <w:rFonts w:ascii="Times New Roman" w:hAnsi="Times New Roman" w:eastAsia="方正仿宋_GBK"/>
          <w:sz w:val="32"/>
          <w:szCs w:val="32"/>
        </w:rPr>
        <w:t>万元，</w:t>
      </w:r>
      <w:r>
        <w:rPr>
          <w:rFonts w:hint="default" w:ascii="Times New Roman" w:hAnsi="Times New Roman" w:eastAsia="方正仿宋_GBK"/>
          <w:sz w:val="32"/>
          <w:szCs w:val="32"/>
        </w:rPr>
        <w:t>与2023年度相比，增加49.50万元，增长35.1%</w:t>
      </w:r>
      <w:r>
        <w:rPr>
          <w:rFonts w:ascii="Times New Roman" w:hAnsi="Times New Roman" w:eastAsia="方正仿宋_GBK"/>
          <w:sz w:val="32"/>
          <w:szCs w:val="32"/>
        </w:rPr>
        <w:t>，主要原因是本年度办公费、印刷费、劳务费等支出增加。公用经费用途主要包括 办公费、邮电费、水费、电费、差旅费等支出。</w:t>
      </w:r>
    </w:p>
    <w:p w14:paraId="1FC1286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（五）政府性基金预算收支决算情况说明</w:t>
      </w:r>
    </w:p>
    <w:p w14:paraId="60B0248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年度政府性基金预算财政拨款年初结转结余</w:t>
      </w:r>
      <w:r>
        <w:rPr>
          <w:rFonts w:hint="default" w:ascii="Times New Roman" w:hAnsi="Times New Roman" w:eastAsia="方正仿宋_GBK"/>
          <w:sz w:val="32"/>
          <w:szCs w:val="32"/>
        </w:rPr>
        <w:t>0.00</w:t>
      </w:r>
      <w:r>
        <w:rPr>
          <w:rFonts w:ascii="Times New Roman" w:hAnsi="Times New Roman" w:eastAsia="方正仿宋_GBK"/>
          <w:sz w:val="32"/>
          <w:szCs w:val="32"/>
        </w:rPr>
        <w:t>万元，年末结转结余</w:t>
      </w:r>
      <w:r>
        <w:rPr>
          <w:rFonts w:hint="default" w:ascii="Times New Roman" w:hAnsi="Times New Roman" w:eastAsia="方正仿宋_GBK"/>
          <w:sz w:val="32"/>
          <w:szCs w:val="32"/>
        </w:rPr>
        <w:t>0.00万元。本年收入0.00万元，与2023年度相比，减少1192.00万元，下降100.0%，主要原因是</w:t>
      </w:r>
      <w:r>
        <w:rPr>
          <w:rFonts w:ascii="Times New Roman" w:hAnsi="Times New Roman" w:eastAsia="方正仿宋_GBK"/>
          <w:sz w:val="32"/>
          <w:szCs w:val="32"/>
        </w:rPr>
        <w:t>三甲医院建设项目购买服务项目</w:t>
      </w:r>
      <w:r>
        <w:rPr>
          <w:rFonts w:hint="default" w:ascii="Times New Roman" w:hAnsi="Times New Roman" w:eastAsia="方正仿宋_GBK"/>
          <w:sz w:val="32"/>
          <w:szCs w:val="32"/>
        </w:rPr>
        <w:t>政府性基金预算财政拨款收入减少1192万元。本年支出0.00万元，与2023年度相比，减少1192.00万元，下降100.0%，主要原因是</w:t>
      </w:r>
      <w:r>
        <w:rPr>
          <w:rFonts w:ascii="Times New Roman" w:hAnsi="Times New Roman" w:eastAsia="方正仿宋_GBK"/>
          <w:sz w:val="32"/>
          <w:szCs w:val="32"/>
        </w:rPr>
        <w:t>三甲医院建设项目购买服务项目</w:t>
      </w:r>
      <w:r>
        <w:rPr>
          <w:rFonts w:hint="default" w:ascii="Times New Roman" w:hAnsi="Times New Roman" w:eastAsia="方正仿宋_GBK"/>
          <w:sz w:val="32"/>
          <w:szCs w:val="32"/>
        </w:rPr>
        <w:t>政府性基金预算财政拨款支出减少1192万元。</w:t>
      </w:r>
    </w:p>
    <w:p w14:paraId="143E97E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（六）国有资本经营预算财政拨款支出决算情况说明</w:t>
      </w:r>
    </w:p>
    <w:p w14:paraId="66766CF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本单位</w:t>
      </w:r>
      <w:r>
        <w:rPr>
          <w:rFonts w:hint="default" w:ascii="Times New Roman" w:hAnsi="Times New Roman" w:eastAsia="方正仿宋_GBK"/>
          <w:sz w:val="32"/>
          <w:szCs w:val="32"/>
        </w:rPr>
        <w:t>2024</w:t>
      </w:r>
      <w:r>
        <w:rPr>
          <w:rFonts w:ascii="Times New Roman" w:hAnsi="Times New Roman" w:eastAsia="方正仿宋_GBK"/>
          <w:sz w:val="32"/>
          <w:szCs w:val="32"/>
        </w:rPr>
        <w:t>年度无国有资本经营预算财政拨款支出。</w:t>
      </w:r>
    </w:p>
    <w:p w14:paraId="3461EA0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三、财政拨款“三公”经费情况说明</w:t>
      </w:r>
    </w:p>
    <w:p w14:paraId="16F5539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（一）“三公”经费支出总体情况说明</w:t>
      </w:r>
    </w:p>
    <w:p w14:paraId="7E44E1F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年度“三公”经费支出共计</w:t>
      </w:r>
      <w:r>
        <w:rPr>
          <w:rFonts w:hint="default" w:ascii="Times New Roman" w:hAnsi="Times New Roman" w:eastAsia="方正仿宋_GBK"/>
          <w:sz w:val="32"/>
          <w:szCs w:val="32"/>
        </w:rPr>
        <w:t>1.97</w:t>
      </w:r>
      <w:r>
        <w:rPr>
          <w:rFonts w:ascii="Times New Roman" w:hAnsi="Times New Roman" w:eastAsia="方正仿宋_GBK"/>
          <w:sz w:val="32"/>
          <w:szCs w:val="32"/>
        </w:rPr>
        <w:t>万元，</w:t>
      </w:r>
      <w:r>
        <w:rPr>
          <w:rFonts w:hint="default" w:ascii="Times New Roman" w:hAnsi="Times New Roman" w:eastAsia="方正仿宋_GBK"/>
          <w:sz w:val="32"/>
          <w:szCs w:val="32"/>
        </w:rPr>
        <w:t>较年初预算数减少13.03万元，下降86.9%</w:t>
      </w:r>
      <w:r>
        <w:rPr>
          <w:rFonts w:ascii="Times New Roman" w:hAnsi="Times New Roman" w:eastAsia="方正仿宋_GBK"/>
          <w:sz w:val="32"/>
          <w:szCs w:val="32"/>
        </w:rPr>
        <w:t>，</w:t>
      </w:r>
      <w:r>
        <w:rPr>
          <w:rFonts w:hint="default" w:ascii="Times New Roman" w:hAnsi="Times New Roman" w:eastAsia="方正仿宋_GBK"/>
          <w:sz w:val="32"/>
          <w:szCs w:val="32"/>
        </w:rPr>
        <w:t>较上年支出数减少0.01万元，下降0.5%</w:t>
      </w:r>
      <w:r>
        <w:rPr>
          <w:rFonts w:ascii="Times New Roman" w:hAnsi="Times New Roman" w:eastAsia="方正仿宋_GBK"/>
          <w:sz w:val="32"/>
          <w:szCs w:val="32"/>
        </w:rPr>
        <w:t>，主要原因是认真贯彻落实厉行节约的相关要求，全年实际支出较年初预算下降明显；强化公务接待支出管理，严格遵守公务接待开支范围和开支标准，严格控制陪餐人数，公务接待费大幅下降。</w:t>
      </w:r>
    </w:p>
    <w:p w14:paraId="706FAEA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（二）“三公”经费分项支出情况</w:t>
      </w:r>
    </w:p>
    <w:p w14:paraId="35041F7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年度本单位因公出国（境）费用</w:t>
      </w:r>
      <w:r>
        <w:rPr>
          <w:rFonts w:hint="default" w:ascii="Times New Roman" w:hAnsi="Times New Roman" w:eastAsia="方正仿宋_GBK"/>
          <w:sz w:val="32"/>
          <w:szCs w:val="32"/>
        </w:rPr>
        <w:t>0.00</w:t>
      </w:r>
      <w:r>
        <w:rPr>
          <w:rFonts w:ascii="Times New Roman" w:hAnsi="Times New Roman" w:eastAsia="方正仿宋_GBK"/>
          <w:sz w:val="32"/>
          <w:szCs w:val="32"/>
        </w:rPr>
        <w:t>万元。费用支出</w:t>
      </w:r>
      <w:r>
        <w:rPr>
          <w:rFonts w:hint="default" w:ascii="Times New Roman" w:hAnsi="Times New Roman" w:eastAsia="方正仿宋_GBK"/>
          <w:sz w:val="32"/>
          <w:szCs w:val="32"/>
        </w:rPr>
        <w:t>较年初预算数无增减</w:t>
      </w:r>
      <w:r>
        <w:rPr>
          <w:rFonts w:ascii="Times New Roman" w:hAnsi="Times New Roman" w:eastAsia="方正仿宋_GBK"/>
          <w:sz w:val="32"/>
          <w:szCs w:val="32"/>
        </w:rPr>
        <w:t>。</w:t>
      </w:r>
      <w:r>
        <w:rPr>
          <w:rFonts w:hint="default" w:ascii="Times New Roman" w:hAnsi="Times New Roman" w:eastAsia="方正仿宋_GBK"/>
          <w:sz w:val="32"/>
          <w:szCs w:val="32"/>
        </w:rPr>
        <w:t>较上年支出数无增减</w:t>
      </w:r>
      <w:r>
        <w:rPr>
          <w:rFonts w:ascii="Times New Roman" w:hAnsi="Times New Roman" w:eastAsia="方正仿宋_GBK"/>
          <w:sz w:val="32"/>
          <w:szCs w:val="32"/>
        </w:rPr>
        <w:t>。</w:t>
      </w:r>
    </w:p>
    <w:p w14:paraId="27742FF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公务用车购置费</w:t>
      </w:r>
      <w:r>
        <w:rPr>
          <w:rFonts w:hint="default" w:ascii="Times New Roman" w:hAnsi="Times New Roman" w:eastAsia="方正仿宋_GBK"/>
          <w:sz w:val="32"/>
          <w:szCs w:val="32"/>
        </w:rPr>
        <w:t>0.00</w:t>
      </w:r>
      <w:r>
        <w:rPr>
          <w:rFonts w:ascii="Times New Roman" w:hAnsi="Times New Roman" w:eastAsia="方正仿宋_GBK"/>
          <w:sz w:val="32"/>
          <w:szCs w:val="32"/>
        </w:rPr>
        <w:t>万元。费用支出</w:t>
      </w:r>
      <w:r>
        <w:rPr>
          <w:rFonts w:hint="default" w:ascii="Times New Roman" w:hAnsi="Times New Roman" w:eastAsia="方正仿宋_GBK"/>
          <w:sz w:val="32"/>
          <w:szCs w:val="32"/>
        </w:rPr>
        <w:t>较年初预算数无增减</w:t>
      </w:r>
      <w:r>
        <w:rPr>
          <w:rFonts w:ascii="Times New Roman" w:hAnsi="Times New Roman" w:eastAsia="方正仿宋_GBK"/>
          <w:sz w:val="32"/>
          <w:szCs w:val="32"/>
        </w:rPr>
        <w:t>。</w:t>
      </w:r>
      <w:r>
        <w:rPr>
          <w:rFonts w:hint="default" w:ascii="Times New Roman" w:hAnsi="Times New Roman" w:eastAsia="方正仿宋_GBK"/>
          <w:sz w:val="32"/>
          <w:szCs w:val="32"/>
        </w:rPr>
        <w:t>较上年支出数无增减</w:t>
      </w:r>
      <w:r>
        <w:rPr>
          <w:rFonts w:ascii="Times New Roman" w:hAnsi="Times New Roman" w:eastAsia="方正仿宋_GBK"/>
          <w:sz w:val="32"/>
          <w:szCs w:val="32"/>
        </w:rPr>
        <w:t>。</w:t>
      </w:r>
    </w:p>
    <w:p w14:paraId="2475BE7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公务用车运行维护费</w:t>
      </w:r>
      <w:r>
        <w:rPr>
          <w:rFonts w:hint="default" w:ascii="Times New Roman" w:hAnsi="Times New Roman" w:eastAsia="方正仿宋_GBK"/>
          <w:sz w:val="32"/>
          <w:szCs w:val="32"/>
        </w:rPr>
        <w:t>0.00</w:t>
      </w:r>
      <w:r>
        <w:rPr>
          <w:rFonts w:ascii="Times New Roman" w:hAnsi="Times New Roman" w:eastAsia="方正仿宋_GBK"/>
          <w:sz w:val="32"/>
          <w:szCs w:val="32"/>
        </w:rPr>
        <w:t>万元。费用支出</w:t>
      </w:r>
      <w:r>
        <w:rPr>
          <w:rFonts w:hint="default" w:ascii="Times New Roman" w:hAnsi="Times New Roman" w:eastAsia="方正仿宋_GBK"/>
          <w:sz w:val="32"/>
          <w:szCs w:val="32"/>
        </w:rPr>
        <w:t>较年初预算数无增减</w:t>
      </w:r>
      <w:r>
        <w:rPr>
          <w:rFonts w:ascii="Times New Roman" w:hAnsi="Times New Roman" w:eastAsia="方正仿宋_GBK"/>
          <w:sz w:val="32"/>
          <w:szCs w:val="32"/>
        </w:rPr>
        <w:t>。</w:t>
      </w:r>
      <w:r>
        <w:rPr>
          <w:rFonts w:hint="default" w:ascii="Times New Roman" w:hAnsi="Times New Roman" w:eastAsia="方正仿宋_GBK"/>
          <w:sz w:val="32"/>
          <w:szCs w:val="32"/>
        </w:rPr>
        <w:t>较上年支出数无增减</w:t>
      </w:r>
      <w:r>
        <w:rPr>
          <w:rFonts w:ascii="Times New Roman" w:hAnsi="Times New Roman" w:eastAsia="方正仿宋_GBK"/>
          <w:sz w:val="32"/>
          <w:szCs w:val="32"/>
        </w:rPr>
        <w:t>。</w:t>
      </w:r>
    </w:p>
    <w:p w14:paraId="1CB1DA4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公务接待费</w:t>
      </w:r>
      <w:r>
        <w:rPr>
          <w:rFonts w:hint="default" w:ascii="Times New Roman" w:hAnsi="Times New Roman" w:eastAsia="方正仿宋_GBK"/>
          <w:sz w:val="32"/>
          <w:szCs w:val="32"/>
        </w:rPr>
        <w:t>1.97</w:t>
      </w:r>
      <w:r>
        <w:rPr>
          <w:rFonts w:ascii="Times New Roman" w:hAnsi="Times New Roman" w:eastAsia="方正仿宋_GBK"/>
          <w:sz w:val="32"/>
          <w:szCs w:val="32"/>
        </w:rPr>
        <w:t>万元，主要用于接待专项工作检查、各类督查、区县工作交叉检查等发生的接待支出。费用支出</w:t>
      </w:r>
      <w:r>
        <w:rPr>
          <w:rFonts w:hint="default" w:ascii="Times New Roman" w:hAnsi="Times New Roman" w:eastAsia="方正仿宋_GBK"/>
          <w:sz w:val="32"/>
          <w:szCs w:val="32"/>
        </w:rPr>
        <w:t>较年初预算数减少13.03万元，下降86.9%</w:t>
      </w:r>
      <w:r>
        <w:rPr>
          <w:rFonts w:ascii="Times New Roman" w:hAnsi="Times New Roman" w:eastAsia="方正仿宋_GBK"/>
          <w:sz w:val="32"/>
          <w:szCs w:val="32"/>
        </w:rPr>
        <w:t>，</w:t>
      </w:r>
      <w:r>
        <w:rPr>
          <w:rFonts w:hint="default" w:ascii="Times New Roman" w:hAnsi="Times New Roman" w:eastAsia="方正仿宋_GBK"/>
          <w:sz w:val="32"/>
          <w:szCs w:val="32"/>
        </w:rPr>
        <w:t>较上年支出数减少0.01万元，下降0.5%</w:t>
      </w:r>
      <w:r>
        <w:rPr>
          <w:rFonts w:ascii="Times New Roman" w:hAnsi="Times New Roman" w:eastAsia="方正仿宋_GBK"/>
          <w:sz w:val="32"/>
          <w:szCs w:val="32"/>
        </w:rPr>
        <w:t>，主要原因是强化公务接待支出管理，严格遵守公务接待开支范围和开支标准，严格控制陪餐人数，对应由接待对象承担的费用一律由接待对象自行支付。</w:t>
      </w:r>
    </w:p>
    <w:p w14:paraId="3CDEA56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（三）“三公”经费实物量情况</w:t>
      </w:r>
    </w:p>
    <w:p w14:paraId="26D39B7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年度本单位因公出国（境）共计</w:t>
      </w:r>
      <w:r>
        <w:rPr>
          <w:rFonts w:hint="default" w:ascii="Times New Roman" w:hAnsi="Times New Roman" w:eastAsia="方正仿宋_GBK"/>
          <w:sz w:val="32"/>
          <w:szCs w:val="32"/>
        </w:rPr>
        <w:t>0</w:t>
      </w:r>
      <w:r>
        <w:rPr>
          <w:rFonts w:ascii="Times New Roman" w:hAnsi="Times New Roman" w:eastAsia="方正仿宋_GBK"/>
          <w:sz w:val="32"/>
          <w:szCs w:val="32"/>
        </w:rPr>
        <w:t>个团组，</w:t>
      </w:r>
      <w:r>
        <w:rPr>
          <w:rFonts w:hint="default" w:ascii="Times New Roman" w:hAnsi="Times New Roman" w:eastAsia="方正仿宋_GBK"/>
          <w:sz w:val="32"/>
          <w:szCs w:val="32"/>
        </w:rPr>
        <w:t>0</w:t>
      </w:r>
      <w:r>
        <w:rPr>
          <w:rFonts w:ascii="Times New Roman" w:hAnsi="Times New Roman" w:eastAsia="方正仿宋_GBK"/>
          <w:sz w:val="32"/>
          <w:szCs w:val="32"/>
        </w:rPr>
        <w:t>人；公务用车购置</w:t>
      </w:r>
      <w:r>
        <w:rPr>
          <w:rFonts w:hint="default" w:ascii="Times New Roman" w:hAnsi="Times New Roman" w:eastAsia="方正仿宋_GBK"/>
          <w:sz w:val="32"/>
          <w:szCs w:val="32"/>
        </w:rPr>
        <w:t>0</w:t>
      </w:r>
      <w:r>
        <w:rPr>
          <w:rFonts w:ascii="Times New Roman" w:hAnsi="Times New Roman" w:eastAsia="方正仿宋_GBK"/>
          <w:sz w:val="32"/>
          <w:szCs w:val="32"/>
        </w:rPr>
        <w:t>辆，公务车保有量为</w:t>
      </w:r>
      <w:r>
        <w:rPr>
          <w:rFonts w:hint="default" w:ascii="Times New Roman" w:hAnsi="Times New Roman" w:eastAsia="方正仿宋_GBK"/>
          <w:sz w:val="32"/>
          <w:szCs w:val="32"/>
        </w:rPr>
        <w:t>0</w:t>
      </w:r>
      <w:r>
        <w:rPr>
          <w:rFonts w:ascii="Times New Roman" w:hAnsi="Times New Roman" w:eastAsia="方正仿宋_GBK"/>
          <w:sz w:val="32"/>
          <w:szCs w:val="32"/>
        </w:rPr>
        <w:t>辆；国内公务接待</w:t>
      </w:r>
      <w:r>
        <w:rPr>
          <w:rFonts w:hint="default" w:ascii="Times New Roman" w:hAnsi="Times New Roman" w:eastAsia="方正仿宋_GBK"/>
          <w:sz w:val="32"/>
          <w:szCs w:val="32"/>
        </w:rPr>
        <w:t>36</w:t>
      </w:r>
      <w:r>
        <w:rPr>
          <w:rFonts w:ascii="Times New Roman" w:hAnsi="Times New Roman" w:eastAsia="方正仿宋_GBK"/>
          <w:sz w:val="32"/>
          <w:szCs w:val="32"/>
        </w:rPr>
        <w:t>批次</w:t>
      </w:r>
      <w:r>
        <w:rPr>
          <w:rFonts w:hint="default" w:ascii="Times New Roman" w:hAnsi="Times New Roman" w:eastAsia="方正仿宋_GBK"/>
          <w:sz w:val="32"/>
          <w:szCs w:val="32"/>
        </w:rPr>
        <w:t>115</w:t>
      </w:r>
      <w:r>
        <w:rPr>
          <w:rFonts w:ascii="Times New Roman" w:hAnsi="Times New Roman" w:eastAsia="方正仿宋_GBK"/>
          <w:sz w:val="32"/>
          <w:szCs w:val="32"/>
        </w:rPr>
        <w:t>人，其中：国内外事接待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人；国（境）外公务接待</w:t>
      </w:r>
      <w:r>
        <w:rPr>
          <w:rFonts w:hint="default" w:ascii="Times New Roman" w:hAnsi="Times New Roman" w:eastAsia="方正仿宋_GBK"/>
          <w:sz w:val="32"/>
          <w:szCs w:val="32"/>
        </w:rPr>
        <w:t>0</w:t>
      </w:r>
      <w:r>
        <w:rPr>
          <w:rFonts w:ascii="Times New Roman" w:hAnsi="Times New Roman" w:eastAsia="方正仿宋_GBK"/>
          <w:sz w:val="32"/>
          <w:szCs w:val="32"/>
        </w:rPr>
        <w:t>批次，</w:t>
      </w:r>
      <w:r>
        <w:rPr>
          <w:rFonts w:hint="default" w:ascii="Times New Roman" w:hAnsi="Times New Roman" w:eastAsia="方正仿宋_GBK"/>
          <w:sz w:val="32"/>
          <w:szCs w:val="32"/>
        </w:rPr>
        <w:t>0</w:t>
      </w:r>
      <w:r>
        <w:rPr>
          <w:rFonts w:ascii="Times New Roman" w:hAnsi="Times New Roman" w:eastAsia="方正仿宋_GBK"/>
          <w:sz w:val="32"/>
          <w:szCs w:val="32"/>
        </w:rPr>
        <w:t>人。</w:t>
      </w:r>
      <w:r>
        <w:rPr>
          <w:rFonts w:hint="default" w:ascii="Times New Roman" w:hAnsi="Times New Roman" w:eastAsia="方正仿宋_GBK"/>
          <w:sz w:val="32"/>
          <w:szCs w:val="32"/>
        </w:rPr>
        <w:t>2024</w:t>
      </w:r>
      <w:r>
        <w:rPr>
          <w:rFonts w:ascii="Times New Roman" w:hAnsi="Times New Roman" w:eastAsia="方正仿宋_GBK"/>
          <w:sz w:val="32"/>
          <w:szCs w:val="32"/>
        </w:rPr>
        <w:t>年本单位人均接待费</w:t>
      </w:r>
      <w:r>
        <w:rPr>
          <w:rFonts w:hint="default" w:ascii="Times New Roman" w:hAnsi="Times New Roman" w:eastAsia="方正仿宋_GBK"/>
          <w:sz w:val="32"/>
          <w:szCs w:val="32"/>
        </w:rPr>
        <w:t>170.97</w:t>
      </w:r>
      <w:r>
        <w:rPr>
          <w:rFonts w:ascii="Times New Roman" w:hAnsi="Times New Roman" w:eastAsia="方正仿宋_GBK"/>
          <w:sz w:val="32"/>
          <w:szCs w:val="32"/>
        </w:rPr>
        <w:t>元，车均购置费</w:t>
      </w:r>
      <w:r>
        <w:rPr>
          <w:rFonts w:hint="default" w:ascii="Times New Roman" w:hAnsi="Times New Roman" w:eastAsia="方正仿宋_GBK"/>
          <w:sz w:val="32"/>
          <w:szCs w:val="32"/>
        </w:rPr>
        <w:t>0</w:t>
      </w:r>
      <w:r>
        <w:rPr>
          <w:rFonts w:ascii="Times New Roman" w:hAnsi="Times New Roman" w:eastAsia="方正仿宋_GBK"/>
          <w:sz w:val="32"/>
          <w:szCs w:val="32"/>
        </w:rPr>
        <w:t>万元，车均维护费</w:t>
      </w:r>
      <w:r>
        <w:rPr>
          <w:rFonts w:hint="default" w:ascii="Times New Roman" w:hAnsi="Times New Roman" w:eastAsia="方正仿宋_GBK"/>
          <w:sz w:val="32"/>
          <w:szCs w:val="32"/>
        </w:rPr>
        <w:t>0</w:t>
      </w:r>
      <w:r>
        <w:rPr>
          <w:rFonts w:ascii="Times New Roman" w:hAnsi="Times New Roman" w:eastAsia="方正仿宋_GBK"/>
          <w:sz w:val="32"/>
          <w:szCs w:val="32"/>
        </w:rPr>
        <w:t>万元。</w:t>
      </w:r>
    </w:p>
    <w:p w14:paraId="62A1797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四、其他需要说明的事项</w:t>
      </w:r>
    </w:p>
    <w:p w14:paraId="6BE5326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（一）财政拨款会议费、培训费和差旅费情况说明</w:t>
      </w:r>
    </w:p>
    <w:p w14:paraId="6317475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年度会议费支出0.31万元，与2023年度相比，减少0.80万元，下降72.1%，主要原因是严格落实会议管理的先关要求，严格遵守会议人数和开支标准规定。本年度培训费支出3.42万元，与2023年度相比，减少5.31万元，下降60.8%，主要原因是严格培训管理，控制培训人次和培训费用。本年度差旅费支出27.15万元，与2023年度相比，减少0.43万元，下降1.6%，主要原因是</w:t>
      </w:r>
      <w:r>
        <w:rPr>
          <w:rFonts w:ascii="Times New Roman" w:hAnsi="Times New Roman" w:eastAsia="方正仿宋_GBK"/>
          <w:sz w:val="32"/>
          <w:szCs w:val="32"/>
        </w:rPr>
        <w:t>严格遵守差旅费报销规定，控制出差人数</w:t>
      </w:r>
      <w:r>
        <w:rPr>
          <w:rFonts w:hint="default" w:ascii="Times New Roman" w:hAnsi="Times New Roman" w:eastAsia="方正仿宋_GBK"/>
          <w:sz w:val="32"/>
          <w:szCs w:val="32"/>
        </w:rPr>
        <w:t>。</w:t>
      </w:r>
    </w:p>
    <w:p w14:paraId="66CA192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（二）机关运行经费情况说明</w:t>
      </w:r>
    </w:p>
    <w:p w14:paraId="5C82F74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2024年度</w:t>
      </w:r>
      <w:r>
        <w:rPr>
          <w:rFonts w:ascii="Times New Roman" w:hAnsi="Times New Roman" w:eastAsia="方正仿宋_GBK"/>
          <w:sz w:val="32"/>
          <w:szCs w:val="32"/>
        </w:rPr>
        <w:t>本单位</w:t>
      </w:r>
      <w:r>
        <w:rPr>
          <w:rFonts w:hint="default" w:ascii="Times New Roman" w:hAnsi="Times New Roman" w:eastAsia="方正仿宋_GBK"/>
          <w:sz w:val="32"/>
          <w:szCs w:val="32"/>
        </w:rPr>
        <w:t>机关运行经费支出190.65万元，机关运行经费主要用于办公费、印刷费、咨询费、水费、电费、邮电费、差旅费、维修（护）费、会议费、培训费、公务接待费、劳务费、其他交通费用、其他商品和服务支出等维持</w:t>
      </w:r>
      <w:r>
        <w:rPr>
          <w:rFonts w:ascii="Times New Roman" w:hAnsi="Times New Roman" w:eastAsia="方正仿宋_GBK"/>
          <w:sz w:val="32"/>
          <w:szCs w:val="32"/>
        </w:rPr>
        <w:t>单位</w:t>
      </w:r>
      <w:r>
        <w:rPr>
          <w:rFonts w:hint="default" w:ascii="Times New Roman" w:hAnsi="Times New Roman" w:eastAsia="方正仿宋_GBK"/>
          <w:sz w:val="32"/>
          <w:szCs w:val="32"/>
        </w:rPr>
        <w:t>正常运转的支出。机关运行经费较上年支出数增加49.50万元，增长35.1%，主要原因是下属参公事业单位丰都县卫生健康综合行政执法支队机构改革撤销后，人员合并到我单位，电话费和其他交通费用增加。</w:t>
      </w:r>
    </w:p>
    <w:p w14:paraId="0D7E97B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（三）国有资产占用情况说明</w:t>
      </w:r>
    </w:p>
    <w:p w14:paraId="4EBA14A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截至</w:t>
      </w:r>
      <w:r>
        <w:rPr>
          <w:rFonts w:hint="default" w:ascii="Times New Roman" w:hAnsi="Times New Roman" w:eastAsia="方正仿宋_GBK"/>
          <w:sz w:val="32"/>
          <w:szCs w:val="32"/>
        </w:rPr>
        <w:t>2024</w:t>
      </w:r>
      <w:r>
        <w:rPr>
          <w:rFonts w:ascii="Times New Roman" w:hAnsi="Times New Roman" w:eastAsia="方正仿宋_GBK"/>
          <w:sz w:val="32"/>
          <w:szCs w:val="32"/>
        </w:rPr>
        <w:t>年</w:t>
      </w:r>
      <w:r>
        <w:rPr>
          <w:rFonts w:hint="default" w:ascii="Times New Roman" w:hAnsi="Times New Roman" w:eastAsia="方正仿宋_GBK"/>
          <w:sz w:val="32"/>
          <w:szCs w:val="32"/>
        </w:rPr>
        <w:t>12</w:t>
      </w:r>
      <w:r>
        <w:rPr>
          <w:rFonts w:ascii="Times New Roman" w:hAnsi="Times New Roman" w:eastAsia="方正仿宋_GBK"/>
          <w:sz w:val="32"/>
          <w:szCs w:val="32"/>
        </w:rPr>
        <w:t>月</w:t>
      </w:r>
      <w:r>
        <w:rPr>
          <w:rFonts w:hint="default" w:ascii="Times New Roman" w:hAnsi="Times New Roman" w:eastAsia="方正仿宋_GBK"/>
          <w:sz w:val="32"/>
          <w:szCs w:val="32"/>
        </w:rPr>
        <w:t>31</w:t>
      </w:r>
      <w:r>
        <w:rPr>
          <w:rFonts w:ascii="Times New Roman" w:hAnsi="Times New Roman" w:eastAsia="方正仿宋_GBK"/>
          <w:sz w:val="32"/>
          <w:szCs w:val="32"/>
        </w:rPr>
        <w:t>日，本单位共有车辆</w:t>
      </w:r>
      <w:r>
        <w:rPr>
          <w:rFonts w:hint="default" w:ascii="Times New Roman" w:hAnsi="Times New Roman" w:eastAsia="方正仿宋_GBK"/>
          <w:sz w:val="32"/>
          <w:szCs w:val="32"/>
        </w:rPr>
        <w:t>0</w:t>
      </w:r>
      <w:r>
        <w:rPr>
          <w:rFonts w:ascii="Times New Roman" w:hAnsi="Times New Roman" w:eastAsia="方正仿宋_GBK"/>
          <w:sz w:val="32"/>
          <w:szCs w:val="32"/>
        </w:rPr>
        <w:t>辆，其中，副部（省）级及以上领导用车</w:t>
      </w:r>
      <w:r>
        <w:rPr>
          <w:rFonts w:hint="default" w:ascii="Times New Roman" w:hAnsi="Times New Roman" w:eastAsia="方正仿宋_GBK"/>
          <w:sz w:val="32"/>
          <w:szCs w:val="32"/>
        </w:rPr>
        <w:t>0</w:t>
      </w:r>
      <w:r>
        <w:rPr>
          <w:rFonts w:ascii="Times New Roman" w:hAnsi="Times New Roman" w:eastAsia="方正仿宋_GBK"/>
          <w:sz w:val="32"/>
          <w:szCs w:val="32"/>
        </w:rPr>
        <w:t>辆、主要负责人用车</w:t>
      </w:r>
      <w:r>
        <w:rPr>
          <w:rFonts w:hint="default" w:ascii="Times New Roman" w:hAnsi="Times New Roman" w:eastAsia="方正仿宋_GBK"/>
          <w:sz w:val="32"/>
          <w:szCs w:val="32"/>
        </w:rPr>
        <w:t>0</w:t>
      </w:r>
      <w:r>
        <w:rPr>
          <w:rFonts w:ascii="Times New Roman" w:hAnsi="Times New Roman" w:eastAsia="方正仿宋_GBK"/>
          <w:sz w:val="32"/>
          <w:szCs w:val="32"/>
        </w:rPr>
        <w:t>辆、机要通信用车</w:t>
      </w:r>
      <w:r>
        <w:rPr>
          <w:rFonts w:hint="default" w:ascii="Times New Roman" w:hAnsi="Times New Roman" w:eastAsia="方正仿宋_GBK"/>
          <w:sz w:val="32"/>
          <w:szCs w:val="32"/>
        </w:rPr>
        <w:t>0</w:t>
      </w:r>
      <w:r>
        <w:rPr>
          <w:rFonts w:ascii="Times New Roman" w:hAnsi="Times New Roman" w:eastAsia="方正仿宋_GBK"/>
          <w:sz w:val="32"/>
          <w:szCs w:val="32"/>
        </w:rPr>
        <w:t>辆、应急保障用车</w:t>
      </w:r>
      <w:r>
        <w:rPr>
          <w:rFonts w:hint="default" w:ascii="Times New Roman" w:hAnsi="Times New Roman" w:eastAsia="方正仿宋_GBK"/>
          <w:sz w:val="32"/>
          <w:szCs w:val="32"/>
        </w:rPr>
        <w:t>0</w:t>
      </w:r>
      <w:r>
        <w:rPr>
          <w:rFonts w:ascii="Times New Roman" w:hAnsi="Times New Roman" w:eastAsia="方正仿宋_GBK"/>
          <w:sz w:val="32"/>
          <w:szCs w:val="32"/>
        </w:rPr>
        <w:t>辆、执法执勤用车</w:t>
      </w:r>
      <w:r>
        <w:rPr>
          <w:rFonts w:hint="default" w:ascii="Times New Roman" w:hAnsi="Times New Roman" w:eastAsia="方正仿宋_GBK"/>
          <w:sz w:val="32"/>
          <w:szCs w:val="32"/>
        </w:rPr>
        <w:t>0</w:t>
      </w:r>
      <w:r>
        <w:rPr>
          <w:rFonts w:ascii="Times New Roman" w:hAnsi="Times New Roman" w:eastAsia="方正仿宋_GBK"/>
          <w:sz w:val="32"/>
          <w:szCs w:val="32"/>
        </w:rPr>
        <w:t>辆，特种专业技术用车</w:t>
      </w:r>
      <w:r>
        <w:rPr>
          <w:rFonts w:hint="default" w:ascii="Times New Roman" w:hAnsi="Times New Roman" w:eastAsia="方正仿宋_GBK"/>
          <w:sz w:val="32"/>
          <w:szCs w:val="32"/>
        </w:rPr>
        <w:t>0</w:t>
      </w:r>
      <w:r>
        <w:rPr>
          <w:rFonts w:ascii="Times New Roman" w:hAnsi="Times New Roman" w:eastAsia="方正仿宋_GBK"/>
          <w:sz w:val="32"/>
          <w:szCs w:val="32"/>
        </w:rPr>
        <w:t>辆，离退休干部用车</w:t>
      </w:r>
      <w:r>
        <w:rPr>
          <w:rFonts w:hint="default" w:ascii="Times New Roman" w:hAnsi="Times New Roman" w:eastAsia="方正仿宋_GBK"/>
          <w:sz w:val="32"/>
          <w:szCs w:val="32"/>
        </w:rPr>
        <w:t>0</w:t>
      </w:r>
      <w:r>
        <w:rPr>
          <w:rFonts w:ascii="Times New Roman" w:hAnsi="Times New Roman" w:eastAsia="方正仿宋_GBK"/>
          <w:sz w:val="32"/>
          <w:szCs w:val="32"/>
        </w:rPr>
        <w:t>辆。单价</w:t>
      </w:r>
      <w:r>
        <w:rPr>
          <w:rFonts w:hint="default" w:ascii="Times New Roman" w:hAnsi="Times New Roman" w:eastAsia="方正仿宋_GBK"/>
          <w:sz w:val="32"/>
          <w:szCs w:val="32"/>
        </w:rPr>
        <w:t>100</w:t>
      </w:r>
      <w:r>
        <w:rPr>
          <w:rFonts w:ascii="Times New Roman" w:hAnsi="Times New Roman" w:eastAsia="方正仿宋_GBK"/>
          <w:sz w:val="32"/>
          <w:szCs w:val="32"/>
        </w:rPr>
        <w:t>万元（含）以上专用设备</w:t>
      </w:r>
      <w:r>
        <w:rPr>
          <w:rFonts w:hint="default" w:ascii="Times New Roman" w:hAnsi="Times New Roman" w:eastAsia="方正仿宋_GBK"/>
          <w:sz w:val="32"/>
          <w:szCs w:val="32"/>
        </w:rPr>
        <w:t>0</w:t>
      </w:r>
      <w:r>
        <w:rPr>
          <w:rFonts w:ascii="Times New Roman" w:hAnsi="Times New Roman" w:eastAsia="方正仿宋_GBK"/>
          <w:sz w:val="32"/>
          <w:szCs w:val="32"/>
        </w:rPr>
        <w:t>台（套）。</w:t>
      </w:r>
    </w:p>
    <w:p w14:paraId="1BC78C6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（四）政府采购支出情况说明</w:t>
      </w:r>
    </w:p>
    <w:p w14:paraId="6A6853B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2024</w:t>
      </w:r>
      <w:r>
        <w:rPr>
          <w:rFonts w:ascii="Times New Roman" w:hAnsi="Times New Roman" w:eastAsia="方正仿宋_GBK"/>
          <w:sz w:val="32"/>
          <w:szCs w:val="32"/>
        </w:rPr>
        <w:t>年度本单位政府采购支出总额</w:t>
      </w:r>
      <w:r>
        <w:rPr>
          <w:rFonts w:hint="default" w:ascii="Times New Roman" w:hAnsi="Times New Roman" w:eastAsia="方正仿宋_GBK"/>
          <w:sz w:val="32"/>
          <w:szCs w:val="32"/>
        </w:rPr>
        <w:t>1.92</w:t>
      </w:r>
      <w:r>
        <w:rPr>
          <w:rFonts w:ascii="Times New Roman" w:hAnsi="Times New Roman" w:eastAsia="方正仿宋_GBK"/>
          <w:sz w:val="32"/>
          <w:szCs w:val="32"/>
        </w:rPr>
        <w:t>万元，其中：政府采购货物支出</w:t>
      </w:r>
      <w:r>
        <w:rPr>
          <w:rFonts w:hint="default" w:ascii="Times New Roman" w:hAnsi="Times New Roman" w:eastAsia="方正仿宋_GBK"/>
          <w:sz w:val="32"/>
          <w:szCs w:val="32"/>
        </w:rPr>
        <w:t>1.92</w:t>
      </w:r>
      <w:r>
        <w:rPr>
          <w:rFonts w:ascii="Times New Roman" w:hAnsi="Times New Roman" w:eastAsia="方正仿宋_GBK"/>
          <w:sz w:val="32"/>
          <w:szCs w:val="32"/>
        </w:rPr>
        <w:t>万元、政府采购工程支出</w:t>
      </w:r>
      <w:r>
        <w:rPr>
          <w:rFonts w:hint="default" w:ascii="Times New Roman" w:hAnsi="Times New Roman" w:eastAsia="方正仿宋_GBK"/>
          <w:sz w:val="32"/>
          <w:szCs w:val="32"/>
        </w:rPr>
        <w:t>0.00</w:t>
      </w:r>
      <w:r>
        <w:rPr>
          <w:rFonts w:ascii="Times New Roman" w:hAnsi="Times New Roman" w:eastAsia="方正仿宋_GBK"/>
          <w:sz w:val="32"/>
          <w:szCs w:val="32"/>
        </w:rPr>
        <w:t>万元、政府采购服务支出</w:t>
      </w:r>
      <w:r>
        <w:rPr>
          <w:rFonts w:hint="default" w:ascii="Times New Roman" w:hAnsi="Times New Roman" w:eastAsia="方正仿宋_GBK"/>
          <w:sz w:val="32"/>
          <w:szCs w:val="32"/>
        </w:rPr>
        <w:t>0.00</w:t>
      </w:r>
      <w:r>
        <w:rPr>
          <w:rFonts w:ascii="Times New Roman" w:hAnsi="Times New Roman" w:eastAsia="方正仿宋_GBK"/>
          <w:sz w:val="32"/>
          <w:szCs w:val="32"/>
        </w:rPr>
        <w:t>万元。授予中小企业合同金额</w:t>
      </w:r>
      <w:r>
        <w:rPr>
          <w:rFonts w:hint="default" w:ascii="Times New Roman" w:hAnsi="Times New Roman" w:eastAsia="方正仿宋_GBK"/>
          <w:sz w:val="32"/>
          <w:szCs w:val="32"/>
        </w:rPr>
        <w:t>1.74</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90.6%</w:t>
      </w:r>
      <w:r>
        <w:rPr>
          <w:rFonts w:ascii="Times New Roman" w:hAnsi="Times New Roman" w:eastAsia="方正仿宋_GBK"/>
          <w:sz w:val="32"/>
          <w:szCs w:val="32"/>
        </w:rPr>
        <w:t>，其中：授予小微企业合同金额</w:t>
      </w:r>
      <w:r>
        <w:rPr>
          <w:rFonts w:hint="default" w:ascii="Times New Roman" w:hAnsi="Times New Roman" w:eastAsia="方正仿宋_GBK"/>
          <w:sz w:val="32"/>
          <w:szCs w:val="32"/>
        </w:rPr>
        <w:t>1.74</w:t>
      </w:r>
      <w:r>
        <w:rPr>
          <w:rFonts w:ascii="Times New Roman" w:hAnsi="Times New Roman" w:eastAsia="方正仿宋_GBK"/>
          <w:sz w:val="32"/>
          <w:szCs w:val="32"/>
        </w:rPr>
        <w:t>万元，占政府采购支出总额的</w:t>
      </w:r>
      <w:r>
        <w:rPr>
          <w:rFonts w:hint="default" w:ascii="Times New Roman" w:hAnsi="Times New Roman" w:eastAsia="方正仿宋_GBK"/>
          <w:sz w:val="32"/>
          <w:szCs w:val="32"/>
        </w:rPr>
        <w:t>90.6%</w:t>
      </w:r>
      <w:r>
        <w:rPr>
          <w:rFonts w:ascii="Times New Roman" w:hAnsi="Times New Roman" w:eastAsia="方正仿宋_GBK"/>
          <w:sz w:val="32"/>
          <w:szCs w:val="32"/>
        </w:rPr>
        <w:t>。主要用于采购办公设备。</w:t>
      </w:r>
    </w:p>
    <w:p w14:paraId="68D2141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五、</w:t>
      </w:r>
      <w:r>
        <w:rPr>
          <w:rFonts w:hint="default" w:ascii="Times New Roman" w:hAnsi="Times New Roman" w:eastAsia="方正黑体_GBK" w:cs="Times New Roman"/>
          <w:b/>
          <w:bCs/>
          <w:sz w:val="32"/>
          <w:szCs w:val="32"/>
        </w:rPr>
        <w:t>2024</w:t>
      </w:r>
      <w:r>
        <w:rPr>
          <w:rFonts w:hint="eastAsia" w:ascii="方正黑体_GBK" w:hAnsi="方正黑体_GBK" w:eastAsia="方正黑体_GBK" w:cs="方正黑体_GBK"/>
          <w:b/>
          <w:bCs/>
          <w:sz w:val="32"/>
          <w:szCs w:val="32"/>
        </w:rPr>
        <w:t>年度预算绩效管理情况说明</w:t>
      </w:r>
    </w:p>
    <w:p w14:paraId="75E0E35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（一）单位自评情况</w:t>
      </w:r>
    </w:p>
    <w:p w14:paraId="5BEFAE1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根据预算绩效管理要求，我单位对28个二级项目开展了绩效自评，涉及财政拨款项目支出资金14185.45万元。绩效自评表详见附件。</w:t>
      </w:r>
    </w:p>
    <w:p w14:paraId="23D6EF38">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（二）单位绩效评价情况</w:t>
      </w:r>
    </w:p>
    <w:p w14:paraId="27F95DE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我单位未组织开展绩效评价。</w:t>
      </w:r>
    </w:p>
    <w:p w14:paraId="149A9ED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（三）财政绩效评价情况</w:t>
      </w:r>
    </w:p>
    <w:p w14:paraId="371C85F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ascii="Times New Roman" w:hAnsi="Times New Roman" w:eastAsia="方正仿宋_GBK"/>
          <w:sz w:val="32"/>
          <w:szCs w:val="32"/>
        </w:rPr>
        <w:t>县财政局未委托第三方对我单位开展绩效评价</w:t>
      </w:r>
    </w:p>
    <w:p w14:paraId="1B038274">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default" w:ascii="方正黑体_GBK" w:hAnsi="方正黑体_GBK" w:eastAsia="方正黑体_GBK" w:cs="方正黑体_GBK"/>
          <w:b/>
          <w:bCs/>
          <w:sz w:val="32"/>
          <w:szCs w:val="32"/>
        </w:rPr>
        <w:t>六、专业名词解释</w:t>
      </w:r>
    </w:p>
    <w:p w14:paraId="7079889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（一）财政拨款收入：</w:t>
      </w:r>
      <w:r>
        <w:rPr>
          <w:rFonts w:hint="default" w:ascii="Times New Roman" w:hAnsi="Times New Roman" w:eastAsia="方正仿宋_GBK"/>
          <w:sz w:val="32"/>
          <w:szCs w:val="32"/>
        </w:rPr>
        <w:t>指本年度从本级财政部门取得的财政拨款，包括一般公共预算财政拨款和政府性基金预算财政拨款。</w:t>
      </w:r>
    </w:p>
    <w:p w14:paraId="1194CB57">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（二）事业收入：</w:t>
      </w:r>
      <w:r>
        <w:rPr>
          <w:rFonts w:hint="default" w:ascii="Times New Roman" w:hAnsi="Times New Roman" w:eastAsia="方正仿宋_GBK"/>
          <w:sz w:val="32"/>
          <w:szCs w:val="32"/>
        </w:rPr>
        <w:t>指事业单位开展专业业务活动及其辅助活动取得的现金流入；事业单位收到的财政专户实际核拨的教育收费等资金在此反映。</w:t>
      </w:r>
    </w:p>
    <w:p w14:paraId="71001BDE">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（三）经营收入：</w:t>
      </w:r>
      <w:r>
        <w:rPr>
          <w:rFonts w:hint="default" w:ascii="Times New Roman" w:hAnsi="Times New Roman" w:eastAsia="方正仿宋_GBK"/>
          <w:sz w:val="32"/>
          <w:szCs w:val="32"/>
        </w:rPr>
        <w:t>指事业单位在专业业务活动及其辅助活动之外开展非独立核算经营活动取得的现金流入。</w:t>
      </w:r>
    </w:p>
    <w:p w14:paraId="457006EC">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（四）其他收入：</w:t>
      </w:r>
      <w:r>
        <w:rPr>
          <w:rFonts w:hint="default"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7BD2AC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（五）使用非财政拨款结余：</w:t>
      </w:r>
      <w:r>
        <w:rPr>
          <w:rFonts w:hint="default"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061715F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（六）年初结转和结余：</w:t>
      </w:r>
      <w:r>
        <w:rPr>
          <w:rFonts w:hint="default" w:ascii="Times New Roman" w:hAnsi="Times New Roman" w:eastAsia="方正仿宋_GBK"/>
          <w:sz w:val="32"/>
          <w:szCs w:val="32"/>
        </w:rPr>
        <w:t>指单位上年结转本年使用的基本支出结转、项目支出结转和结余、经营结余。</w:t>
      </w:r>
    </w:p>
    <w:p w14:paraId="43F9303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（七）结余分配：</w:t>
      </w:r>
      <w:r>
        <w:rPr>
          <w:rFonts w:hint="default" w:ascii="Times New Roman" w:hAnsi="Times New Roman" w:eastAsia="方正仿宋_GBK"/>
          <w:sz w:val="32"/>
          <w:szCs w:val="32"/>
        </w:rPr>
        <w:t>指单位按照国家有关规定，缴纳所得税、提取专用基金、转入非财政拨款结余等当年结余的分配情况。</w:t>
      </w:r>
    </w:p>
    <w:p w14:paraId="509C67A0">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（八）年末结转和结余：</w:t>
      </w:r>
      <w:r>
        <w:rPr>
          <w:rFonts w:hint="default" w:ascii="Times New Roman" w:hAnsi="Times New Roman" w:eastAsia="方正仿宋_GBK"/>
          <w:sz w:val="32"/>
          <w:szCs w:val="32"/>
        </w:rPr>
        <w:t>指单位结转下年的基本支出结转、项目支出结转和结余、经营结余。</w:t>
      </w:r>
    </w:p>
    <w:p w14:paraId="7B29EAA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（九）基本支出：</w:t>
      </w:r>
      <w:r>
        <w:rPr>
          <w:rFonts w:hint="default"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BC0F0B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（十）项目支出：</w:t>
      </w:r>
      <w:r>
        <w:rPr>
          <w:rFonts w:hint="default" w:ascii="Times New Roman" w:hAnsi="Times New Roman" w:eastAsia="方正仿宋_GBK"/>
          <w:sz w:val="32"/>
          <w:szCs w:val="32"/>
        </w:rPr>
        <w:t>指在基本支出之外为完成特定行政任务和事业发展目标所发生的支出。</w:t>
      </w:r>
    </w:p>
    <w:p w14:paraId="3104D6E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（十一）经营支出：</w:t>
      </w:r>
      <w:r>
        <w:rPr>
          <w:rFonts w:hint="default" w:ascii="Times New Roman" w:hAnsi="Times New Roman" w:eastAsia="方正仿宋_GBK"/>
          <w:sz w:val="32"/>
          <w:szCs w:val="32"/>
        </w:rPr>
        <w:t>指事业单位在专业业务活动及其辅助活动之外开展非独立核算经营活动发生的支出。</w:t>
      </w:r>
    </w:p>
    <w:p w14:paraId="1E71B136">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（十二）“三公”经费：</w:t>
      </w:r>
      <w:r>
        <w:rPr>
          <w:rFonts w:hint="default" w:ascii="Times New Roman" w:hAnsi="Times New Roman" w:eastAsia="方正仿宋_GBK"/>
          <w:sz w:val="32"/>
          <w:szCs w:val="32"/>
        </w:rPr>
        <w:t>指使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BE5529D">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（十三）机关运行经费：</w:t>
      </w:r>
      <w:r>
        <w:rPr>
          <w:rFonts w:hint="default"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E8A172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（十四）工资福利支出（支出经济分类科目类级）：</w:t>
      </w:r>
      <w:r>
        <w:rPr>
          <w:rFonts w:hint="default" w:ascii="Times New Roman" w:hAnsi="Times New Roman" w:eastAsia="方正仿宋_GBK"/>
          <w:sz w:val="32"/>
          <w:szCs w:val="32"/>
        </w:rPr>
        <w:t>反映单位开支的在职职工和编制外长期聘用人员的各类劳动报酬，以及为上述人员缴纳的各项社会保险费等。</w:t>
      </w:r>
    </w:p>
    <w:p w14:paraId="31621213">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（十五）商品和服务支出（支出经济分类科目类级）：</w:t>
      </w:r>
      <w:r>
        <w:rPr>
          <w:rFonts w:hint="default" w:ascii="Times New Roman" w:hAnsi="Times New Roman" w:eastAsia="方正仿宋_GBK"/>
          <w:sz w:val="32"/>
          <w:szCs w:val="32"/>
        </w:rPr>
        <w:t>反映单位购买商品和服务的支出（不包括用于购置固定资产的支出、战略性和应急储备支出）。</w:t>
      </w:r>
    </w:p>
    <w:p w14:paraId="0902A65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（十六）对个人和家庭的补助（支出经济分类科目类级）：</w:t>
      </w:r>
      <w:r>
        <w:rPr>
          <w:rFonts w:hint="default" w:ascii="Times New Roman" w:hAnsi="Times New Roman" w:eastAsia="方正仿宋_GBK"/>
          <w:sz w:val="32"/>
          <w:szCs w:val="32"/>
        </w:rPr>
        <w:t>反映用于对个人和家庭的补助支出。</w:t>
      </w:r>
    </w:p>
    <w:p w14:paraId="1329BC02">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rPr>
      </w:pPr>
      <w:r>
        <w:rPr>
          <w:rFonts w:hint="default" w:ascii="方正楷体_GBK" w:hAnsi="方正楷体_GBK" w:eastAsia="方正楷体_GBK" w:cs="方正楷体_GBK"/>
          <w:b/>
          <w:bCs/>
          <w:sz w:val="32"/>
          <w:szCs w:val="32"/>
        </w:rPr>
        <w:t>（十七）其他资本性支出（支出经济分类科目类级）：</w:t>
      </w:r>
      <w:r>
        <w:rPr>
          <w:rFonts w:hint="default" w:ascii="Times New Roman" w:hAnsi="Times New Roman" w:eastAsia="方正仿宋_GBK"/>
          <w:sz w:val="32"/>
          <w:szCs w:val="32"/>
        </w:rPr>
        <w:t>反映非各级发展和改革部门集中安排的用于购置固定资产、战略性和应急性储备、土地和无形资产，以及构建基础设施、大型修缮和财政支持企业更新改造所发生的支出。</w:t>
      </w:r>
    </w:p>
    <w:p w14:paraId="06958BFA">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方正黑体_GBK" w:hAnsi="方正黑体_GBK" w:eastAsia="方正黑体_GBK" w:cs="方正黑体_GBK"/>
          <w:b/>
          <w:bCs/>
          <w:sz w:val="32"/>
          <w:szCs w:val="32"/>
        </w:rPr>
      </w:pPr>
      <w:r>
        <w:rPr>
          <w:rFonts w:hint="default" w:ascii="方正黑体_GBK" w:hAnsi="方正黑体_GBK" w:eastAsia="方正黑体_GBK" w:cs="方正黑体_GBK"/>
          <w:b/>
          <w:bCs/>
          <w:sz w:val="32"/>
          <w:szCs w:val="32"/>
        </w:rPr>
        <w:t>七、决算公开联系方式及信息反馈渠道</w:t>
      </w:r>
    </w:p>
    <w:p w14:paraId="12D8F6E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本单位决算公开信息反馈和联系方式：</w:t>
      </w:r>
    </w:p>
    <w:p w14:paraId="4582798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sz w:val="32"/>
          <w:szCs w:val="32"/>
        </w:rPr>
        <w:sectPr>
          <w:headerReference r:id="rId3" w:type="default"/>
          <w:footerReference r:id="rId4" w:type="default"/>
          <w:pgSz w:w="11907" w:h="16839"/>
          <w:pgMar w:top="2098" w:right="1474" w:bottom="1984" w:left="1587" w:header="0" w:footer="283" w:gutter="0"/>
          <w:pgNumType w:fmt="numberInDash"/>
          <w:cols w:space="720" w:num="1"/>
          <w:docGrid w:type="lines" w:linePitch="326" w:charSpace="0"/>
        </w:sectPr>
      </w:pPr>
      <w:r>
        <w:rPr>
          <w:rFonts w:hint="default" w:ascii="Times New Roman" w:hAnsi="Times New Roman" w:eastAsia="方正仿宋_GBK"/>
          <w:sz w:val="32"/>
          <w:szCs w:val="32"/>
        </w:rPr>
        <w:t xml:space="preserve">刘学梅 </w:t>
      </w:r>
      <w:r>
        <w:rPr>
          <w:rFonts w:hint="eastAsia" w:ascii="Times New Roman" w:hAnsi="Times New Roman" w:eastAsia="方正仿宋_GBK"/>
          <w:sz w:val="32"/>
          <w:szCs w:val="32"/>
          <w:lang w:val="en-US" w:eastAsia="zh-CN"/>
        </w:rPr>
        <w:t xml:space="preserve">  </w:t>
      </w:r>
      <w:r>
        <w:rPr>
          <w:rFonts w:hint="default" w:ascii="Times New Roman" w:hAnsi="Times New Roman" w:eastAsia="方正仿宋_GBK"/>
          <w:sz w:val="32"/>
          <w:szCs w:val="32"/>
        </w:rPr>
        <w:t>023-70609023。</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4CFCF57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BA04A">
            <w:pPr>
              <w:adjustRightInd w:val="0"/>
              <w:snapToGrid w:val="0"/>
              <w:spacing w:line="600" w:lineRule="exact"/>
              <w:jc w:val="center"/>
              <w:textAlignment w:val="bottom"/>
              <w:rPr>
                <w:rFonts w:hint="default" w:cs="宋体"/>
                <w:color w:val="000000" w:themeColor="text1"/>
                <w:sz w:val="32"/>
                <w:szCs w:val="32"/>
                <w14:textFill>
                  <w14:solidFill>
                    <w14:schemeClr w14:val="tx1"/>
                  </w14:solidFill>
                </w14:textFill>
              </w:rPr>
            </w:pPr>
            <w:r>
              <w:rPr>
                <w:rFonts w:cs="宋体"/>
                <w:color w:val="000000" w:themeColor="text1"/>
                <w:sz w:val="32"/>
                <w:szCs w:val="32"/>
                <w14:textFill>
                  <w14:solidFill>
                    <w14:schemeClr w14:val="tx1"/>
                  </w14:solidFill>
                </w14:textFill>
              </w:rPr>
              <w:t>收入支出决算总表</w:t>
            </w:r>
          </w:p>
        </w:tc>
      </w:tr>
      <w:tr w14:paraId="7632388C">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65AB2A9">
            <w:pPr>
              <w:adjustRightInd w:val="0"/>
              <w:snapToGrid w:val="0"/>
              <w:spacing w:line="600" w:lineRule="exact"/>
              <w:rPr>
                <w:rFonts w:hint="default" w:ascii="Arial" w:hAnsi="Arial" w:cs="Arial"/>
                <w:color w:val="000000" w:themeColor="text1"/>
                <w:sz w:val="20"/>
                <w:szCs w:val="20"/>
                <w14:textFill>
                  <w14:solidFill>
                    <w14:schemeClr w14:val="tx1"/>
                  </w14:solidFill>
                </w14:textFill>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5C1B75F">
            <w:pPr>
              <w:adjustRightInd w:val="0"/>
              <w:snapToGrid w:val="0"/>
              <w:spacing w:line="600" w:lineRule="exact"/>
              <w:jc w:val="right"/>
              <w:rPr>
                <w:rFonts w:hint="default" w:ascii="Arial" w:hAnsi="Arial" w:cs="Arial"/>
                <w:color w:val="000000" w:themeColor="text1"/>
                <w:sz w:val="20"/>
                <w:szCs w:val="20"/>
                <w14:textFill>
                  <w14:solidFill>
                    <w14:schemeClr w14:val="tx1"/>
                  </w14:solidFill>
                </w14:textFill>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0161755">
            <w:pPr>
              <w:adjustRightInd w:val="0"/>
              <w:snapToGrid w:val="0"/>
              <w:spacing w:line="600" w:lineRule="exact"/>
              <w:rPr>
                <w:rFonts w:hint="default" w:ascii="Arial" w:hAnsi="Arial" w:cs="Arial"/>
                <w:color w:val="000000" w:themeColor="text1"/>
                <w:sz w:val="20"/>
                <w:szCs w:val="20"/>
                <w14:textFill>
                  <w14:solidFill>
                    <w14:schemeClr w14:val="tx1"/>
                  </w14:solidFill>
                </w14:textFill>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902B48E">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01</w:t>
            </w:r>
            <w:r>
              <w:rPr>
                <w:rFonts w:cs="宋体"/>
                <w:color w:val="000000" w:themeColor="text1"/>
                <w:sz w:val="20"/>
                <w:szCs w:val="20"/>
                <w14:textFill>
                  <w14:solidFill>
                    <w14:schemeClr w14:val="tx1"/>
                  </w14:solidFill>
                </w14:textFill>
              </w:rPr>
              <w:t>表</w:t>
            </w:r>
          </w:p>
        </w:tc>
      </w:tr>
      <w:tr w14:paraId="538B7F6A">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E9B1361">
            <w:pPr>
              <w:adjustRightInd w:val="0"/>
              <w:snapToGrid w:val="0"/>
              <w:spacing w:line="600" w:lineRule="exact"/>
              <w:rPr>
                <w:rFonts w:hint="default" w:ascii="Arial" w:hAnsi="Arial" w:cs="Arial"/>
                <w:color w:val="000000" w:themeColor="text1"/>
                <w:sz w:val="22"/>
                <w:szCs w:val="22"/>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丰都县卫生健康委员会（本级）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0A7C143">
            <w:pPr>
              <w:adjustRightInd w:val="0"/>
              <w:snapToGrid w:val="0"/>
              <w:spacing w:line="600" w:lineRule="exact"/>
              <w:rPr>
                <w:rFonts w:hint="default" w:ascii="Arial" w:hAnsi="Arial" w:cs="Arial"/>
                <w:color w:val="000000" w:themeColor="text1"/>
                <w:sz w:val="22"/>
                <w:szCs w:val="22"/>
                <w14:textFill>
                  <w14:solidFill>
                    <w14:schemeClr w14:val="tx1"/>
                  </w14:solidFill>
                </w14:textFill>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CFC5893">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6E56220F">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910C">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8237B7">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支出</w:t>
            </w:r>
          </w:p>
        </w:tc>
      </w:tr>
      <w:tr w14:paraId="2A8A51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A8A2">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E2990">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BBFB8">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A3A02">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决算数</w:t>
            </w:r>
          </w:p>
        </w:tc>
      </w:tr>
      <w:tr w14:paraId="6D50F2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FFDA">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D188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6,528.27</w:t>
            </w:r>
            <w:r>
              <w:rPr>
                <w:rFonts w:ascii="Times New Roman" w:hAnsi="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1849D">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2F47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58A7DD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5A47">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CE29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D4E3E">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DC2E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6523890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4391">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2329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42D26">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5F26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42F9E35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EABD">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D245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B39CD">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8869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378A38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85D4">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A689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27F69">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70DA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502C6D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74E7">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0E42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29F3F">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CAA9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3F93DB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111B">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881D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00025">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432B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1A74B70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86ADB">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0B7296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13.99</w:t>
            </w:r>
            <w:r>
              <w:rPr>
                <w:rFonts w:ascii="Times New Roman" w:hAnsi="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DA414">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2C4C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266.29</w:t>
            </w:r>
            <w:r>
              <w:rPr>
                <w:rFonts w:ascii="Times New Roman" w:hAnsi="Times New Roman"/>
                <w:color w:val="000000" w:themeColor="text1"/>
                <w:sz w:val="20"/>
                <w14:textFill>
                  <w14:solidFill>
                    <w14:schemeClr w14:val="tx1"/>
                  </w14:solidFill>
                </w14:textFill>
              </w:rPr>
              <w:t xml:space="preserve"> </w:t>
            </w:r>
          </w:p>
        </w:tc>
      </w:tr>
      <w:tr w14:paraId="4637BC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9915">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BB03F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05CAA">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BCAE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6,211.97</w:t>
            </w:r>
            <w:r>
              <w:rPr>
                <w:rFonts w:ascii="Times New Roman" w:hAnsi="Times New Roman"/>
                <w:color w:val="000000" w:themeColor="text1"/>
                <w:sz w:val="20"/>
                <w14:textFill>
                  <w14:solidFill>
                    <w14:schemeClr w14:val="tx1"/>
                  </w14:solidFill>
                </w14:textFill>
              </w:rPr>
              <w:t xml:space="preserve"> </w:t>
            </w:r>
          </w:p>
        </w:tc>
      </w:tr>
      <w:tr w14:paraId="056A384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5531">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93DB5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FE55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4ADE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36CF3B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B9D1">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70D20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CD297">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0197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2B35B27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71F36">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E1D3C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9284D">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58E9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03200C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7E93">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BE5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F4FD9">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4F22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6E0CB3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497F">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E72E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AE862">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7A57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557CC0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8DC0">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D2BE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38D5F">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9DF6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3997E3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BD51">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53F1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21E6C">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E6C6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719DD68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3CC1">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D79E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475B2">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3375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0006F66D">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2A20">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8904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75729">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AF9A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5CA0BA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51ED">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68EC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D14A4">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2B79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r>
      <w:tr w14:paraId="755BD2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6EF6">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AA44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C6B29">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F392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6E9684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7D22">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4DC0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0C88D">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DED0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442558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7D30">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1A81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648C7">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4AB8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6BED87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7C27">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6C83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16110">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8549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0EA782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2638">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71A6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4031F">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4733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4999B7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87C1">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42A5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ECB0B">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E7FE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19F648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787F">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19DF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5E1D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E542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064229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96F8">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DCCA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6,542.26</w:t>
            </w:r>
            <w:r>
              <w:rPr>
                <w:rFonts w:ascii="Times New Roman" w:hAnsi="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15F46">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242C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6,542.26</w:t>
            </w:r>
            <w:r>
              <w:rPr>
                <w:rFonts w:ascii="Times New Roman" w:hAnsi="Times New Roman"/>
                <w:color w:val="000000" w:themeColor="text1"/>
                <w:sz w:val="20"/>
                <w14:textFill>
                  <w14:solidFill>
                    <w14:schemeClr w14:val="tx1"/>
                  </w14:solidFill>
                </w14:textFill>
              </w:rPr>
              <w:t xml:space="preserve"> </w:t>
            </w:r>
          </w:p>
        </w:tc>
      </w:tr>
      <w:tr w14:paraId="045ADC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1DDB">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EB7D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9156D">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3D8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14:textFill>
                  <w14:solidFill>
                    <w14:schemeClr w14:val="tx1"/>
                  </w14:solidFill>
                </w14:textFill>
              </w:rPr>
              <w:t xml:space="preserve"> </w:t>
            </w:r>
          </w:p>
        </w:tc>
      </w:tr>
      <w:tr w14:paraId="5A2A32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9930">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04C2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33.76</w:t>
            </w:r>
            <w:r>
              <w:rPr>
                <w:rFonts w:ascii="Times New Roman" w:hAnsi="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4B229">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F17A8C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33.76</w:t>
            </w:r>
            <w:r>
              <w:rPr>
                <w:rFonts w:ascii="Times New Roman" w:hAnsi="Times New Roman"/>
                <w:color w:val="000000" w:themeColor="text1"/>
                <w:sz w:val="20"/>
                <w14:textFill>
                  <w14:solidFill>
                    <w14:schemeClr w14:val="tx1"/>
                  </w14:solidFill>
                </w14:textFill>
              </w:rPr>
              <w:t xml:space="preserve"> </w:t>
            </w:r>
          </w:p>
        </w:tc>
      </w:tr>
      <w:tr w14:paraId="2DF008E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33194">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501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6,576.02</w:t>
            </w:r>
            <w:r>
              <w:rPr>
                <w:rFonts w:ascii="Times New Roman" w:hAnsi="Times New Roman"/>
                <w:color w:val="000000" w:themeColor="text1"/>
                <w:sz w:val="20"/>
                <w14:textFill>
                  <w14:solidFill>
                    <w14:schemeClr w14:val="tx1"/>
                  </w14:solidFill>
                </w14:textFill>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B85EFF9">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382D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6,576.02</w:t>
            </w:r>
            <w:r>
              <w:rPr>
                <w:rFonts w:ascii="Times New Roman" w:hAnsi="Times New Roman"/>
                <w:color w:val="000000" w:themeColor="text1"/>
                <w:sz w:val="20"/>
                <w14:textFill>
                  <w14:solidFill>
                    <w14:schemeClr w14:val="tx1"/>
                  </w14:solidFill>
                </w14:textFill>
              </w:rPr>
              <w:t xml:space="preserve"> </w:t>
            </w:r>
          </w:p>
        </w:tc>
      </w:tr>
    </w:tbl>
    <w:p w14:paraId="2F14F4C7">
      <w:pPr>
        <w:adjustRightInd w:val="0"/>
        <w:snapToGrid w:val="0"/>
        <w:spacing w:line="600" w:lineRule="exact"/>
        <w:rPr>
          <w:rFonts w:hint="default" w:cs="宋体"/>
          <w:color w:val="000000" w:themeColor="text1"/>
          <w:sz w:val="21"/>
          <w:szCs w:val="21"/>
          <w14:textFill>
            <w14:solidFill>
              <w14:schemeClr w14:val="tx1"/>
            </w14:solidFill>
          </w14:textFill>
        </w:rPr>
      </w:pPr>
    </w:p>
    <w:p w14:paraId="222E5A9B">
      <w:pPr>
        <w:adjustRightInd w:val="0"/>
        <w:snapToGrid w:val="0"/>
        <w:spacing w:line="60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备注：1.本表反映单位本年度的总收支和年末结转结余情况。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14:paraId="6651EC3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CC7818D">
            <w:pPr>
              <w:adjustRightInd w:val="0"/>
              <w:snapToGrid w:val="0"/>
              <w:spacing w:line="600" w:lineRule="exact"/>
              <w:jc w:val="center"/>
              <w:textAlignment w:val="bottom"/>
              <w:rPr>
                <w:rFonts w:hint="default" w:cs="宋体"/>
                <w:color w:val="000000" w:themeColor="text1"/>
                <w:sz w:val="32"/>
                <w:szCs w:val="32"/>
                <w14:textFill>
                  <w14:solidFill>
                    <w14:schemeClr w14:val="tx1"/>
                  </w14:solidFill>
                </w14:textFill>
              </w:rPr>
            </w:pPr>
            <w:r>
              <w:rPr>
                <w:rFonts w:cs="宋体"/>
                <w:color w:val="000000" w:themeColor="text1"/>
                <w:sz w:val="32"/>
                <w:szCs w:val="32"/>
                <w14:textFill>
                  <w14:solidFill>
                    <w14:schemeClr w14:val="tx1"/>
                  </w14:solidFill>
                </w14:textFill>
              </w:rPr>
              <w:t>收入决算表</w:t>
            </w:r>
          </w:p>
        </w:tc>
      </w:tr>
      <w:tr w14:paraId="3FD63F4B">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2120133F">
            <w:pPr>
              <w:adjustRightInd w:val="0"/>
              <w:snapToGrid w:val="0"/>
              <w:spacing w:line="60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丰都县卫生健康委员会（本级）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064FB517">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EB7D3B2">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BFEC3A2">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D783ECB">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E63F08E">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19B6CBC">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7554994">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02</w:t>
            </w:r>
            <w:r>
              <w:rPr>
                <w:rFonts w:cs="宋体"/>
                <w:color w:val="000000" w:themeColor="text1"/>
                <w:sz w:val="20"/>
                <w:szCs w:val="20"/>
                <w14:textFill>
                  <w14:solidFill>
                    <w14:schemeClr w14:val="tx1"/>
                  </w14:solidFill>
                </w14:textFill>
              </w:rPr>
              <w:t>表</w:t>
            </w:r>
          </w:p>
        </w:tc>
      </w:tr>
      <w:tr w14:paraId="695C8E90">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169D9FAC">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0BD20A58">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DE5B35">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FA03AA2">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5A7AC24">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DDED7B9">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50A8648">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C956339">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05505B52">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8DFDB0E">
            <w:pPr>
              <w:adjustRightInd w:val="0"/>
              <w:snapToGrid w:val="0"/>
              <w:spacing w:line="600" w:lineRule="exact"/>
              <w:jc w:val="center"/>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F39A5">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2C269">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F9946">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6D5400">
            <w:pPr>
              <w:adjustRightInd w:val="0"/>
              <w:snapToGrid w:val="0"/>
              <w:spacing w:line="600" w:lineRule="exact"/>
              <w:jc w:val="center"/>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B426D">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FBB44">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09282">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其他收入</w:t>
            </w:r>
          </w:p>
        </w:tc>
      </w:tr>
      <w:tr w14:paraId="0CC3A501">
        <w:tblPrEx>
          <w:tblCellMar>
            <w:top w:w="0" w:type="dxa"/>
            <w:left w:w="0" w:type="dxa"/>
            <w:bottom w:w="0" w:type="dxa"/>
            <w:right w:w="0" w:type="dxa"/>
          </w:tblCellMar>
        </w:tblPrEx>
        <w:trPr>
          <w:trHeight w:val="600"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4BA3">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785D2E3">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242EC">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50881">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11180">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B0F72">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D5424">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01C4C">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E6F86">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EA560">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29A9D4F5">
        <w:tblPrEx>
          <w:tblCellMar>
            <w:top w:w="0" w:type="dxa"/>
            <w:left w:w="0" w:type="dxa"/>
            <w:bottom w:w="0" w:type="dxa"/>
            <w:right w:w="0" w:type="dxa"/>
          </w:tblCellMar>
        </w:tblPrEx>
        <w:trPr>
          <w:trHeight w:val="600"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AD3E">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7D2E292">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BD58">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2EB66">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AA8F0">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0D9D7">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05DC1">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29D0A">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74FD3">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56C5F">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6F38DE0B">
        <w:tblPrEx>
          <w:tblCellMar>
            <w:top w:w="0" w:type="dxa"/>
            <w:left w:w="0" w:type="dxa"/>
            <w:bottom w:w="0" w:type="dxa"/>
            <w:right w:w="0" w:type="dxa"/>
          </w:tblCellMar>
        </w:tblPrEx>
        <w:trPr>
          <w:trHeight w:val="600"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D05C">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43E34DF">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A5C68">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150F1">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B9075">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2BF53">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E0C7B">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1E255">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397B">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3B15A">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35D13A34">
        <w:tblPrEx>
          <w:tblCellMar>
            <w:top w:w="0" w:type="dxa"/>
            <w:left w:w="0" w:type="dxa"/>
            <w:bottom w:w="0" w:type="dxa"/>
            <w:right w:w="0" w:type="dxa"/>
          </w:tblCellMar>
        </w:tblPrEx>
        <w:trPr>
          <w:trHeight w:val="600"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D00C">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DE70700">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14871">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4C7E3">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13FE3">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CF90A">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0B86B">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7D340">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EAFBC">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1D91">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27D6E7E7">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CDCD">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C93D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6,542.26</w:t>
            </w:r>
            <w:r>
              <w:rPr>
                <w:rFonts w:ascii="Times New Roman" w:hAnsi="Times New Roman"/>
                <w:color w:val="000000" w:themeColor="text1"/>
                <w:sz w:val="20"/>
                <w14:textFill>
                  <w14:solidFill>
                    <w14:schemeClr w14:val="tx1"/>
                  </w14:solidFill>
                </w14:textFill>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B198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6,528.27</w:t>
            </w:r>
            <w:r>
              <w:rPr>
                <w:rFonts w:ascii="Times New Roman" w:hAnsi="Times New Roman"/>
                <w:color w:val="000000" w:themeColor="text1"/>
                <w:sz w:val="20"/>
                <w14:textFill>
                  <w14:solidFill>
                    <w14:schemeClr w14:val="tx1"/>
                  </w14:solidFill>
                </w14:textFill>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535A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231F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7237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4888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B51A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694B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13.99</w:t>
            </w:r>
            <w:r>
              <w:rPr>
                <w:rFonts w:ascii="Times New Roman" w:hAnsi="Times New Roman"/>
                <w:color w:val="000000" w:themeColor="text1"/>
                <w:sz w:val="20"/>
                <w14:textFill>
                  <w14:solidFill>
                    <w14:schemeClr w14:val="tx1"/>
                  </w14:solidFill>
                </w14:textFill>
              </w:rPr>
              <w:t xml:space="preserve"> </w:t>
            </w:r>
          </w:p>
        </w:tc>
      </w:tr>
      <w:tr w14:paraId="4E28F0F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86F2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C375F">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7CB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266.29</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7D9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266.29</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B29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138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345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565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5EB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B70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0D8A42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7208">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72C7A">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D73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266.29</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B41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266.29</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B54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BD8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B1B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98D0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C22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A6A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07D70F9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0589">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861F8">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B77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11.98</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3D6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11.98</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A222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F0F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594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E3D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19D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8CA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2CEDC96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F9E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A80EB">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0C0F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80.91</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986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80.91</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B17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B98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531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B5A0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66A2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8B6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2DA850F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BCB4">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8A17E">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6936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51.58</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C2C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51.58</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52F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2A8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0FC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1A7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A06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DDB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5F60259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476E">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A6BDE">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BA3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121.83</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A10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121.83</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E57C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9A4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7DE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E04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2E3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D9E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61B0BCC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E095">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BFE42">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510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6,211.97</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786D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6,197.98</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F78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B20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926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0C4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C30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C4E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13.99</w:t>
            </w:r>
            <w:r>
              <w:rPr>
                <w:rFonts w:ascii="Times New Roman" w:hAnsi="Times New Roman"/>
                <w:color w:val="000000" w:themeColor="text1"/>
                <w:sz w:val="20"/>
                <w14:textFill>
                  <w14:solidFill>
                    <w14:schemeClr w14:val="tx1"/>
                  </w14:solidFill>
                </w14:textFill>
              </w:rPr>
              <w:t xml:space="preserve"> </w:t>
            </w:r>
          </w:p>
        </w:tc>
      </w:tr>
      <w:tr w14:paraId="02090F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F13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224BC">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卫生健康管理事务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5EA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1,170.30</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B02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1,156.31</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C7C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483C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E2D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23C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CA24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C6E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13.99</w:t>
            </w:r>
            <w:r>
              <w:rPr>
                <w:rFonts w:ascii="Times New Roman" w:hAnsi="Times New Roman"/>
                <w:color w:val="000000" w:themeColor="text1"/>
                <w:sz w:val="20"/>
                <w14:textFill>
                  <w14:solidFill>
                    <w14:schemeClr w14:val="tx1"/>
                  </w14:solidFill>
                </w14:textFill>
              </w:rPr>
              <w:t xml:space="preserve"> </w:t>
            </w:r>
          </w:p>
        </w:tc>
      </w:tr>
      <w:tr w14:paraId="6ACDD4E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115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12B98">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175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717.02</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BFCE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703.03</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C15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71A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372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2B4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C4EE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91C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13.99</w:t>
            </w:r>
            <w:r>
              <w:rPr>
                <w:rFonts w:ascii="Times New Roman" w:hAnsi="Times New Roman"/>
                <w:color w:val="000000" w:themeColor="text1"/>
                <w:sz w:val="20"/>
                <w14:textFill>
                  <w14:solidFill>
                    <w14:schemeClr w14:val="tx1"/>
                  </w14:solidFill>
                </w14:textFill>
              </w:rPr>
              <w:t xml:space="preserve"> </w:t>
            </w:r>
          </w:p>
        </w:tc>
      </w:tr>
      <w:tr w14:paraId="0D0FF8E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DB6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0D157">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其他卫生健康管理事务支出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DED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453.28</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7C73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453.28</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745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037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BF12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031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6DA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6691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6B4DC35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06A6">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8D6A2">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基层医疗卫生机构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386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849.61</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A261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849.61</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E92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B69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EAFD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A86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087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A3B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21E02F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FD2B1">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6FD8B">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乡镇卫生院</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A74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89.78</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EE56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89.78</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32A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2C9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7000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DC9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ABD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264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409787F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7972">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557A0">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其他基层医疗卫生机构支出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FDF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759.82</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B1D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759.82</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17E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310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BB0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9BFE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232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00F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1FCD265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90C2">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6DB6B">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公共卫生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A75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308.73</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991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308.73</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5DB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33F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CAC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4F2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C58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063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250108D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08C1">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4ED15">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基本公共卫生服务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94DE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68.00</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0B2B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68.00</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3E4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48A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0A9E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7F2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972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03E9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503CBCD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EFA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86EFC">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重大公共卫生服务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903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225.00</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3BA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225.00</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6DAD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B0E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AE0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0FB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E32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01A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05EFA55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65FF">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BEBA7">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其他公共卫生支出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E77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15.73</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A404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15.73</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E8A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ABF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9DD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527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7D8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7E7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12A469D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4F7C">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2E337">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计划生育事务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AAF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3,816.05</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B48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3,816.05</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7DEB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6A9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991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BB7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B1C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4BD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689ACF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6426">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2100717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6DC06">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计划生育服务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620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3,816.05</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C08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3,816.05</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135A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6FF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096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8520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F5B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83F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7E723A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3964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6BD4E">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405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67.29</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9AA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67.29</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203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343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2CC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EAE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654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CB3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391016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694F">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6D99B">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9F4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40.76</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93C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40.76</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DC1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BB85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D29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FCC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126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DE52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62F59CB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952A5">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9FCFA">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9CF0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26.53</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795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26.53</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560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420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9ADA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EB9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4F1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5B0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7CE99CE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1B971">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FFB92">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9921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4F0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558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0F7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F1C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BBA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A23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19B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4EC5EE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3237">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2B73C">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CF4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DFC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4F0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57C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014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FEF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E781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21C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58B2BFD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4BC1">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4EDA7">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40A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CAC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D72C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25A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0DF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91E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93E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662C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bl>
    <w:p w14:paraId="6C267EA6">
      <w:pPr>
        <w:adjustRightInd w:val="0"/>
        <w:snapToGrid w:val="0"/>
        <w:spacing w:line="600" w:lineRule="exact"/>
        <w:ind w:left="600" w:hanging="600" w:hangingChars="300"/>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备注：1.本表反映单位本年度取得的各项收入情况。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14:paraId="6EE0AD47">
      <w:pPr>
        <w:adjustRightInd w:val="0"/>
        <w:snapToGrid w:val="0"/>
        <w:spacing w:line="60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14:paraId="2DA15B3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0D198CF">
            <w:pPr>
              <w:adjustRightInd w:val="0"/>
              <w:snapToGrid w:val="0"/>
              <w:spacing w:line="600" w:lineRule="exact"/>
              <w:jc w:val="center"/>
              <w:textAlignment w:val="bottom"/>
              <w:rPr>
                <w:rFonts w:hint="default" w:cs="宋体"/>
                <w:color w:val="000000" w:themeColor="text1"/>
                <w:sz w:val="32"/>
                <w:szCs w:val="32"/>
                <w14:textFill>
                  <w14:solidFill>
                    <w14:schemeClr w14:val="tx1"/>
                  </w14:solidFill>
                </w14:textFill>
              </w:rPr>
            </w:pPr>
            <w:r>
              <w:rPr>
                <w:rFonts w:cs="宋体"/>
                <w:color w:val="000000" w:themeColor="text1"/>
                <w:sz w:val="32"/>
                <w:szCs w:val="32"/>
                <w14:textFill>
                  <w14:solidFill>
                    <w14:schemeClr w14:val="tx1"/>
                  </w14:solidFill>
                </w14:textFill>
              </w:rPr>
              <w:t>支出决算表</w:t>
            </w:r>
          </w:p>
        </w:tc>
      </w:tr>
      <w:tr w14:paraId="12C4AF69">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B245320">
            <w:pPr>
              <w:adjustRightInd w:val="0"/>
              <w:snapToGrid w:val="0"/>
              <w:spacing w:line="60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 xml:space="preserve">丰都县卫生健康委员会（本级）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735AD4DF">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45F2554">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50465FB">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47B0774">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B7BA07A">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03</w:t>
            </w:r>
            <w:r>
              <w:rPr>
                <w:rFonts w:cs="宋体"/>
                <w:color w:val="000000" w:themeColor="text1"/>
                <w:sz w:val="20"/>
                <w:szCs w:val="20"/>
                <w14:textFill>
                  <w14:solidFill>
                    <w14:schemeClr w14:val="tx1"/>
                  </w14:solidFill>
                </w14:textFill>
              </w:rPr>
              <w:t>表</w:t>
            </w:r>
          </w:p>
        </w:tc>
      </w:tr>
      <w:tr w14:paraId="61B5BDEB">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35270AA5">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85A03B7">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3FE80CB">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BF39C19">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CCAAD24">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27BD807">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21DA591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5EA55C">
            <w:pPr>
              <w:adjustRightInd w:val="0"/>
              <w:snapToGrid w:val="0"/>
              <w:spacing w:line="600" w:lineRule="exact"/>
              <w:jc w:val="center"/>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63277">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D179">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F7BD5">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10CAA">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A12CB">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30DF2">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对附属单位补助支出</w:t>
            </w:r>
          </w:p>
        </w:tc>
      </w:tr>
      <w:tr w14:paraId="0078A8E1">
        <w:tblPrEx>
          <w:tblCellMar>
            <w:top w:w="0" w:type="dxa"/>
            <w:left w:w="0" w:type="dxa"/>
            <w:bottom w:w="0" w:type="dxa"/>
            <w:right w:w="0" w:type="dxa"/>
          </w:tblCellMar>
        </w:tblPrEx>
        <w:trPr>
          <w:trHeight w:val="600"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527F">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6836116">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E9307">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E8CBD">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05D97">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63252">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1C231">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D10B4">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4FCC0F12">
        <w:tblPrEx>
          <w:tblCellMar>
            <w:top w:w="0" w:type="dxa"/>
            <w:left w:w="0" w:type="dxa"/>
            <w:bottom w:w="0" w:type="dxa"/>
            <w:right w:w="0" w:type="dxa"/>
          </w:tblCellMar>
        </w:tblPrEx>
        <w:trPr>
          <w:trHeight w:val="600"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4443">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BD93B49">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5738C">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27283">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12FDF">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1E30">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083D2">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ACAD2">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7993A86A">
        <w:tblPrEx>
          <w:tblCellMar>
            <w:top w:w="0" w:type="dxa"/>
            <w:left w:w="0" w:type="dxa"/>
            <w:bottom w:w="0" w:type="dxa"/>
            <w:right w:w="0" w:type="dxa"/>
          </w:tblCellMar>
        </w:tblPrEx>
        <w:trPr>
          <w:trHeight w:val="600"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183A">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63DBCCF">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554DD">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2F09">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4F5C1">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DDE68">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44489">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BB6F8">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7981D110">
        <w:tblPrEx>
          <w:tblCellMar>
            <w:top w:w="0" w:type="dxa"/>
            <w:left w:w="0" w:type="dxa"/>
            <w:bottom w:w="0" w:type="dxa"/>
            <w:right w:w="0" w:type="dxa"/>
          </w:tblCellMar>
        </w:tblPrEx>
        <w:trPr>
          <w:trHeight w:val="600"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7E5B">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BA0A563">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4960F">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D2B10">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A7CE2">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B471F">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ED9AC">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AD3A2">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4B07E2C0">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6CF1">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16FB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6,542.26</w:t>
            </w:r>
            <w:r>
              <w:rPr>
                <w:rFonts w:ascii="Times New Roman" w:hAnsi="Times New Roman"/>
                <w:color w:val="000000" w:themeColor="text1"/>
                <w:sz w:val="20"/>
                <w14:textFill>
                  <w14:solidFill>
                    <w14:schemeClr w14:val="tx1"/>
                  </w14:solidFill>
                </w14:textFill>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E169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1,218.59</w:t>
            </w:r>
            <w:r>
              <w:rPr>
                <w:rFonts w:ascii="Times New Roman" w:hAnsi="Times New Roman"/>
                <w:color w:val="000000" w:themeColor="text1"/>
                <w:sz w:val="20"/>
                <w14:textFill>
                  <w14:solidFill>
                    <w14:schemeClr w14:val="tx1"/>
                  </w14:solidFill>
                </w14:textFill>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349F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5,323.67</w:t>
            </w:r>
            <w:r>
              <w:rPr>
                <w:rFonts w:ascii="Times New Roman" w:hAnsi="Times New Roman"/>
                <w:color w:val="000000" w:themeColor="text1"/>
                <w:sz w:val="20"/>
                <w14:textFill>
                  <w14:solidFill>
                    <w14:schemeClr w14:val="tx1"/>
                  </w14:solidFill>
                </w14:textFill>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53D3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92F3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EAFD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227A0D9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C2E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09CAF">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66EA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266.29</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A60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266.29</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1B4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15E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E1B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2AE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6E190A8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DF27">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DFB9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1A6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266.29</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EEB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266.29</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9C7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A32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EF8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644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33B8CCC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D9E5">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E7B0F">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B16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11.98</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1A2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11.98</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64F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2E9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94F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8FC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606BA49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74C0">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B409B">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A20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80.91</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C99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80.91</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D63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940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F4E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34D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279C43C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49EB">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20DD1">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6B4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51.58</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0BE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51.58</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37E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69B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377B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466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75D470A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F82F">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A1737">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69A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121.83</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263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121.83</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D24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2C7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405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B6A1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703C69F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D6D7">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5CD8B">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BAD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6,211.97</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BD6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888.30</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07C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5,323.67</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11D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3AC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41CA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669C522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808E">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8CAB1">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卫生健康管理事务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782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1,170.30</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031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731.22</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9E56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439.08</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A7C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876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FB6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1F6B49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D591">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71B94">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AA21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717.02</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81B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717.02</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91D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50E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8FA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47A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04B09C0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5AE5">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5B55C">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其他卫生健康管理事务支出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064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453.28</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ECA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14.21</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001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439.08</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5801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7F6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1F6B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76EC0C3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A669">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5F614">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基层医疗卫生机构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D2A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849.61</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A1C5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89.78</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C1B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759.82</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0F3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49D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0EE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0306CEB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72F8">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2125E">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乡镇卫生院</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70A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89.78</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14B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89.78</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D99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D8C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DC1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26BB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64F530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A331F">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4B1EB">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其他基层医疗卫生机构支出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CB7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759.82</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2529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B81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759.82</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E51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499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052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50CA2C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0A5C">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CCBB4">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公共卫生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5A4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308.73</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3E3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92D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308.73</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D942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D89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E45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413BC85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B4DD8">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403F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基本公共卫生服务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299B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68.00</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454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97B0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68.00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8C99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010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929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1D9E5D5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9642">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6657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重大公共卫生服务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1C2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225.00</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788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072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225.00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639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B3C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1F7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10855C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58B4">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B7CD7">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其他公共卫生支出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661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15.73</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FBD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B8CB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15.73</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BBF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637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4C4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70A9C35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03127">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B826D">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计划生育事务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B0A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3,816.05</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0D3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190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3,816.05</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F5C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8EC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910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4C7AA07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5F0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2100717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C3D5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计划生育服务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5FD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3,816.05</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05F1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D6A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3,816.05</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75C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DB1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0D29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54A2EB3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BA85B">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EDBDE">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E19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67.29</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D11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67.29</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2F8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EE4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849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1D6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1DA527B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7E45">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F137F">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F45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40.76</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B7D4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40.76</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42F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527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1C5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299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5E5389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8EDE">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23EE4">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404B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26.53</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6743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26.53</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1B9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4D8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050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C120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1902082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58EB1">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A9C00">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DC46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12D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5C6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A921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289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4EA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1071CB7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65E0">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EE6B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57F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111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002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CD2C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134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E42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263EEED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786F">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A26E2">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10D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816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5D1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837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2E3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7A7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bl>
    <w:p w14:paraId="248471D5">
      <w:pPr>
        <w:adjustRightInd w:val="0"/>
        <w:snapToGrid w:val="0"/>
        <w:spacing w:line="60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备注：1.本表反映单位本年度各项支出情况。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14:paraId="3B32452A">
      <w:pPr>
        <w:adjustRightInd w:val="0"/>
        <w:snapToGrid w:val="0"/>
        <w:spacing w:line="600" w:lineRule="exact"/>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p w14:paraId="001DC12A">
      <w:pPr>
        <w:adjustRightInd w:val="0"/>
        <w:snapToGrid w:val="0"/>
        <w:spacing w:line="600" w:lineRule="exact"/>
        <w:rPr>
          <w:rFonts w:hint="default" w:cs="宋体"/>
          <w:color w:val="000000" w:themeColor="text1"/>
          <w:sz w:val="21"/>
          <w:szCs w:val="21"/>
          <w14:textFill>
            <w14:solidFill>
              <w14:schemeClr w14:val="tx1"/>
            </w14:solidFill>
          </w14:textFill>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21D95F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9B6ECCC">
            <w:pPr>
              <w:adjustRightInd w:val="0"/>
              <w:snapToGrid w:val="0"/>
              <w:spacing w:line="600" w:lineRule="exact"/>
              <w:jc w:val="center"/>
              <w:textAlignment w:val="bottom"/>
              <w:rPr>
                <w:rFonts w:hint="default" w:cs="宋体"/>
                <w:color w:val="000000" w:themeColor="text1"/>
                <w:sz w:val="32"/>
                <w:szCs w:val="32"/>
                <w14:textFill>
                  <w14:solidFill>
                    <w14:schemeClr w14:val="tx1"/>
                  </w14:solidFill>
                </w14:textFill>
              </w:rPr>
            </w:pPr>
            <w:r>
              <w:rPr>
                <w:rFonts w:cs="宋体"/>
                <w:color w:val="000000" w:themeColor="text1"/>
                <w:sz w:val="32"/>
                <w:szCs w:val="32"/>
                <w14:textFill>
                  <w14:solidFill>
                    <w14:schemeClr w14:val="tx1"/>
                  </w14:solidFill>
                </w14:textFill>
              </w:rPr>
              <w:t>财政拨款收入支出决算总表</w:t>
            </w:r>
          </w:p>
        </w:tc>
      </w:tr>
      <w:tr w14:paraId="1C68801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87C79EF">
            <w:pPr>
              <w:adjustRightInd w:val="0"/>
              <w:snapToGrid w:val="0"/>
              <w:spacing w:line="600" w:lineRule="exact"/>
              <w:rPr>
                <w:rFonts w:hint="default" w:cs="宋体"/>
                <w:color w:val="000000" w:themeColor="text1"/>
                <w:sz w:val="18"/>
                <w:szCs w:val="18"/>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丰都县卫生健康委员会（本级）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7BD6F363">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FAFC2B1">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273A09">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9D48250">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04</w:t>
            </w:r>
            <w:r>
              <w:rPr>
                <w:rFonts w:cs="宋体"/>
                <w:color w:val="000000" w:themeColor="text1"/>
                <w:sz w:val="20"/>
                <w:szCs w:val="20"/>
                <w14:textFill>
                  <w14:solidFill>
                    <w14:schemeClr w14:val="tx1"/>
                  </w14:solidFill>
                </w14:textFill>
              </w:rPr>
              <w:t>表</w:t>
            </w:r>
          </w:p>
        </w:tc>
      </w:tr>
      <w:tr w14:paraId="0E1DB3C8">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90B3E39">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B945764">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B478AE">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D5AB113">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E6D96B2">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686CFD8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E6A2">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20CD">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支     出</w:t>
            </w:r>
          </w:p>
        </w:tc>
      </w:tr>
      <w:tr w14:paraId="50988BD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253EB">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F588E">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20A54">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7733D">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决算数</w:t>
            </w:r>
          </w:p>
        </w:tc>
      </w:tr>
      <w:tr w14:paraId="092B705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E1DC9">
            <w:pPr>
              <w:adjustRightInd w:val="0"/>
              <w:snapToGrid w:val="0"/>
              <w:spacing w:line="600" w:lineRule="exact"/>
              <w:jc w:val="center"/>
              <w:rPr>
                <w:rFonts w:hint="default" w:cs="宋体"/>
                <w:color w:val="000000" w:themeColor="text1"/>
                <w:sz w:val="18"/>
                <w:szCs w:val="18"/>
                <w14:textFill>
                  <w14:solidFill>
                    <w14:schemeClr w14:val="tx1"/>
                  </w14:solidFill>
                </w14:textFill>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E0040">
            <w:pPr>
              <w:adjustRightInd w:val="0"/>
              <w:snapToGrid w:val="0"/>
              <w:spacing w:line="600" w:lineRule="exact"/>
              <w:jc w:val="center"/>
              <w:rPr>
                <w:rFonts w:hint="default" w:cs="宋体"/>
                <w:color w:val="000000" w:themeColor="text1"/>
                <w:sz w:val="18"/>
                <w:szCs w:val="18"/>
                <w14:textFill>
                  <w14:solidFill>
                    <w14:schemeClr w14:val="tx1"/>
                  </w14:solidFill>
                </w14:textFill>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C69C3">
            <w:pPr>
              <w:adjustRightInd w:val="0"/>
              <w:snapToGrid w:val="0"/>
              <w:spacing w:line="600" w:lineRule="exact"/>
              <w:jc w:val="center"/>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4D05">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C791C">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C4849">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372D">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国有资本经营预算财政拨款</w:t>
            </w:r>
          </w:p>
        </w:tc>
      </w:tr>
      <w:tr w14:paraId="52AFC8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9CE1">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F2FD">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6,528.27</w:t>
            </w:r>
            <w:r>
              <w:rPr>
                <w:rFonts w:ascii="Times New Roman" w:hAnsi="Times New 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77E6">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AB710">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B5D4">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1954">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4039">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2B1E2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0C9E">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7C238">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148A">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C37A">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C48D">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1D106">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F47B">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1F2AA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C61A">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C988">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CEA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41FD">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C660">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CA2C">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9E0E">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5033B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1E5FC">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647CBF">
            <w:pPr>
              <w:adjustRightInd w:val="0"/>
              <w:snapToGrid w:val="0"/>
              <w:spacing w:line="600" w:lineRule="exac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E3B1">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8FC81">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478B2">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B48C">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C774">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0F33E2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A623">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1E7BB0">
            <w:pPr>
              <w:adjustRightInd w:val="0"/>
              <w:snapToGrid w:val="0"/>
              <w:spacing w:line="600" w:lineRule="exac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B84E">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715B">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376A">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9366">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D3B6">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83511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556F">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29F651">
            <w:pPr>
              <w:adjustRightInd w:val="0"/>
              <w:snapToGrid w:val="0"/>
              <w:spacing w:line="600" w:lineRule="exac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8DBA">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DE5D">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37E19">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14142">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195D">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A5140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ACBA">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1109F8">
            <w:pPr>
              <w:adjustRightInd w:val="0"/>
              <w:snapToGrid w:val="0"/>
              <w:spacing w:line="600" w:lineRule="exac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0DA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DCE1">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E194">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4644">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BDAB1">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EA6D0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64DD7">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F8801B">
            <w:pPr>
              <w:adjustRightInd w:val="0"/>
              <w:snapToGrid w:val="0"/>
              <w:spacing w:line="600" w:lineRule="exac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DC48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57B7">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266.29</w:t>
            </w: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70FD">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266.29</w:t>
            </w: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8722">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86B1">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F147D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F043">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CC6326">
            <w:pPr>
              <w:adjustRightInd w:val="0"/>
              <w:snapToGrid w:val="0"/>
              <w:spacing w:line="600" w:lineRule="exac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DB12">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EC83">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6,197.98</w:t>
            </w: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E4A2">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6,197.98</w:t>
            </w: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C623">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32B8">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34294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AD6D">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5D60">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72A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1EC7">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2598">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2502">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4B35">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53AFA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E162">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706E">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004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CFA3">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06DB">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8855">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9AA9">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5095D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32A2">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7EAB">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C89C">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7CAE">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B07B">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4A25">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4622">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1AB08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DF2C">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4005">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6F5E">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91B6">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6705">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7911">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CE8B">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39BEA8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4231">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0E5A">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959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4B12">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AD35">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9F3A">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289D7">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EB2B2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31AF">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90D9">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27ED">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7359">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81F9">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4A042">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50D3">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024128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6A1E">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D36AC">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0C738">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E907">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0A10">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4A63">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81B7">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11BEE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C0FF">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7C8D">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A3C9">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D1E7">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8E72">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718E4">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E3FE">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517DE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4772">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D9C3">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4CC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3234">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C244">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D400">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49B0">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A908C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E82C">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7BF0">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44C6">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465A">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64.00</w:t>
            </w: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355D">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64.00</w:t>
            </w: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0408">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941F">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2D4EB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C11D">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7BC2">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198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56D0">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55D0">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DD52">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334C">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ACB74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860B">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312B">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FB6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792D">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3DB2">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E9F9">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C760">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D9F81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D715">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5A29">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0615">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56EA3">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6C2C">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4AF0">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92AE2">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24EDA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31CD">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FC7A">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7BB9">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1209">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526B">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29E6">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AE09">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890BD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F5016F">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AFFC">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AF50">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94C7">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AC52">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4DEC">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15B0">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93BE1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3A1D42">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0620">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DA06">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8F271">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80A4">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DFB4">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3D696">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CBFB0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2BCA3B">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145D">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B111">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6264">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C53A">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81CE">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E48C">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313C0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1E75">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BC9E">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6,528.27</w:t>
            </w:r>
            <w:r>
              <w:rPr>
                <w:rFonts w:ascii="Times New Roman" w:hAnsi="Times New 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2C4C">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3419">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6,528.27</w:t>
            </w: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D58C">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6,528.27</w:t>
            </w: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A8E6">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F05B">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F7789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0FB2">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FC57">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14E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1110">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1B9B">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5A82">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F905">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2753E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B771">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8E63">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FD1855">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6ABEB3">
            <w:pPr>
              <w:adjustRightInd w:val="0"/>
              <w:snapToGrid w:val="0"/>
              <w:spacing w:line="600" w:lineRule="exact"/>
              <w:rPr>
                <w:rFonts w:hint="default" w:ascii="Times New Roman" w:hAnsi="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43C112">
            <w:pPr>
              <w:adjustRightInd w:val="0"/>
              <w:snapToGrid w:val="0"/>
              <w:spacing w:line="600" w:lineRule="exact"/>
              <w:rPr>
                <w:rFonts w:hint="default" w:ascii="Times New Roman" w:hAnsi="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81820D">
            <w:pPr>
              <w:adjustRightInd w:val="0"/>
              <w:snapToGrid w:val="0"/>
              <w:spacing w:line="600" w:lineRule="exact"/>
              <w:rPr>
                <w:rFonts w:hint="default" w:ascii="Times New Roman" w:hAnsi="Times New Roman"/>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D79307">
            <w:pPr>
              <w:adjustRightInd w:val="0"/>
              <w:snapToGrid w:val="0"/>
              <w:spacing w:line="600" w:lineRule="exact"/>
              <w:rPr>
                <w:rFonts w:hint="default" w:ascii="Times New Roman" w:hAnsi="Times New Roman"/>
                <w:color w:val="000000" w:themeColor="text1"/>
                <w:sz w:val="18"/>
                <w:szCs w:val="18"/>
                <w14:textFill>
                  <w14:solidFill>
                    <w14:schemeClr w14:val="tx1"/>
                  </w14:solidFill>
                </w14:textFill>
              </w:rPr>
            </w:pPr>
          </w:p>
        </w:tc>
      </w:tr>
      <w:tr w14:paraId="1E898D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5225">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AA77">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02F8">
            <w:pPr>
              <w:adjustRightInd w:val="0"/>
              <w:snapToGrid w:val="0"/>
              <w:spacing w:line="600" w:lineRule="exact"/>
              <w:jc w:val="center"/>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9FE3A">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99CF">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9622">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6CC5">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r>
      <w:tr w14:paraId="65789D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220F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970E">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EBF9">
            <w:pPr>
              <w:adjustRightInd w:val="0"/>
              <w:snapToGrid w:val="0"/>
              <w:spacing w:line="600" w:lineRule="exact"/>
              <w:jc w:val="center"/>
              <w:rPr>
                <w:rFonts w:hint="default" w:cs="宋体"/>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C1F57">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1326">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3167">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CC57">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r>
      <w:tr w14:paraId="152AA2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71A7">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60174">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6,528.27</w:t>
            </w:r>
            <w:r>
              <w:rPr>
                <w:rFonts w:ascii="Times New Roman" w:hAnsi="Times New Roman"/>
                <w:color w:val="000000" w:themeColor="text1"/>
                <w:sz w:val="18"/>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9C2DB">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78C1">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6,528.27</w:t>
            </w: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4F99">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6,528.27</w:t>
            </w:r>
            <w:r>
              <w:rPr>
                <w:rFonts w:ascii="Times New Roman" w:hAnsi="Times New Roman"/>
                <w:color w:val="000000" w:themeColor="text1"/>
                <w:sz w:val="18"/>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A3D6">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B351">
            <w:pPr>
              <w:wordWrap w:val="0"/>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bl>
    <w:p w14:paraId="01AE8E3F">
      <w:pPr>
        <w:adjustRightInd w:val="0"/>
        <w:snapToGrid w:val="0"/>
        <w:spacing w:line="60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备注：1.本表反映单位本年度一般公共预算财政拨款、政府性基金预算财政拨款及国有资本经营预算财政拨款的总收支和年末结转结余情况。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r>
        <w:rPr>
          <w:rFonts w:cs="宋体"/>
          <w:color w:val="000000" w:themeColor="text1"/>
          <w:sz w:val="21"/>
          <w:szCs w:val="21"/>
          <w14:textFill>
            <w14:solidFill>
              <w14:schemeClr w14:val="tx1"/>
            </w14:solidFill>
          </w14:textFill>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5D5A443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FE59DA6">
            <w:pPr>
              <w:adjustRightInd w:val="0"/>
              <w:snapToGrid w:val="0"/>
              <w:spacing w:line="600" w:lineRule="exact"/>
              <w:jc w:val="center"/>
              <w:textAlignment w:val="bottom"/>
              <w:rPr>
                <w:rFonts w:hint="default" w:cs="宋体"/>
                <w:color w:val="000000" w:themeColor="text1"/>
                <w:sz w:val="32"/>
                <w:szCs w:val="32"/>
                <w14:textFill>
                  <w14:solidFill>
                    <w14:schemeClr w14:val="tx1"/>
                  </w14:solidFill>
                </w14:textFill>
              </w:rPr>
            </w:pPr>
            <w:r>
              <w:rPr>
                <w:rFonts w:cs="宋体"/>
                <w:color w:val="000000" w:themeColor="text1"/>
                <w:sz w:val="32"/>
                <w:szCs w:val="32"/>
                <w14:textFill>
                  <w14:solidFill>
                    <w14:schemeClr w14:val="tx1"/>
                  </w14:solidFill>
                </w14:textFill>
              </w:rPr>
              <w:t>一般公共预算财政拨款支出决算表</w:t>
            </w:r>
          </w:p>
        </w:tc>
      </w:tr>
      <w:tr w14:paraId="3CA6F5D9">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2AE00804">
            <w:pPr>
              <w:adjustRightInd w:val="0"/>
              <w:snapToGrid w:val="0"/>
              <w:spacing w:line="60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丰都县卫生健康委员会（本级）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AB5ECF0">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F575D0B">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05</w:t>
            </w:r>
            <w:r>
              <w:rPr>
                <w:rFonts w:cs="宋体"/>
                <w:color w:val="000000" w:themeColor="text1"/>
                <w:sz w:val="20"/>
                <w:szCs w:val="20"/>
                <w14:textFill>
                  <w14:solidFill>
                    <w14:schemeClr w14:val="tx1"/>
                  </w14:solidFill>
                </w14:textFill>
              </w:rPr>
              <w:t>表</w:t>
            </w:r>
          </w:p>
        </w:tc>
      </w:tr>
      <w:tr w14:paraId="715C7DCC">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782B4DAC">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E2CC741">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9F93EF0">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7273F87A">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FFFC6">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CCEEDC">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本年支出</w:t>
            </w:r>
          </w:p>
        </w:tc>
      </w:tr>
      <w:tr w14:paraId="6FDF0F43">
        <w:tblPrEx>
          <w:tblCellMar>
            <w:top w:w="0" w:type="dxa"/>
            <w:left w:w="0" w:type="dxa"/>
            <w:bottom w:w="0" w:type="dxa"/>
            <w:right w:w="0" w:type="dxa"/>
          </w:tblCellMar>
        </w:tblPrEx>
        <w:trPr>
          <w:trHeight w:val="600"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BF7E1">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34D82">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2FE0E">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91329">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493EB">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项目支出</w:t>
            </w:r>
          </w:p>
        </w:tc>
      </w:tr>
      <w:tr w14:paraId="2254B2A8">
        <w:tblPrEx>
          <w:tblCellMar>
            <w:top w:w="0" w:type="dxa"/>
            <w:left w:w="0" w:type="dxa"/>
            <w:bottom w:w="0" w:type="dxa"/>
            <w:right w:w="0" w:type="dxa"/>
          </w:tblCellMar>
        </w:tblPrEx>
        <w:trPr>
          <w:trHeight w:val="600"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5464D">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9C31F">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7EEFA">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DA48B">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A6F3E">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46D217E9">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D2ED">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39078">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84DFB">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5A992">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9D649">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5A3785F7">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46D83">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ACC3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6,528.27</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AD4D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1,204.60</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E9EC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5,323.67</w:t>
            </w:r>
            <w:r>
              <w:rPr>
                <w:rFonts w:ascii="Times New Roman" w:hAnsi="Times New Roman"/>
                <w:color w:val="000000" w:themeColor="text1"/>
                <w:sz w:val="20"/>
                <w14:textFill>
                  <w14:solidFill>
                    <w14:schemeClr w14:val="tx1"/>
                  </w14:solidFill>
                </w14:textFill>
              </w:rPr>
              <w:t xml:space="preserve"> </w:t>
            </w:r>
          </w:p>
        </w:tc>
      </w:tr>
      <w:tr w14:paraId="38288FC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4F22">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49CE7">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76D3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266.29</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999D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266.29</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FC40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31F18D2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024A">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004AA">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8EC6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266.29</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1751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266.29</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8D05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566816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01B2">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4EC6A">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CBE8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11.98</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F052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11.98</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3F6B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55C229A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8C6D">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D6709">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A1D8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80.91</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8C9B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80.91</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F188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2A92E9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D6D7D">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6FD42">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233C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51.58</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1848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51.58</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3E4A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1F95233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E05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15E66">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CE15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121.83</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DDA0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121.83</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6F0F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779611C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5358A">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46F51">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7D40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6,197.98</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02FC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874.30</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D1B7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5,323.67</w:t>
            </w:r>
            <w:r>
              <w:rPr>
                <w:rFonts w:ascii="Times New Roman" w:hAnsi="Times New Roman"/>
                <w:color w:val="000000" w:themeColor="text1"/>
                <w:sz w:val="20"/>
                <w14:textFill>
                  <w14:solidFill>
                    <w14:schemeClr w14:val="tx1"/>
                  </w14:solidFill>
                </w14:textFill>
              </w:rPr>
              <w:t xml:space="preserve"> </w:t>
            </w:r>
          </w:p>
        </w:tc>
      </w:tr>
      <w:tr w14:paraId="125B565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E7C4">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51985">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卫生健康管理事务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7E9B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1,156.31</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18AF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717.23</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59FF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439.08</w:t>
            </w:r>
            <w:r>
              <w:rPr>
                <w:rFonts w:ascii="Times New Roman" w:hAnsi="Times New Roman"/>
                <w:color w:val="000000" w:themeColor="text1"/>
                <w:sz w:val="20"/>
                <w14:textFill>
                  <w14:solidFill>
                    <w14:schemeClr w14:val="tx1"/>
                  </w14:solidFill>
                </w14:textFill>
              </w:rPr>
              <w:t xml:space="preserve"> </w:t>
            </w:r>
          </w:p>
        </w:tc>
      </w:tr>
      <w:tr w14:paraId="075F8C2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D51D">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C09AE">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FB86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703.03</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FE9A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703.03</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F6E7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7EB54DC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6B98">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AFA4A">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其他卫生健康管理事务支出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2D37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453.28</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4F88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14.21</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74AF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439.08</w:t>
            </w:r>
            <w:r>
              <w:rPr>
                <w:rFonts w:ascii="Times New Roman" w:hAnsi="Times New Roman"/>
                <w:color w:val="000000" w:themeColor="text1"/>
                <w:sz w:val="20"/>
                <w14:textFill>
                  <w14:solidFill>
                    <w14:schemeClr w14:val="tx1"/>
                  </w14:solidFill>
                </w14:textFill>
              </w:rPr>
              <w:t xml:space="preserve"> </w:t>
            </w:r>
          </w:p>
        </w:tc>
      </w:tr>
      <w:tr w14:paraId="236608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CEFB">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299B0">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基层医疗卫生机构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DEE7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849.61</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D032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89.78</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D07B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759.82</w:t>
            </w:r>
            <w:r>
              <w:rPr>
                <w:rFonts w:ascii="Times New Roman" w:hAnsi="Times New Roman"/>
                <w:color w:val="000000" w:themeColor="text1"/>
                <w:sz w:val="20"/>
                <w14:textFill>
                  <w14:solidFill>
                    <w14:schemeClr w14:val="tx1"/>
                  </w14:solidFill>
                </w14:textFill>
              </w:rPr>
              <w:t xml:space="preserve"> </w:t>
            </w:r>
          </w:p>
        </w:tc>
      </w:tr>
      <w:tr w14:paraId="00A2BD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16A5">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A539A">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乡镇卫生院</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2409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89.78</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AE25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89.78</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7CC9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264A4CF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C0D8">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667CB">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其他基层医疗卫生机构支出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6745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759.82</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C99B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D583B">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759.82</w:t>
            </w:r>
            <w:r>
              <w:rPr>
                <w:rFonts w:ascii="Times New Roman" w:hAnsi="Times New Roman"/>
                <w:color w:val="000000" w:themeColor="text1"/>
                <w:sz w:val="20"/>
                <w14:textFill>
                  <w14:solidFill>
                    <w14:schemeClr w14:val="tx1"/>
                  </w14:solidFill>
                </w14:textFill>
              </w:rPr>
              <w:t xml:space="preserve"> </w:t>
            </w:r>
          </w:p>
        </w:tc>
      </w:tr>
      <w:tr w14:paraId="44400B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4A2D">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F9E74">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45E9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308.73</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0F4C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032D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308.73</w:t>
            </w:r>
            <w:r>
              <w:rPr>
                <w:rFonts w:ascii="Times New Roman" w:hAnsi="Times New Roman"/>
                <w:color w:val="000000" w:themeColor="text1"/>
                <w:sz w:val="20"/>
                <w14:textFill>
                  <w14:solidFill>
                    <w14:schemeClr w14:val="tx1"/>
                  </w14:solidFill>
                </w14:textFill>
              </w:rPr>
              <w:t xml:space="preserve"> </w:t>
            </w:r>
          </w:p>
        </w:tc>
      </w:tr>
      <w:tr w14:paraId="0A840D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F1EC">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9B405">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15D8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68.00</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4BD1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1890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68.00</w:t>
            </w:r>
            <w:r>
              <w:rPr>
                <w:rFonts w:ascii="Times New Roman" w:hAnsi="Times New Roman"/>
                <w:color w:val="000000" w:themeColor="text1"/>
                <w:sz w:val="20"/>
                <w14:textFill>
                  <w14:solidFill>
                    <w14:schemeClr w14:val="tx1"/>
                  </w14:solidFill>
                </w14:textFill>
              </w:rPr>
              <w:t xml:space="preserve"> </w:t>
            </w:r>
          </w:p>
        </w:tc>
      </w:tr>
      <w:tr w14:paraId="356369B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585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8D9DE">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重大公共卫生服务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4626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225.00</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0282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46DA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225.00</w:t>
            </w:r>
            <w:r>
              <w:rPr>
                <w:rFonts w:ascii="Times New Roman" w:hAnsi="Times New Roman"/>
                <w:color w:val="000000" w:themeColor="text1"/>
                <w:sz w:val="20"/>
                <w14:textFill>
                  <w14:solidFill>
                    <w14:schemeClr w14:val="tx1"/>
                  </w14:solidFill>
                </w14:textFill>
              </w:rPr>
              <w:t xml:space="preserve"> </w:t>
            </w:r>
          </w:p>
        </w:tc>
      </w:tr>
      <w:tr w14:paraId="05B238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0F2C">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2100499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7AB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其他公共卫生支出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E3EA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15.73</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83A3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E800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15.73</w:t>
            </w:r>
            <w:r>
              <w:rPr>
                <w:rFonts w:ascii="Times New Roman" w:hAnsi="Times New Roman"/>
                <w:color w:val="000000" w:themeColor="text1"/>
                <w:sz w:val="20"/>
                <w14:textFill>
                  <w14:solidFill>
                    <w14:schemeClr w14:val="tx1"/>
                  </w14:solidFill>
                </w14:textFill>
              </w:rPr>
              <w:t xml:space="preserve"> </w:t>
            </w:r>
          </w:p>
        </w:tc>
      </w:tr>
      <w:tr w14:paraId="7688AA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FCAC">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ADB91">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计划生育事务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BF66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3,816.05</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357E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6309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3,816.05</w:t>
            </w:r>
            <w:r>
              <w:rPr>
                <w:rFonts w:ascii="Times New Roman" w:hAnsi="Times New Roman"/>
                <w:color w:val="000000" w:themeColor="text1"/>
                <w:sz w:val="20"/>
                <w14:textFill>
                  <w14:solidFill>
                    <w14:schemeClr w14:val="tx1"/>
                  </w14:solidFill>
                </w14:textFill>
              </w:rPr>
              <w:t xml:space="preserve"> </w:t>
            </w:r>
          </w:p>
        </w:tc>
      </w:tr>
      <w:tr w14:paraId="1C674B3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EF4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2100717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9128D">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计划生育服务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93FB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3,816.05</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B709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ECB4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3,816.05</w:t>
            </w:r>
            <w:r>
              <w:rPr>
                <w:rFonts w:ascii="Times New Roman" w:hAnsi="Times New Roman"/>
                <w:color w:val="000000" w:themeColor="text1"/>
                <w:sz w:val="20"/>
                <w14:textFill>
                  <w14:solidFill>
                    <w14:schemeClr w14:val="tx1"/>
                  </w14:solidFill>
                </w14:textFill>
              </w:rPr>
              <w:t xml:space="preserve"> </w:t>
            </w:r>
          </w:p>
        </w:tc>
      </w:tr>
      <w:tr w14:paraId="5DC6F28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4D30">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6DBBD">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3BF1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67.29</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C2E0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67.29</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2AA0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4B78CF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391E9">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F284E">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21FE5">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40.76</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21C4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40.76</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45AF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019AA1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E6078">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B6089">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839C2">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26.53</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AAFD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26.53</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7E96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252088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7F93">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2C1A9">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47DF4">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2F8B8">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3CF8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1EF0AE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2CB5">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55F1A">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B5FD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80F59">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3A48F">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15C8A9B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89C0">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44409">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80E4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F10D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64.00</w:t>
            </w:r>
            <w:r>
              <w:rPr>
                <w:rFonts w:ascii="Times New Roman" w:hAnsi="Times New Roman"/>
                <w:color w:val="000000" w:themeColor="text1"/>
                <w:sz w:val="20"/>
                <w14:textFill>
                  <w14:solidFill>
                    <w14:schemeClr w14:val="tx1"/>
                  </w14:solidFill>
                </w14:textFill>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1415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bl>
    <w:p w14:paraId="15BBE57F">
      <w:pPr>
        <w:adjustRightInd w:val="0"/>
        <w:snapToGrid w:val="0"/>
        <w:spacing w:line="600" w:lineRule="exact"/>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备注：1.本表反映单位本年度一般公共预算财政拨款支出情况。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14:paraId="738E6E8A">
      <w:pPr>
        <w:adjustRightInd w:val="0"/>
        <w:snapToGrid w:val="0"/>
        <w:spacing w:line="600" w:lineRule="exact"/>
        <w:ind w:firstLine="630" w:firstLineChars="300"/>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7C8F712B">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5A95B06">
            <w:pPr>
              <w:adjustRightInd w:val="0"/>
              <w:snapToGrid w:val="0"/>
              <w:spacing w:line="600" w:lineRule="exact"/>
              <w:jc w:val="center"/>
              <w:textAlignment w:val="bottom"/>
              <w:rPr>
                <w:rFonts w:hint="default" w:cs="宋体"/>
                <w:color w:val="000000" w:themeColor="text1"/>
                <w:sz w:val="32"/>
                <w:szCs w:val="32"/>
                <w14:textFill>
                  <w14:solidFill>
                    <w14:schemeClr w14:val="tx1"/>
                  </w14:solidFill>
                </w14:textFill>
              </w:rPr>
            </w:pPr>
            <w:r>
              <w:rPr>
                <w:rFonts w:cs="宋体"/>
                <w:color w:val="000000" w:themeColor="text1"/>
                <w:sz w:val="32"/>
                <w:szCs w:val="32"/>
                <w14:textFill>
                  <w14:solidFill>
                    <w14:schemeClr w14:val="tx1"/>
                  </w14:solidFill>
                </w14:textFill>
              </w:rPr>
              <w:t>一般公共预算财政拨款基本支出决算表</w:t>
            </w:r>
          </w:p>
        </w:tc>
      </w:tr>
      <w:tr w14:paraId="4CD8F9E6">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CA01F15">
            <w:pPr>
              <w:adjustRightInd w:val="0"/>
              <w:snapToGrid w:val="0"/>
              <w:spacing w:line="600" w:lineRule="exact"/>
              <w:rPr>
                <w:rFonts w:hint="default" w:cs="宋体"/>
                <w:color w:val="000000" w:themeColor="text1"/>
                <w:sz w:val="18"/>
                <w:szCs w:val="18"/>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丰都县卫生健康委员会（本级）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322EE5D1">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97C01F6">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30C28AC">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A36C83E">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06</w:t>
            </w:r>
            <w:r>
              <w:rPr>
                <w:rFonts w:cs="宋体"/>
                <w:color w:val="000000" w:themeColor="text1"/>
                <w:sz w:val="20"/>
                <w:szCs w:val="20"/>
                <w14:textFill>
                  <w14:solidFill>
                    <w14:schemeClr w14:val="tx1"/>
                  </w14:solidFill>
                </w14:textFill>
              </w:rPr>
              <w:t>表</w:t>
            </w:r>
          </w:p>
        </w:tc>
      </w:tr>
      <w:tr w14:paraId="78690919">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138484B">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0437B60">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6FBFB5F">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1CC5387">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7F794E9">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614697D2">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247B">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BC8B09B">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公用经费</w:t>
            </w:r>
          </w:p>
        </w:tc>
      </w:tr>
      <w:tr w14:paraId="71F5F79C">
        <w:tblPrEx>
          <w:tblCellMar>
            <w:top w:w="0" w:type="dxa"/>
            <w:left w:w="0" w:type="dxa"/>
            <w:bottom w:w="0" w:type="dxa"/>
            <w:right w:w="0" w:type="dxa"/>
          </w:tblCellMar>
        </w:tblPrEx>
        <w:trPr>
          <w:trHeight w:val="600"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0C1B7">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9B94A">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5C5B7">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AA233">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42F09">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3F93B">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551B">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E3D08">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6EB44">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金额</w:t>
            </w:r>
          </w:p>
        </w:tc>
      </w:tr>
      <w:tr w14:paraId="6BA317AD">
        <w:tblPrEx>
          <w:tblCellMar>
            <w:top w:w="0" w:type="dxa"/>
            <w:left w:w="0" w:type="dxa"/>
            <w:bottom w:w="0" w:type="dxa"/>
            <w:right w:w="0" w:type="dxa"/>
          </w:tblCellMar>
        </w:tblPrEx>
        <w:trPr>
          <w:trHeight w:val="600"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D367C">
            <w:pPr>
              <w:adjustRightInd w:val="0"/>
              <w:snapToGrid w:val="0"/>
              <w:spacing w:line="600" w:lineRule="exact"/>
              <w:jc w:val="center"/>
              <w:rPr>
                <w:rFonts w:hint="default" w:cs="宋体"/>
                <w:color w:val="000000" w:themeColor="text1"/>
                <w:sz w:val="18"/>
                <w:szCs w:val="18"/>
                <w14:textFill>
                  <w14:solidFill>
                    <w14:schemeClr w14:val="tx1"/>
                  </w14:solidFill>
                </w14:textFill>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91813">
            <w:pPr>
              <w:adjustRightInd w:val="0"/>
              <w:snapToGrid w:val="0"/>
              <w:spacing w:line="600" w:lineRule="exact"/>
              <w:jc w:val="center"/>
              <w:rPr>
                <w:rFonts w:hint="default" w:cs="宋体"/>
                <w:color w:val="000000" w:themeColor="text1"/>
                <w:sz w:val="18"/>
                <w:szCs w:val="18"/>
                <w14:textFill>
                  <w14:solidFill>
                    <w14:schemeClr w14:val="tx1"/>
                  </w14:solidFill>
                </w14:textFill>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0CB32">
            <w:pPr>
              <w:adjustRightInd w:val="0"/>
              <w:snapToGrid w:val="0"/>
              <w:spacing w:line="600" w:lineRule="exact"/>
              <w:jc w:val="center"/>
              <w:rPr>
                <w:rFonts w:hint="default" w:cs="宋体"/>
                <w:color w:val="000000" w:themeColor="text1"/>
                <w:sz w:val="18"/>
                <w:szCs w:val="18"/>
                <w14:textFill>
                  <w14:solidFill>
                    <w14:schemeClr w14:val="tx1"/>
                  </w14:solidFill>
                </w14:textFill>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7A5B9">
            <w:pPr>
              <w:adjustRightInd w:val="0"/>
              <w:snapToGrid w:val="0"/>
              <w:spacing w:line="600" w:lineRule="exact"/>
              <w:jc w:val="center"/>
              <w:rPr>
                <w:rFonts w:hint="default" w:cs="宋体"/>
                <w:color w:val="000000" w:themeColor="text1"/>
                <w:sz w:val="18"/>
                <w:szCs w:val="18"/>
                <w14:textFill>
                  <w14:solidFill>
                    <w14:schemeClr w14:val="tx1"/>
                  </w14:solidFill>
                </w14:textFill>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2E2B5">
            <w:pPr>
              <w:adjustRightInd w:val="0"/>
              <w:snapToGrid w:val="0"/>
              <w:spacing w:line="600" w:lineRule="exact"/>
              <w:jc w:val="center"/>
              <w:rPr>
                <w:rFonts w:hint="default" w:cs="宋体"/>
                <w:color w:val="000000" w:themeColor="text1"/>
                <w:sz w:val="18"/>
                <w:szCs w:val="18"/>
                <w14:textFill>
                  <w14:solidFill>
                    <w14:schemeClr w14:val="tx1"/>
                  </w14:solidFill>
                </w14:textFill>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3BA01">
            <w:pPr>
              <w:adjustRightInd w:val="0"/>
              <w:snapToGrid w:val="0"/>
              <w:spacing w:line="600" w:lineRule="exact"/>
              <w:jc w:val="center"/>
              <w:rPr>
                <w:rFonts w:hint="default" w:cs="宋体"/>
                <w:color w:val="000000" w:themeColor="text1"/>
                <w:sz w:val="18"/>
                <w:szCs w:val="18"/>
                <w14:textFill>
                  <w14:solidFill>
                    <w14:schemeClr w14:val="tx1"/>
                  </w14:solidFill>
                </w14:textFill>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C447E">
            <w:pPr>
              <w:adjustRightInd w:val="0"/>
              <w:snapToGrid w:val="0"/>
              <w:spacing w:line="600" w:lineRule="exact"/>
              <w:jc w:val="center"/>
              <w:rPr>
                <w:rFonts w:hint="default" w:cs="宋体"/>
                <w:color w:val="000000" w:themeColor="text1"/>
                <w:sz w:val="18"/>
                <w:szCs w:val="18"/>
                <w14:textFill>
                  <w14:solidFill>
                    <w14:schemeClr w14:val="tx1"/>
                  </w14:solidFill>
                </w14:textFill>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B1649">
            <w:pPr>
              <w:adjustRightInd w:val="0"/>
              <w:snapToGrid w:val="0"/>
              <w:spacing w:line="600" w:lineRule="exact"/>
              <w:jc w:val="center"/>
              <w:rPr>
                <w:rFonts w:hint="default" w:cs="宋体"/>
                <w:color w:val="000000" w:themeColor="text1"/>
                <w:sz w:val="18"/>
                <w:szCs w:val="18"/>
                <w14:textFill>
                  <w14:solidFill>
                    <w14:schemeClr w14:val="tx1"/>
                  </w14:solidFill>
                </w14:textFill>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79D98">
            <w:pPr>
              <w:adjustRightInd w:val="0"/>
              <w:snapToGrid w:val="0"/>
              <w:spacing w:line="600" w:lineRule="exact"/>
              <w:jc w:val="center"/>
              <w:rPr>
                <w:rFonts w:hint="default" w:cs="宋体"/>
                <w:color w:val="000000" w:themeColor="text1"/>
                <w:sz w:val="18"/>
                <w:szCs w:val="18"/>
                <w14:textFill>
                  <w14:solidFill>
                    <w14:schemeClr w14:val="tx1"/>
                  </w14:solidFill>
                </w14:textFill>
              </w:rPr>
            </w:pPr>
          </w:p>
        </w:tc>
      </w:tr>
      <w:tr w14:paraId="170B7E2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921D">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C3B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020F">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862.33</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6E0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2BD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E187">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187.77</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E82C">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871B">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2AFD">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2.88</w:t>
            </w:r>
            <w:r>
              <w:rPr>
                <w:rFonts w:ascii="Times New Roman" w:hAnsi="Times New Roman"/>
                <w:color w:val="000000" w:themeColor="text1"/>
                <w:sz w:val="18"/>
                <w14:textFill>
                  <w14:solidFill>
                    <w14:schemeClr w14:val="tx1"/>
                  </w14:solidFill>
                </w14:textFill>
              </w:rPr>
              <w:t xml:space="preserve"> </w:t>
            </w:r>
          </w:p>
        </w:tc>
      </w:tr>
      <w:tr w14:paraId="66A2966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C55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62B8">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9224">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207.47</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79A5">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40B6">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739B">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7.77</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F10C">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8B2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3E50">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378E58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058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097E">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1AA5">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133.55</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7762">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CB32">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ABD7">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2.12</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B493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EC0E">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30ED">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2.88</w:t>
            </w:r>
            <w:r>
              <w:rPr>
                <w:rFonts w:ascii="Times New Roman" w:hAnsi="Times New Roman"/>
                <w:color w:val="000000" w:themeColor="text1"/>
                <w:sz w:val="18"/>
                <w14:textFill>
                  <w14:solidFill>
                    <w14:schemeClr w14:val="tx1"/>
                  </w14:solidFill>
                </w14:textFill>
              </w:rPr>
              <w:t xml:space="preserve"> </w:t>
            </w:r>
          </w:p>
        </w:tc>
      </w:tr>
      <w:tr w14:paraId="38E8681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7D5D">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19AE">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3246">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248.85</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D71B">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83A8">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C822">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1959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DD5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1AD5">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8BD1A1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4A18">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750C">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3BB3">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B4B8">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3759">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3D67">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741B">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7AC2">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7937">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9C1CE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6DB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D8C0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58D1">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DA20">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E9B9">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5C84">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0.71</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DA79">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4E2A">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DBFA8">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FB4E5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4B6A">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67C5">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A103">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87.01</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568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A83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0C44">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1.57</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AEFA6">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9821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C447">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6BD9A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784E">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DE65">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86DF">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54.63</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CF9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86C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7587">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10.49</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725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C2C6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4CDC">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30C93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8546">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86D5">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1F04">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41.84</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26BA">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53AD">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5373">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F9DD">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D10F1">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A2EB6">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13498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378C">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6B41">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D674">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3EA0">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F6C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4829">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C6D2">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4BD99">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401D">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FC613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30A1">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E6DB0">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8C7A">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12.59</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2A05">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DB21">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8A8F">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6.95</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C4D6">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203B">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660F">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E940F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B041">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92A8">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4526">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67.18</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05E9">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40FB">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5526">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EFD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6D90">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F5F8B">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A2C891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F36B">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4AC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25C0">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9.20</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7DB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688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44B0">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0.75</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4EB0">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D7CE">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E0765">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6D7A2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1D4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4921">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B026">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816A">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FCE9">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8CFD">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C8E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12A5A">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4744">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30073E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EA85">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8DE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6C29">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151.62</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B4C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4A5A">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8EEB">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0.31</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C9B5">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EA56">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7CF3">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B221E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A3D2">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C1A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9FAE">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9B0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88B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0AB2C">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0.47</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E250">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5329">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FB53">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86B1C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82D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96EB">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BA488">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23C0">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29A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C3D1">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1.97</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E3DB">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1EEC2">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154B">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94442F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A80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3973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977E">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1DDD">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A96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F48C">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0CB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6EB1">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71D1">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398962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24B0">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1C09">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4BFC">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092E">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6D4E">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14C93">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8B2C">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5DAB">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AADA">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9ED58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7D86">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EC8C">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95DA">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136.72</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A33C">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B2D5">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412D">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B741">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559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CF3C9">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EE7A1F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D73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F436E">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0A51">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0B8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0B1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6973">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40.16</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8A3C">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FC5C">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5AA4">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5ECDA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121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AFA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2E6A">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14.90</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D3BA">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E0B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947B">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3C6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BA3DE">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EAEF8">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8E736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B5A6">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65B31">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F6F2">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0A70">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5B64B">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B440">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37.19</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AF7C">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1F51D">
            <w:pPr>
              <w:adjustRightInd w:val="0"/>
              <w:snapToGrid w:val="0"/>
              <w:spacing w:line="600" w:lineRule="exact"/>
              <w:ind w:firstLine="180" w:firstLineChars="100"/>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90A3">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33F03A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FF3A">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B57A">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2D41">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0.01</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F0D6">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6899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5FA9">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A0F6">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5DDE">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990F">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D16C5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DEE9">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3872">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D676">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C8BD">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27EA">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FD63">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CA3C">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55D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2930">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87CF4D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63312">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65F5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C209">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3882">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8F12">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DFF4">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32.44</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C56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6895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FDCEA">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449BEB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34A3">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EEB6">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2026B">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BF18">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C1DB">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BD63">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823B2">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E05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7BAD">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88017F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CCC3">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FAF5">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45B871">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399E">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702B">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E621A">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44.89</w:t>
            </w: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EAD6">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7BE2">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1697">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3CC0153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CC90">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0796">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8EC596">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141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B395">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763A">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93E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72F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A685">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04A187D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4C1B">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AEBE">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D53FFC">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064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CFC7">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2B7F">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5E14">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61CD">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F2989">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CCB8F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2AAF">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7E3F">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1A2B4">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9D9A">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4BC2">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CB74">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0261">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3F2C">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2596">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r>
      <w:tr w14:paraId="19C3B7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AFE05">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EA36">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D97A9C">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255F">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2BDBD">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AD8A">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C7E5">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65BCE">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C9E4">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r>
      <w:tr w14:paraId="7EA0213B">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246B">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ED12">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62A8AF">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2AE0">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84B4D">
            <w:pPr>
              <w:adjustRightInd w:val="0"/>
              <w:snapToGrid w:val="0"/>
              <w:spacing w:line="600" w:lineRule="exact"/>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51E7">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2606">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DC88">
            <w:pPr>
              <w:adjustRightInd w:val="0"/>
              <w:snapToGrid w:val="0"/>
              <w:spacing w:line="600" w:lineRule="exact"/>
              <w:rPr>
                <w:rFonts w:hint="default" w:cs="宋体"/>
                <w:color w:val="000000" w:themeColor="text1"/>
                <w:sz w:val="18"/>
                <w:szCs w:val="18"/>
                <w14:textFill>
                  <w14:solidFill>
                    <w14:schemeClr w14:val="tx1"/>
                  </w14:solidFill>
                </w14:textFill>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ECDA">
            <w:pPr>
              <w:adjustRightInd w:val="0"/>
              <w:snapToGrid w:val="0"/>
              <w:spacing w:line="600" w:lineRule="exact"/>
              <w:jc w:val="right"/>
              <w:rPr>
                <w:rFonts w:hint="default" w:ascii="Times New Roman" w:hAnsi="Times New Roman"/>
                <w:color w:val="000000" w:themeColor="text1"/>
                <w:sz w:val="18"/>
                <w:szCs w:val="18"/>
                <w14:textFill>
                  <w14:solidFill>
                    <w14:schemeClr w14:val="tx1"/>
                  </w14:solidFill>
                </w14:textFill>
              </w:rPr>
            </w:pPr>
          </w:p>
        </w:tc>
      </w:tr>
      <w:tr w14:paraId="7DF5E550">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9656">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170C53">
            <w:pPr>
              <w:adjustRightInd w:val="0"/>
              <w:snapToGrid w:val="0"/>
              <w:spacing w:line="600" w:lineRule="exact"/>
              <w:jc w:val="right"/>
              <w:textAlignment w:val="bottom"/>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1,013.95</w:t>
            </w:r>
            <w:r>
              <w:rPr>
                <w:rFonts w:ascii="Times New Roman" w:hAnsi="Times New Roman"/>
                <w:color w:val="000000" w:themeColor="text1"/>
                <w:sz w:val="18"/>
                <w14:textFill>
                  <w14:solidFill>
                    <w14:schemeClr w14:val="tx1"/>
                  </w14:solidFill>
                </w14:textFill>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A9A7E">
            <w:pPr>
              <w:adjustRightInd w:val="0"/>
              <w:snapToGrid w:val="0"/>
              <w:spacing w:line="600" w:lineRule="exact"/>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73AC6">
            <w:pPr>
              <w:adjustRightInd w:val="0"/>
              <w:snapToGrid w:val="0"/>
              <w:spacing w:line="600" w:lineRule="exact"/>
              <w:jc w:val="right"/>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190.65</w:t>
            </w:r>
            <w:r>
              <w:rPr>
                <w:rFonts w:ascii="Times New Roman" w:hAnsi="Times New Roman"/>
                <w:color w:val="000000" w:themeColor="text1"/>
                <w:sz w:val="18"/>
                <w14:textFill>
                  <w14:solidFill>
                    <w14:schemeClr w14:val="tx1"/>
                  </w14:solidFill>
                </w14:textFill>
              </w:rPr>
              <w:t xml:space="preserve"> </w:t>
            </w:r>
          </w:p>
        </w:tc>
      </w:tr>
    </w:tbl>
    <w:p w14:paraId="1145FC8A">
      <w:pPr>
        <w:adjustRightInd w:val="0"/>
        <w:snapToGrid w:val="0"/>
        <w:spacing w:line="60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备注：1.本表反映单位本年度一般公共预算财政拨款基本支出明细情况。</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t xml:space="preserve">      2.本套报表金额单位转换时可能存在尾数误差。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r>
        <w:rPr>
          <w:rFonts w:cs="宋体"/>
          <w:color w:val="000000" w:themeColor="text1"/>
          <w:sz w:val="21"/>
          <w:szCs w:val="21"/>
          <w14:textFill>
            <w14:solidFill>
              <w14:schemeClr w14:val="tx1"/>
            </w14:solidFill>
          </w14:textFill>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64F4CC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9AA62FE">
            <w:pPr>
              <w:adjustRightInd w:val="0"/>
              <w:snapToGrid w:val="0"/>
              <w:spacing w:line="600" w:lineRule="exact"/>
              <w:jc w:val="center"/>
              <w:textAlignment w:val="bottom"/>
              <w:rPr>
                <w:rFonts w:hint="default" w:cs="宋体"/>
                <w:color w:val="000000" w:themeColor="text1"/>
                <w:sz w:val="32"/>
                <w:szCs w:val="32"/>
                <w14:textFill>
                  <w14:solidFill>
                    <w14:schemeClr w14:val="tx1"/>
                  </w14:solidFill>
                </w14:textFill>
              </w:rPr>
            </w:pPr>
            <w:r>
              <w:rPr>
                <w:rFonts w:cs="宋体"/>
                <w:color w:val="000000" w:themeColor="text1"/>
                <w:sz w:val="32"/>
                <w:szCs w:val="32"/>
                <w14:textFill>
                  <w14:solidFill>
                    <w14:schemeClr w14:val="tx1"/>
                  </w14:solidFill>
                </w14:textFill>
              </w:rPr>
              <w:t>政府性基金预算财政拨款收入支出决算表</w:t>
            </w:r>
          </w:p>
        </w:tc>
      </w:tr>
      <w:tr w14:paraId="0216297B">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24FDF0F">
            <w:pPr>
              <w:adjustRightInd w:val="0"/>
              <w:snapToGrid w:val="0"/>
              <w:spacing w:line="60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丰都县卫生健康委员会（本级）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7FF54C44">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8C1287">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B65923">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1067FE3">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2F63E8F">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07</w:t>
            </w:r>
            <w:r>
              <w:rPr>
                <w:rFonts w:cs="宋体"/>
                <w:color w:val="000000" w:themeColor="text1"/>
                <w:sz w:val="20"/>
                <w:szCs w:val="20"/>
                <w14:textFill>
                  <w14:solidFill>
                    <w14:schemeClr w14:val="tx1"/>
                  </w14:solidFill>
                </w14:textFill>
              </w:rPr>
              <w:t>表</w:t>
            </w:r>
          </w:p>
        </w:tc>
      </w:tr>
      <w:tr w14:paraId="45DF1F77">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1437559C">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34366D">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24A321">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AD5187">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46A9723">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A4F5BF4">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4750B2D7">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EEBE8">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3EB1F3">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58F9">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9BD520">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1199">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年末结转和结余</w:t>
            </w:r>
          </w:p>
        </w:tc>
      </w:tr>
      <w:tr w14:paraId="3E96F33D">
        <w:tblPrEx>
          <w:tblCellMar>
            <w:top w:w="0" w:type="dxa"/>
            <w:left w:w="0" w:type="dxa"/>
            <w:bottom w:w="0" w:type="dxa"/>
            <w:right w:w="0" w:type="dxa"/>
          </w:tblCellMar>
        </w:tblPrEx>
        <w:trPr>
          <w:trHeight w:val="600"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00DCC">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8F4AB">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9BAF9D">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C3FE4">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55F32">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F9ED2">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9DDF4">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DDFA3">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1EDB307C">
        <w:tblPrEx>
          <w:tblCellMar>
            <w:top w:w="0" w:type="dxa"/>
            <w:left w:w="0" w:type="dxa"/>
            <w:bottom w:w="0" w:type="dxa"/>
            <w:right w:w="0" w:type="dxa"/>
          </w:tblCellMar>
        </w:tblPrEx>
        <w:trPr>
          <w:trHeight w:val="600"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149D">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3CEC0">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FDCE15">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65834">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3FCF6">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24DEC">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E3425">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761F4">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7ECE486C">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006AC">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28B9E">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FB851F">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8C710">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9A781">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264EB">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416A9">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567B6">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6FC2C923">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8952A">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50AFD">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E0A7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474C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C6AE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93443">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E4A1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45F26CAB">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D8F1">
            <w:pPr>
              <w:adjustRightInd w:val="0"/>
              <w:snapToGrid w:val="0"/>
              <w:spacing w:line="600" w:lineRule="exact"/>
              <w:jc w:val="both"/>
              <w:textAlignment w:val="center"/>
              <w:rPr>
                <w:rFonts w:hint="default" w:cs="宋体"/>
                <w:color w:val="000000" w:themeColor="text1"/>
                <w:sz w:val="20"/>
                <w:szCs w:val="20"/>
                <w14:textFill>
                  <w14:solidFill>
                    <w14:schemeClr w14:val="tx1"/>
                  </w14:solidFill>
                </w14:textFill>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5810F">
            <w:pPr>
              <w:adjustRightInd w:val="0"/>
              <w:snapToGrid w:val="0"/>
              <w:spacing w:line="600" w:lineRule="exact"/>
              <w:jc w:val="both"/>
              <w:textAlignment w:val="center"/>
              <w:rPr>
                <w:rFonts w:hint="default" w:cs="宋体"/>
                <w:color w:val="000000" w:themeColor="text1"/>
                <w:sz w:val="20"/>
                <w:szCs w:val="20"/>
                <w14:textFill>
                  <w14:solidFill>
                    <w14:schemeClr w14:val="tx1"/>
                  </w14:solidFill>
                </w14:textFill>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30A30">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4D8E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324A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A14AE">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24DC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D5D46">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bl>
    <w:p w14:paraId="051BE8D0">
      <w:pPr>
        <w:adjustRightInd w:val="0"/>
        <w:snapToGrid w:val="0"/>
        <w:spacing w:line="600" w:lineRule="exact"/>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备注：本表反映单位本年度政府性基金预算财政拨款收入支出及结转和结余情况。本单位无政府性基金收支，故本表无数据。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14:paraId="53EBB274">
      <w:pPr>
        <w:adjustRightInd w:val="0"/>
        <w:snapToGrid w:val="0"/>
        <w:spacing w:line="600" w:lineRule="exact"/>
        <w:rPr>
          <w:rFonts w:hint="default"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3FB656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985F735">
            <w:pPr>
              <w:adjustRightInd w:val="0"/>
              <w:snapToGrid w:val="0"/>
              <w:spacing w:line="600" w:lineRule="exact"/>
              <w:jc w:val="center"/>
              <w:textAlignment w:val="bottom"/>
              <w:rPr>
                <w:rFonts w:hint="default" w:cs="宋体"/>
                <w:color w:val="000000" w:themeColor="text1"/>
                <w:sz w:val="32"/>
                <w:szCs w:val="32"/>
                <w14:textFill>
                  <w14:solidFill>
                    <w14:schemeClr w14:val="tx1"/>
                  </w14:solidFill>
                </w14:textFill>
              </w:rPr>
            </w:pPr>
            <w:r>
              <w:rPr>
                <w:rFonts w:cs="宋体"/>
                <w:color w:val="000000" w:themeColor="text1"/>
                <w:sz w:val="32"/>
                <w:szCs w:val="32"/>
                <w14:textFill>
                  <w14:solidFill>
                    <w14:schemeClr w14:val="tx1"/>
                  </w14:solidFill>
                </w14:textFill>
              </w:rPr>
              <w:t>国有资本经营预算财政拨款支出决算表</w:t>
            </w:r>
          </w:p>
        </w:tc>
      </w:tr>
      <w:tr w14:paraId="6DDD2BD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A5B53E0">
            <w:pPr>
              <w:adjustRightInd w:val="0"/>
              <w:snapToGrid w:val="0"/>
              <w:spacing w:line="60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w:t>
            </w:r>
            <w:r>
              <w:rPr>
                <w:color w:val="000000" w:themeColor="text1"/>
                <w:sz w:val="20"/>
                <w14:textFill>
                  <w14:solidFill>
                    <w14:schemeClr w14:val="tx1"/>
                  </w14:solidFill>
                </w14:textFill>
              </w:rPr>
              <w:t>丰都县卫生健康委员会（本级）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F1DE520">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4DA554D">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公开</w:t>
            </w:r>
            <w:r>
              <w:rPr>
                <w:rFonts w:hint="default" w:ascii="Times New Roman" w:hAnsi="Times New Roman"/>
                <w:color w:val="000000" w:themeColor="text1"/>
                <w:sz w:val="20"/>
                <w:szCs w:val="20"/>
                <w14:textFill>
                  <w14:solidFill>
                    <w14:schemeClr w14:val="tx1"/>
                  </w14:solidFill>
                </w14:textFill>
              </w:rPr>
              <w:t>08</w:t>
            </w:r>
            <w:r>
              <w:rPr>
                <w:rFonts w:cs="宋体"/>
                <w:color w:val="000000" w:themeColor="text1"/>
                <w:sz w:val="20"/>
                <w:szCs w:val="20"/>
                <w14:textFill>
                  <w14:solidFill>
                    <w14:schemeClr w14:val="tx1"/>
                  </w14:solidFill>
                </w14:textFill>
              </w:rPr>
              <w:t>表</w:t>
            </w:r>
          </w:p>
        </w:tc>
      </w:tr>
      <w:tr w14:paraId="14627190">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3C70016">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F3F2749">
            <w:pPr>
              <w:adjustRightInd w:val="0"/>
              <w:snapToGrid w:val="0"/>
              <w:spacing w:line="600" w:lineRule="exact"/>
              <w:rPr>
                <w:rFonts w:hint="default" w:cs="宋体"/>
                <w:color w:val="000000" w:themeColor="text1"/>
                <w:sz w:val="20"/>
                <w:szCs w:val="20"/>
                <w14:textFill>
                  <w14:solidFill>
                    <w14:schemeClr w14:val="tx1"/>
                  </w14:solidFill>
                </w14:textFill>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8FFE2F4">
            <w:pPr>
              <w:adjustRightInd w:val="0"/>
              <w:snapToGrid w:val="0"/>
              <w:spacing w:line="600" w:lineRule="exact"/>
              <w:jc w:val="right"/>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单位：万元</w:t>
            </w:r>
          </w:p>
        </w:tc>
      </w:tr>
      <w:tr w14:paraId="6425381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E1CA6E">
            <w:pPr>
              <w:adjustRightInd w:val="0"/>
              <w:snapToGrid w:val="0"/>
              <w:spacing w:line="600" w:lineRule="exact"/>
              <w:jc w:val="center"/>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44B15B">
            <w:pPr>
              <w:adjustRightInd w:val="0"/>
              <w:snapToGrid w:val="0"/>
              <w:spacing w:line="600" w:lineRule="exact"/>
              <w:jc w:val="center"/>
              <w:textAlignment w:val="bottom"/>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本年支出</w:t>
            </w:r>
          </w:p>
        </w:tc>
      </w:tr>
      <w:tr w14:paraId="00379B66">
        <w:tblPrEx>
          <w:tblCellMar>
            <w:top w:w="0" w:type="dxa"/>
            <w:left w:w="0" w:type="dxa"/>
            <w:bottom w:w="0" w:type="dxa"/>
            <w:right w:w="0" w:type="dxa"/>
          </w:tblCellMar>
        </w:tblPrEx>
        <w:trPr>
          <w:trHeight w:val="600"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5FBD3">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B6532">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A355F">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AA4AC">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8A20B">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项目支出</w:t>
            </w:r>
          </w:p>
        </w:tc>
      </w:tr>
      <w:tr w14:paraId="0DF00CC7">
        <w:tblPrEx>
          <w:tblCellMar>
            <w:top w:w="0" w:type="dxa"/>
            <w:left w:w="0" w:type="dxa"/>
            <w:bottom w:w="0" w:type="dxa"/>
            <w:right w:w="0" w:type="dxa"/>
          </w:tblCellMar>
        </w:tblPrEx>
        <w:trPr>
          <w:trHeight w:val="600"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EF01F">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A9A8F">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A1454">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1B5C8">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56F46">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313BA9C6">
        <w:tblPrEx>
          <w:tblCellMar>
            <w:top w:w="0" w:type="dxa"/>
            <w:left w:w="0" w:type="dxa"/>
            <w:bottom w:w="0" w:type="dxa"/>
            <w:right w:w="0" w:type="dxa"/>
          </w:tblCellMar>
        </w:tblPrEx>
        <w:trPr>
          <w:trHeight w:val="600"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1695">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051DC">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702F5">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D0BC6">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16A7E">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47991F1E">
        <w:tblPrEx>
          <w:tblCellMar>
            <w:top w:w="0" w:type="dxa"/>
            <w:left w:w="0" w:type="dxa"/>
            <w:bottom w:w="0" w:type="dxa"/>
            <w:right w:w="0" w:type="dxa"/>
          </w:tblCellMar>
        </w:tblPrEx>
        <w:trPr>
          <w:trHeight w:val="600"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E97F1">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3E12D">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34533">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4D268">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7DF4A">
            <w:pPr>
              <w:adjustRightInd w:val="0"/>
              <w:snapToGrid w:val="0"/>
              <w:spacing w:line="600" w:lineRule="exact"/>
              <w:jc w:val="center"/>
              <w:rPr>
                <w:rFonts w:hint="default" w:cs="宋体"/>
                <w:color w:val="000000" w:themeColor="text1"/>
                <w:sz w:val="20"/>
                <w:szCs w:val="20"/>
                <w14:textFill>
                  <w14:solidFill>
                    <w14:schemeClr w14:val="tx1"/>
                  </w14:solidFill>
                </w14:textFill>
              </w:rPr>
            </w:pPr>
          </w:p>
        </w:tc>
      </w:tr>
      <w:tr w14:paraId="175E6993">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914BD">
            <w:pPr>
              <w:adjustRightInd w:val="0"/>
              <w:snapToGrid w:val="0"/>
              <w:spacing w:line="600" w:lineRule="exact"/>
              <w:jc w:val="center"/>
              <w:textAlignment w:val="center"/>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C9D31">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ED359">
            <w:pPr>
              <w:adjustRightInd w:val="0"/>
              <w:snapToGrid w:val="0"/>
              <w:spacing w:line="600" w:lineRule="exact"/>
              <w:jc w:val="right"/>
              <w:rPr>
                <w:rFonts w:hint="default" w:ascii="Times New Roman" w:hAnsi="Times New Roman"/>
                <w:color w:val="000000" w:themeColor="text1"/>
                <w:sz w:val="20"/>
                <w:szCs w:val="20"/>
                <w14:textFill>
                  <w14:solidFill>
                    <w14:schemeClr w14:val="tx1"/>
                  </w14:solidFill>
                </w14:textFill>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0CFCA">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0.00</w:t>
            </w:r>
            <w:r>
              <w:rPr>
                <w:rFonts w:ascii="Times New Roman" w:hAnsi="Times New Roman"/>
                <w:color w:val="000000" w:themeColor="text1"/>
                <w:sz w:val="20"/>
                <w14:textFill>
                  <w14:solidFill>
                    <w14:schemeClr w14:val="tx1"/>
                  </w14:solidFill>
                </w14:textFill>
              </w:rPr>
              <w:t xml:space="preserve"> </w:t>
            </w:r>
          </w:p>
        </w:tc>
      </w:tr>
      <w:tr w14:paraId="652559C0">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8132">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1A63A">
            <w:pPr>
              <w:adjustRightInd w:val="0"/>
              <w:snapToGrid w:val="0"/>
              <w:spacing w:line="600" w:lineRule="exact"/>
              <w:textAlignment w:val="center"/>
              <w:rPr>
                <w:rFonts w:hint="default" w:cs="宋体"/>
                <w:color w:val="000000" w:themeColor="text1"/>
                <w:sz w:val="20"/>
                <w:szCs w:val="20"/>
                <w14:textFill>
                  <w14:solidFill>
                    <w14:schemeClr w14:val="tx1"/>
                  </w14:solidFill>
                </w14:textFill>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FE067">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73124">
            <w:pPr>
              <w:adjustRightInd w:val="0"/>
              <w:snapToGrid w:val="0"/>
              <w:spacing w:line="600" w:lineRule="exact"/>
              <w:jc w:val="right"/>
              <w:rPr>
                <w:rFonts w:hint="default" w:ascii="Times New Roman" w:hAnsi="Times New Roman"/>
                <w:color w:val="000000" w:themeColor="text1"/>
                <w:sz w:val="20"/>
                <w:szCs w:val="20"/>
                <w14:textFill>
                  <w14:solidFill>
                    <w14:schemeClr w14:val="tx1"/>
                  </w14:solidFill>
                </w14:textFill>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CC7EC">
            <w:pPr>
              <w:wordWrap w:val="0"/>
              <w:adjustRightInd w:val="0"/>
              <w:snapToGrid w:val="0"/>
              <w:spacing w:line="600" w:lineRule="exact"/>
              <w:jc w:val="right"/>
              <w:textAlignment w:val="center"/>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0.00 </w:t>
            </w:r>
          </w:p>
        </w:tc>
      </w:tr>
    </w:tbl>
    <w:p w14:paraId="6810D8D8">
      <w:pPr>
        <w:adjustRightInd w:val="0"/>
        <w:snapToGrid w:val="0"/>
        <w:spacing w:line="600" w:lineRule="exact"/>
        <w:rPr>
          <w:rFonts w:hint="default" w:cs="宋体"/>
          <w:color w:val="000000" w:themeColor="text1"/>
          <w:sz w:val="21"/>
          <w:szCs w:val="21"/>
          <w14:textFill>
            <w14:solidFill>
              <w14:schemeClr w14:val="tx1"/>
            </w14:solidFill>
          </w14:textFill>
        </w:rPr>
      </w:pPr>
      <w:r>
        <w:rPr>
          <w:rFonts w:cs="宋体"/>
          <w:color w:val="000000" w:themeColor="text1"/>
          <w:sz w:val="20"/>
          <w:szCs w:val="20"/>
          <w14:textFill>
            <w14:solidFill>
              <w14:schemeClr w14:val="tx1"/>
            </w14:solidFill>
          </w14:textFill>
        </w:rPr>
        <w:t>备注：本表反映单位本年度国有资本经营预算财政拨款支出情况。本单位无国有资本经营收支，故本表无数据。</w:t>
      </w:r>
      <w:r>
        <w:rPr>
          <w:rFonts w:cs="宋体"/>
          <w:color w:val="000000" w:themeColor="text1"/>
          <w:sz w:val="20"/>
          <w:szCs w:val="20"/>
          <w14:textFill>
            <w14:solidFill>
              <w14:schemeClr w14:val="tx1"/>
            </w14:solidFill>
          </w14:textFill>
        </w:rPr>
        <w:br w:type="textWrapping"/>
      </w:r>
      <w:r>
        <w:rPr>
          <w:rFonts w:cs="宋体"/>
          <w:color w:val="000000" w:themeColor="text1"/>
          <w:sz w:val="20"/>
          <w:szCs w:val="20"/>
          <w14:textFill>
            <w14:solidFill>
              <w14:schemeClr w14:val="tx1"/>
            </w14:solidFill>
          </w14:textFill>
        </w:rPr>
        <w:br w:type="textWrapping"/>
      </w:r>
    </w:p>
    <w:p w14:paraId="5C7032C1">
      <w:pPr>
        <w:adjustRightInd w:val="0"/>
        <w:snapToGrid w:val="0"/>
        <w:spacing w:line="600" w:lineRule="exact"/>
        <w:rPr>
          <w:rFonts w:hint="default" w:cs="宋体"/>
          <w:color w:val="000000" w:themeColor="text1"/>
          <w:sz w:val="21"/>
          <w:szCs w:val="21"/>
          <w14:textFill>
            <w14:solidFill>
              <w14:schemeClr w14:val="tx1"/>
            </w14:solidFill>
          </w14:textFill>
        </w:rPr>
      </w:pPr>
      <w:r>
        <w:rPr>
          <w:rFonts w:hint="default" w:cs="宋体"/>
          <w:color w:val="000000" w:themeColor="text1"/>
          <w:sz w:val="21"/>
          <w:szCs w:val="21"/>
          <w14:textFill>
            <w14:solidFill>
              <w14:schemeClr w14:val="tx1"/>
            </w14:solidFill>
          </w14:textFill>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518149F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684AF07">
            <w:pPr>
              <w:adjustRightInd w:val="0"/>
              <w:snapToGrid w:val="0"/>
              <w:spacing w:line="600" w:lineRule="exact"/>
              <w:jc w:val="center"/>
              <w:textAlignment w:val="bottom"/>
              <w:rPr>
                <w:rFonts w:hint="default" w:cs="宋体"/>
                <w:color w:val="000000" w:themeColor="text1"/>
                <w:kern w:val="2"/>
                <w:sz w:val="32"/>
                <w:szCs w:val="32"/>
                <w14:textFill>
                  <w14:solidFill>
                    <w14:schemeClr w14:val="tx1"/>
                  </w14:solidFill>
                </w14:textFill>
              </w:rPr>
            </w:pPr>
            <w:r>
              <w:rPr>
                <w:rFonts w:cs="宋体"/>
                <w:color w:val="000000" w:themeColor="text1"/>
                <w:kern w:val="2"/>
                <w:sz w:val="32"/>
                <w:szCs w:val="32"/>
                <w14:textFill>
                  <w14:solidFill>
                    <w14:schemeClr w14:val="tx1"/>
                  </w14:solidFill>
                </w14:textFill>
              </w:rPr>
              <w:t>机构运行信息表</w:t>
            </w:r>
          </w:p>
        </w:tc>
      </w:tr>
      <w:tr w14:paraId="6E592106">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639A9BA">
            <w:pPr>
              <w:adjustRightInd w:val="0"/>
              <w:snapToGrid w:val="0"/>
              <w:spacing w:line="600" w:lineRule="exact"/>
              <w:rPr>
                <w:rFonts w:hint="default" w:cs="宋体"/>
                <w:color w:val="000000" w:themeColor="text1"/>
                <w:kern w:val="2"/>
                <w:sz w:val="20"/>
                <w:szCs w:val="20"/>
                <w14:textFill>
                  <w14:solidFill>
                    <w14:schemeClr w14:val="tx1"/>
                  </w14:solidFill>
                </w14:textFill>
              </w:rPr>
            </w:pPr>
          </w:p>
        </w:tc>
        <w:tc>
          <w:tcPr>
            <w:tcW w:w="854" w:type="pct"/>
            <w:shd w:val="clear" w:color="auto" w:fill="auto"/>
            <w:noWrap/>
            <w:tcMar>
              <w:top w:w="15" w:type="dxa"/>
              <w:left w:w="15" w:type="dxa"/>
              <w:right w:w="15" w:type="dxa"/>
            </w:tcMar>
            <w:vAlign w:val="bottom"/>
          </w:tcPr>
          <w:p w14:paraId="47809063">
            <w:pPr>
              <w:adjustRightInd w:val="0"/>
              <w:snapToGrid w:val="0"/>
              <w:spacing w:line="600" w:lineRule="exact"/>
              <w:jc w:val="center"/>
              <w:rPr>
                <w:rFonts w:hint="default" w:cs="宋体"/>
                <w:color w:val="000000" w:themeColor="text1"/>
                <w:kern w:val="2"/>
                <w:sz w:val="20"/>
                <w:szCs w:val="20"/>
                <w14:textFill>
                  <w14:solidFill>
                    <w14:schemeClr w14:val="tx1"/>
                  </w14:solidFill>
                </w14:textFill>
              </w:rPr>
            </w:pPr>
          </w:p>
        </w:tc>
        <w:tc>
          <w:tcPr>
            <w:tcW w:w="840" w:type="pct"/>
            <w:shd w:val="clear" w:color="auto" w:fill="auto"/>
            <w:noWrap/>
            <w:tcMar>
              <w:top w:w="15" w:type="dxa"/>
              <w:left w:w="15" w:type="dxa"/>
              <w:right w:w="15" w:type="dxa"/>
            </w:tcMar>
            <w:vAlign w:val="bottom"/>
          </w:tcPr>
          <w:p w14:paraId="5EF2A102">
            <w:pPr>
              <w:adjustRightInd w:val="0"/>
              <w:snapToGrid w:val="0"/>
              <w:spacing w:line="600" w:lineRule="exact"/>
              <w:jc w:val="right"/>
              <w:rPr>
                <w:rFonts w:hint="default" w:cs="宋体"/>
                <w:color w:val="000000" w:themeColor="text1"/>
                <w:kern w:val="2"/>
                <w:sz w:val="20"/>
                <w:szCs w:val="20"/>
                <w14:textFill>
                  <w14:solidFill>
                    <w14:schemeClr w14:val="tx1"/>
                  </w14:solidFill>
                </w14:textFill>
              </w:rPr>
            </w:pPr>
          </w:p>
        </w:tc>
        <w:tc>
          <w:tcPr>
            <w:tcW w:w="1299" w:type="pct"/>
            <w:shd w:val="clear" w:color="auto" w:fill="auto"/>
            <w:noWrap/>
            <w:tcMar>
              <w:top w:w="15" w:type="dxa"/>
              <w:left w:w="15" w:type="dxa"/>
              <w:right w:w="15" w:type="dxa"/>
            </w:tcMar>
            <w:vAlign w:val="bottom"/>
          </w:tcPr>
          <w:p w14:paraId="43FB5CBF">
            <w:pPr>
              <w:adjustRightInd w:val="0"/>
              <w:snapToGrid w:val="0"/>
              <w:spacing w:line="600" w:lineRule="exact"/>
              <w:rPr>
                <w:rFonts w:hint="default" w:cs="宋体"/>
                <w:color w:val="000000" w:themeColor="text1"/>
                <w:kern w:val="2"/>
                <w:sz w:val="20"/>
                <w:szCs w:val="20"/>
                <w14:textFill>
                  <w14:solidFill>
                    <w14:schemeClr w14:val="tx1"/>
                  </w14:solidFill>
                </w14:textFill>
              </w:rPr>
            </w:pPr>
          </w:p>
        </w:tc>
        <w:tc>
          <w:tcPr>
            <w:tcW w:w="879" w:type="pct"/>
            <w:shd w:val="clear" w:color="auto" w:fill="auto"/>
            <w:noWrap/>
            <w:tcMar>
              <w:top w:w="15" w:type="dxa"/>
              <w:left w:w="15" w:type="dxa"/>
              <w:right w:w="15" w:type="dxa"/>
            </w:tcMar>
            <w:vAlign w:val="bottom"/>
          </w:tcPr>
          <w:p w14:paraId="054B1170">
            <w:pPr>
              <w:adjustRightInd w:val="0"/>
              <w:snapToGrid w:val="0"/>
              <w:spacing w:line="600" w:lineRule="exact"/>
              <w:jc w:val="right"/>
              <w:textAlignment w:val="bottom"/>
              <w:rPr>
                <w:rFonts w:hint="default" w:cs="宋体"/>
                <w:color w:val="000000" w:themeColor="text1"/>
                <w:kern w:val="2"/>
                <w:sz w:val="20"/>
                <w:szCs w:val="20"/>
                <w14:textFill>
                  <w14:solidFill>
                    <w14:schemeClr w14:val="tx1"/>
                  </w14:solidFill>
                </w14:textFill>
              </w:rPr>
            </w:pPr>
            <w:r>
              <w:rPr>
                <w:rFonts w:cs="宋体"/>
                <w:color w:val="000000" w:themeColor="text1"/>
                <w:kern w:val="2"/>
                <w:sz w:val="20"/>
                <w:szCs w:val="20"/>
                <w14:textFill>
                  <w14:solidFill>
                    <w14:schemeClr w14:val="tx1"/>
                  </w14:solidFill>
                </w14:textFill>
              </w:rPr>
              <w:t>公开</w:t>
            </w:r>
            <w:r>
              <w:rPr>
                <w:rFonts w:hint="default" w:ascii="Times New Roman" w:hAnsi="Times New Roman"/>
                <w:color w:val="000000" w:themeColor="text1"/>
                <w:kern w:val="2"/>
                <w:sz w:val="20"/>
                <w:szCs w:val="20"/>
                <w14:textFill>
                  <w14:solidFill>
                    <w14:schemeClr w14:val="tx1"/>
                  </w14:solidFill>
                </w14:textFill>
              </w:rPr>
              <w:t>09</w:t>
            </w:r>
            <w:r>
              <w:rPr>
                <w:rFonts w:cs="宋体"/>
                <w:color w:val="000000" w:themeColor="text1"/>
                <w:kern w:val="2"/>
                <w:sz w:val="20"/>
                <w:szCs w:val="20"/>
                <w14:textFill>
                  <w14:solidFill>
                    <w14:schemeClr w14:val="tx1"/>
                  </w14:solidFill>
                </w14:textFill>
              </w:rPr>
              <w:t>表</w:t>
            </w:r>
          </w:p>
        </w:tc>
      </w:tr>
      <w:tr w14:paraId="28E9EBA2">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10A86D4">
            <w:pPr>
              <w:adjustRightInd w:val="0"/>
              <w:snapToGrid w:val="0"/>
              <w:spacing w:line="600" w:lineRule="exact"/>
              <w:rPr>
                <w:rFonts w:hint="default" w:cs="宋体"/>
                <w:color w:val="000000" w:themeColor="text1"/>
                <w:kern w:val="2"/>
                <w:sz w:val="20"/>
                <w:szCs w:val="20"/>
                <w14:textFill>
                  <w14:solidFill>
                    <w14:schemeClr w14:val="tx1"/>
                  </w14:solidFill>
                </w14:textFill>
              </w:rPr>
            </w:pPr>
            <w:r>
              <w:rPr>
                <w:rFonts w:cs="宋体"/>
                <w:color w:val="000000" w:themeColor="text1"/>
                <w:kern w:val="2"/>
                <w:sz w:val="20"/>
                <w:szCs w:val="20"/>
                <w14:textFill>
                  <w14:solidFill>
                    <w14:schemeClr w14:val="tx1"/>
                  </w14:solidFill>
                </w14:textFill>
              </w:rPr>
              <w:t>单位：</w:t>
            </w:r>
            <w:r>
              <w:rPr>
                <w:color w:val="000000" w:themeColor="text1"/>
                <w:sz w:val="20"/>
                <w14:textFill>
                  <w14:solidFill>
                    <w14:schemeClr w14:val="tx1"/>
                  </w14:solidFill>
                </w14:textFill>
              </w:rPr>
              <w:t>丰都县卫生健康委员会（本级）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C9BF24F">
            <w:pPr>
              <w:adjustRightInd w:val="0"/>
              <w:snapToGrid w:val="0"/>
              <w:spacing w:line="600" w:lineRule="exact"/>
              <w:jc w:val="right"/>
              <w:rPr>
                <w:rFonts w:hint="default" w:cs="宋体"/>
                <w:color w:val="000000" w:themeColor="text1"/>
                <w:kern w:val="2"/>
                <w:sz w:val="20"/>
                <w:szCs w:val="20"/>
                <w14:textFill>
                  <w14:solidFill>
                    <w14:schemeClr w14:val="tx1"/>
                  </w14:solidFill>
                </w14:textFill>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0CE10E8">
            <w:pPr>
              <w:adjustRightInd w:val="0"/>
              <w:snapToGrid w:val="0"/>
              <w:spacing w:line="600" w:lineRule="exact"/>
              <w:rPr>
                <w:rFonts w:hint="default" w:cs="宋体"/>
                <w:color w:val="000000" w:themeColor="text1"/>
                <w:kern w:val="2"/>
                <w:sz w:val="20"/>
                <w:szCs w:val="20"/>
                <w14:textFill>
                  <w14:solidFill>
                    <w14:schemeClr w14:val="tx1"/>
                  </w14:solidFill>
                </w14:textFill>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422B8569">
            <w:pPr>
              <w:adjustRightInd w:val="0"/>
              <w:snapToGrid w:val="0"/>
              <w:spacing w:line="600" w:lineRule="exact"/>
              <w:jc w:val="right"/>
              <w:textAlignment w:val="bottom"/>
              <w:rPr>
                <w:rFonts w:hint="default" w:cs="宋体"/>
                <w:color w:val="000000" w:themeColor="text1"/>
                <w:kern w:val="2"/>
                <w:sz w:val="20"/>
                <w:szCs w:val="20"/>
                <w14:textFill>
                  <w14:solidFill>
                    <w14:schemeClr w14:val="tx1"/>
                  </w14:solidFill>
                </w14:textFill>
              </w:rPr>
            </w:pPr>
            <w:r>
              <w:rPr>
                <w:rFonts w:cs="宋体"/>
                <w:color w:val="000000" w:themeColor="text1"/>
                <w:kern w:val="2"/>
                <w:sz w:val="20"/>
                <w:szCs w:val="20"/>
                <w14:textFill>
                  <w14:solidFill>
                    <w14:schemeClr w14:val="tx1"/>
                  </w14:solidFill>
                </w14:textFill>
              </w:rPr>
              <w:t>单位：万元</w:t>
            </w:r>
          </w:p>
        </w:tc>
      </w:tr>
      <w:tr w14:paraId="6AE2507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5D131B">
            <w:pPr>
              <w:adjustRightInd w:val="0"/>
              <w:snapToGrid w:val="0"/>
              <w:spacing w:line="600" w:lineRule="exact"/>
              <w:jc w:val="center"/>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F9F74">
            <w:pPr>
              <w:adjustRightInd w:val="0"/>
              <w:snapToGrid w:val="0"/>
              <w:spacing w:line="600" w:lineRule="exact"/>
              <w:jc w:val="center"/>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58A2E">
            <w:pPr>
              <w:adjustRightInd w:val="0"/>
              <w:snapToGrid w:val="0"/>
              <w:spacing w:line="600" w:lineRule="exact"/>
              <w:jc w:val="center"/>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55DF2">
            <w:pPr>
              <w:adjustRightInd w:val="0"/>
              <w:snapToGrid w:val="0"/>
              <w:spacing w:line="600" w:lineRule="exact"/>
              <w:jc w:val="center"/>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93363">
            <w:pPr>
              <w:adjustRightInd w:val="0"/>
              <w:snapToGrid w:val="0"/>
              <w:spacing w:line="600" w:lineRule="exact"/>
              <w:jc w:val="center"/>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决算数</w:t>
            </w:r>
          </w:p>
        </w:tc>
      </w:tr>
      <w:tr w14:paraId="01CE858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576AEA">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707C7E">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CC9CAB">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C8515C">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969CB1">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190.65</w:t>
            </w:r>
            <w:r>
              <w:rPr>
                <w:rFonts w:ascii="Times New Roman" w:hAnsi="Times New Roman"/>
                <w:color w:val="000000" w:themeColor="text1"/>
                <w:sz w:val="18"/>
                <w14:textFill>
                  <w14:solidFill>
                    <w14:schemeClr w14:val="tx1"/>
                  </w14:solidFill>
                </w14:textFill>
              </w:rPr>
              <w:t xml:space="preserve"> </w:t>
            </w:r>
          </w:p>
        </w:tc>
      </w:tr>
      <w:tr w14:paraId="1943949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9B4004">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F47D10">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1.97</w:t>
            </w:r>
            <w:r>
              <w:rPr>
                <w:rFonts w:ascii="Times New Roman" w:hAnsi="Times New Roman"/>
                <w:color w:val="000000" w:themeColor="text1"/>
                <w:sz w:val="18"/>
                <w14:textFill>
                  <w14:solidFill>
                    <w14:schemeClr w14:val="tx1"/>
                  </w14:solidFill>
                </w14:textFill>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5FCF4F">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1.97</w:t>
            </w: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8EFBC">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3D22D3">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190.65</w:t>
            </w:r>
            <w:r>
              <w:rPr>
                <w:rFonts w:ascii="Times New Roman" w:hAnsi="Times New Roman"/>
                <w:color w:val="000000" w:themeColor="text1"/>
                <w:sz w:val="18"/>
                <w14:textFill>
                  <w14:solidFill>
                    <w14:schemeClr w14:val="tx1"/>
                  </w14:solidFill>
                </w14:textFill>
              </w:rPr>
              <w:t xml:space="preserve"> </w:t>
            </w:r>
          </w:p>
        </w:tc>
      </w:tr>
      <w:tr w14:paraId="6968394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E01A9">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B6F2CB">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879D0">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3C1940">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55B82A">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4F9799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E87143">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D4DB5">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718C90">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16AD4">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BA78B8">
            <w:pPr>
              <w:adjustRightInd w:val="0"/>
              <w:snapToGrid w:val="0"/>
              <w:spacing w:line="600" w:lineRule="exact"/>
              <w:ind w:right="120" w:rightChars="50"/>
              <w:jc w:val="center"/>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w:t>
            </w:r>
          </w:p>
        </w:tc>
      </w:tr>
      <w:tr w14:paraId="151CA3B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27D085">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9F70C3">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E301D">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48ECBC">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17092D">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1BF2DB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037ECE">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E2FA4F">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EACA25">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9AA75A">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DB3624">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565D21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69F77F">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9818D0">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1.97</w:t>
            </w:r>
            <w:r>
              <w:rPr>
                <w:rFonts w:ascii="Times New Roman" w:hAnsi="Times New Roman"/>
                <w:color w:val="000000" w:themeColor="text1"/>
                <w:sz w:val="18"/>
                <w14:textFill>
                  <w14:solidFill>
                    <w14:schemeClr w14:val="tx1"/>
                  </w14:solidFill>
                </w14:textFill>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5666A9">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1.97</w:t>
            </w: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A0D0A">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A122D">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31507A9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7D272">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247915">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EEB093">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1.97</w:t>
            </w: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9DE5C">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0D527C">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0DC074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2E666A">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0678E">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CA6C69">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4E116E">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3837F8">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0FF342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6F875">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4E800E">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93D8A2">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B919CB">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1216B8">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49BB23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8D2865">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D44D3">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1334F2">
            <w:pPr>
              <w:adjustRightInd w:val="0"/>
              <w:snapToGrid w:val="0"/>
              <w:spacing w:line="600" w:lineRule="exact"/>
              <w:ind w:right="120" w:rightChars="50"/>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7DF8B7">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D222C0">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C4F99D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174C6E">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C1A0E">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EF747">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A6CAAA">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0AB9B8">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7D92934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FDF491">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B5FD7">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FB08D">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B009E4">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14B5BD">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2D4E5C0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C861C">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CF9E2A">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DA46FE">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83A6F">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AD4754">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C2B1D5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8E01E">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17FA89">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B45F1">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C4D348">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C20D8">
            <w:pPr>
              <w:adjustRightInd w:val="0"/>
              <w:snapToGrid w:val="0"/>
              <w:spacing w:line="600" w:lineRule="exact"/>
              <w:ind w:right="120" w:rightChars="50"/>
              <w:jc w:val="center"/>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w:t>
            </w:r>
          </w:p>
        </w:tc>
      </w:tr>
      <w:tr w14:paraId="5B0C41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8B727D">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6E203">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D961EC">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36</w:t>
            </w: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83561F">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1A0D5">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1.92</w:t>
            </w:r>
            <w:r>
              <w:rPr>
                <w:rFonts w:ascii="Times New Roman" w:hAnsi="Times New Roman"/>
                <w:color w:val="000000" w:themeColor="text1"/>
                <w:sz w:val="18"/>
                <w14:textFill>
                  <w14:solidFill>
                    <w14:schemeClr w14:val="tx1"/>
                  </w14:solidFill>
                </w14:textFill>
              </w:rPr>
              <w:t xml:space="preserve"> </w:t>
            </w:r>
          </w:p>
        </w:tc>
      </w:tr>
      <w:tr w14:paraId="128FE75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2C247">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C4546C">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DB2C0E">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8E459">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02DFFC">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1.92</w:t>
            </w:r>
            <w:r>
              <w:rPr>
                <w:rFonts w:ascii="Times New Roman" w:hAnsi="Times New Roman"/>
                <w:color w:val="000000" w:themeColor="text1"/>
                <w:sz w:val="18"/>
                <w14:textFill>
                  <w14:solidFill>
                    <w14:schemeClr w14:val="tx1"/>
                  </w14:solidFill>
                </w14:textFill>
              </w:rPr>
              <w:t xml:space="preserve"> </w:t>
            </w:r>
          </w:p>
        </w:tc>
      </w:tr>
      <w:tr w14:paraId="58668F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EA39A7">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CE3F3">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F5DBE1">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115</w:t>
            </w: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3F6F5">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D98412">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68A40D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934B5">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A07AB3">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BF0D70">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FA839">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789161">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r>
      <w:tr w14:paraId="1D31181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65E0B">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F43D0">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79378">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3BB75">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25B382">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1.74</w:t>
            </w:r>
            <w:r>
              <w:rPr>
                <w:rFonts w:ascii="Times New Roman" w:hAnsi="Times New Roman"/>
                <w:color w:val="000000" w:themeColor="text1"/>
                <w:sz w:val="18"/>
                <w14:textFill>
                  <w14:solidFill>
                    <w14:schemeClr w14:val="tx1"/>
                  </w14:solidFill>
                </w14:textFill>
              </w:rPr>
              <w:t xml:space="preserve"> </w:t>
            </w:r>
          </w:p>
        </w:tc>
      </w:tr>
      <w:tr w14:paraId="5101443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CB386">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01BA6">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7B33AE">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CA0AE">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FBC663">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1.74</w:t>
            </w:r>
            <w:r>
              <w:rPr>
                <w:rFonts w:ascii="Times New Roman" w:hAnsi="Times New Roman"/>
                <w:color w:val="000000" w:themeColor="text1"/>
                <w:sz w:val="18"/>
                <w14:textFill>
                  <w14:solidFill>
                    <w14:schemeClr w14:val="tx1"/>
                  </w14:solidFill>
                </w14:textFill>
              </w:rPr>
              <w:t xml:space="preserve"> </w:t>
            </w:r>
          </w:p>
        </w:tc>
      </w:tr>
      <w:tr w14:paraId="39B7C91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FEA16">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5C3FA5">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FE934">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0.31</w:t>
            </w: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D487FE">
            <w:pPr>
              <w:adjustRightInd w:val="0"/>
              <w:snapToGrid w:val="0"/>
              <w:spacing w:line="600" w:lineRule="exact"/>
              <w:rPr>
                <w:rFonts w:hint="default" w:cs="宋体"/>
                <w:color w:val="000000" w:themeColor="text1"/>
                <w:kern w:val="2"/>
                <w:sz w:val="16"/>
                <w:szCs w:val="16"/>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435B8D">
            <w:pPr>
              <w:adjustRightInd w:val="0"/>
              <w:snapToGrid w:val="0"/>
              <w:spacing w:line="600" w:lineRule="exact"/>
              <w:jc w:val="right"/>
              <w:rPr>
                <w:rFonts w:hint="default" w:cs="宋体"/>
                <w:color w:val="000000" w:themeColor="text1"/>
                <w:kern w:val="2"/>
                <w:sz w:val="16"/>
                <w:szCs w:val="16"/>
                <w14:textFill>
                  <w14:solidFill>
                    <w14:schemeClr w14:val="tx1"/>
                  </w14:solidFill>
                </w14:textFill>
              </w:rPr>
            </w:pPr>
          </w:p>
        </w:tc>
      </w:tr>
      <w:tr w14:paraId="72DF1F3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0E04E">
            <w:pPr>
              <w:adjustRightInd w:val="0"/>
              <w:snapToGrid w:val="0"/>
              <w:spacing w:line="600" w:lineRule="exact"/>
              <w:textAlignment w:val="center"/>
              <w:rPr>
                <w:rFonts w:hint="default" w:cs="宋体"/>
                <w:color w:val="000000" w:themeColor="text1"/>
                <w:kern w:val="2"/>
                <w:sz w:val="16"/>
                <w:szCs w:val="16"/>
                <w14:textFill>
                  <w14:solidFill>
                    <w14:schemeClr w14:val="tx1"/>
                  </w14:solidFill>
                </w14:textFill>
              </w:rPr>
            </w:pPr>
            <w:r>
              <w:rPr>
                <w:rFonts w:cs="宋体"/>
                <w:color w:val="000000" w:themeColor="text1"/>
                <w:kern w:val="2"/>
                <w:sz w:val="16"/>
                <w:szCs w:val="16"/>
                <w14:textFill>
                  <w14:solidFill>
                    <w14:schemeClr w14:val="tx1"/>
                  </w14:solidFill>
                </w14:textFill>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ABD10">
            <w:pPr>
              <w:adjustRightInd w:val="0"/>
              <w:snapToGrid w:val="0"/>
              <w:spacing w:line="600" w:lineRule="exact"/>
              <w:jc w:val="center"/>
              <w:textAlignment w:val="center"/>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2EF365">
            <w:pPr>
              <w:adjustRightInd w:val="0"/>
              <w:snapToGrid w:val="0"/>
              <w:spacing w:line="600" w:lineRule="exact"/>
              <w:ind w:right="120" w:rightChars="50"/>
              <w:jc w:val="right"/>
              <w:textAlignment w:val="bottom"/>
              <w:rPr>
                <w:rFonts w:hint="default" w:ascii="Times New Roman" w:hAnsi="Times New Roman"/>
                <w:color w:val="000000" w:themeColor="text1"/>
                <w:kern w:val="2"/>
                <w:sz w:val="18"/>
                <w:szCs w:val="18"/>
                <w14:textFill>
                  <w14:solidFill>
                    <w14:schemeClr w14:val="tx1"/>
                  </w14:solidFill>
                </w14:textFill>
              </w:rPr>
            </w:pPr>
            <w:r>
              <w:rPr>
                <w:rFonts w:hint="default" w:ascii="Times New Roman" w:hAnsi="Times New Roman"/>
                <w:color w:val="000000" w:themeColor="text1"/>
                <w:kern w:val="2"/>
                <w:sz w:val="18"/>
                <w:szCs w:val="18"/>
                <w14:textFill>
                  <w14:solidFill>
                    <w14:schemeClr w14:val="tx1"/>
                  </w14:solidFill>
                </w14:textFill>
              </w:rPr>
              <w:t>3.42</w:t>
            </w: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6C490F">
            <w:pPr>
              <w:adjustRightInd w:val="0"/>
              <w:snapToGrid w:val="0"/>
              <w:spacing w:line="600" w:lineRule="exact"/>
              <w:rPr>
                <w:rFonts w:hint="default" w:cs="宋体"/>
                <w:color w:val="000000" w:themeColor="text1"/>
                <w:kern w:val="2"/>
                <w:sz w:val="16"/>
                <w:szCs w:val="16"/>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D48F35">
            <w:pPr>
              <w:adjustRightInd w:val="0"/>
              <w:snapToGrid w:val="0"/>
              <w:spacing w:line="600" w:lineRule="exact"/>
              <w:jc w:val="right"/>
              <w:rPr>
                <w:rFonts w:hint="default" w:cs="宋体"/>
                <w:color w:val="000000" w:themeColor="text1"/>
                <w:kern w:val="2"/>
                <w:sz w:val="16"/>
                <w:szCs w:val="16"/>
                <w14:textFill>
                  <w14:solidFill>
                    <w14:schemeClr w14:val="tx1"/>
                  </w14:solidFill>
                </w14:textFill>
              </w:rPr>
            </w:pPr>
          </w:p>
        </w:tc>
      </w:tr>
      <w:tr w14:paraId="0CC4F08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F7D93D">
            <w:pPr>
              <w:adjustRightInd w:val="0"/>
              <w:snapToGrid w:val="0"/>
              <w:spacing w:line="600" w:lineRule="exact"/>
              <w:textAlignment w:val="center"/>
              <w:rPr>
                <w:rFonts w:hint="default" w:cs="宋体"/>
                <w:color w:val="000000" w:themeColor="text1"/>
                <w:sz w:val="16"/>
                <w:szCs w:val="16"/>
                <w14:textFill>
                  <w14:solidFill>
                    <w14:schemeClr w14:val="tx1"/>
                  </w14:solidFill>
                </w14:textFill>
              </w:rPr>
            </w:pPr>
            <w:r>
              <w:rPr>
                <w:rFonts w:cs="宋体"/>
                <w:color w:val="000000" w:themeColor="text1"/>
                <w:sz w:val="16"/>
                <w:szCs w:val="16"/>
                <w14:textFill>
                  <w14:solidFill>
                    <w14:schemeClr w14:val="tx1"/>
                  </w14:solidFill>
                </w14:textFill>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01417">
            <w:pPr>
              <w:adjustRightInd w:val="0"/>
              <w:snapToGrid w:val="0"/>
              <w:spacing w:line="600" w:lineRule="exact"/>
              <w:jc w:val="center"/>
              <w:textAlignment w:val="center"/>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C364C6">
            <w:pPr>
              <w:adjustRightInd w:val="0"/>
              <w:snapToGrid w:val="0"/>
              <w:spacing w:line="600" w:lineRule="exact"/>
              <w:ind w:right="120" w:rightChars="50"/>
              <w:jc w:val="right"/>
              <w:textAlignment w:val="bottom"/>
              <w:rPr>
                <w:rFonts w:hint="default" w:ascii="Times New Roman" w:hAnsi="Times New Roman"/>
                <w:color w:val="000000" w:themeColor="text1"/>
                <w:sz w:val="18"/>
                <w:szCs w:val="18"/>
                <w14:textFill>
                  <w14:solidFill>
                    <w14:schemeClr w14:val="tx1"/>
                  </w14:solidFill>
                </w14:textFill>
              </w:rPr>
            </w:pPr>
            <w:r>
              <w:rPr>
                <w:rFonts w:hint="default" w:ascii="Times New Roman" w:hAnsi="Times New Roman"/>
                <w:color w:val="000000" w:themeColor="text1"/>
                <w:sz w:val="18"/>
                <w:szCs w:val="18"/>
                <w14:textFill>
                  <w14:solidFill>
                    <w14:schemeClr w14:val="tx1"/>
                  </w14:solidFill>
                </w14:textFill>
              </w:rPr>
              <w:t>27.15</w:t>
            </w:r>
            <w:r>
              <w:rPr>
                <w:rFonts w:ascii="Times New Roman" w:hAnsi="Times New Roman"/>
                <w:color w:val="000000" w:themeColor="text1"/>
                <w:sz w:val="18"/>
                <w14:textFill>
                  <w14:solidFill>
                    <w14:schemeClr w14:val="tx1"/>
                  </w14:solidFill>
                </w14:textFill>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3CC05">
            <w:pPr>
              <w:adjustRightInd w:val="0"/>
              <w:snapToGrid w:val="0"/>
              <w:spacing w:line="600" w:lineRule="exact"/>
              <w:rPr>
                <w:rFonts w:hint="default" w:cs="宋体"/>
                <w:color w:val="000000" w:themeColor="text1"/>
                <w:sz w:val="16"/>
                <w:szCs w:val="16"/>
                <w14:textFill>
                  <w14:solidFill>
                    <w14:schemeClr w14:val="tx1"/>
                  </w14:solidFill>
                </w14:textFill>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33F374">
            <w:pPr>
              <w:adjustRightInd w:val="0"/>
              <w:snapToGrid w:val="0"/>
              <w:spacing w:line="600" w:lineRule="exact"/>
              <w:jc w:val="right"/>
              <w:rPr>
                <w:rFonts w:hint="default" w:cs="宋体"/>
                <w:color w:val="000000" w:themeColor="text1"/>
                <w:sz w:val="16"/>
                <w:szCs w:val="16"/>
                <w14:textFill>
                  <w14:solidFill>
                    <w14:schemeClr w14:val="tx1"/>
                  </w14:solidFill>
                </w14:textFill>
              </w:rPr>
            </w:pPr>
          </w:p>
        </w:tc>
      </w:tr>
    </w:tbl>
    <w:p w14:paraId="53A14112">
      <w:pPr>
        <w:adjustRightInd w:val="0"/>
        <w:snapToGrid w:val="0"/>
        <w:spacing w:line="600" w:lineRule="exact"/>
        <w:rPr>
          <w:rFonts w:hint="default"/>
          <w:color w:val="000000" w:themeColor="text1"/>
          <w:sz w:val="18"/>
          <w:szCs w:val="18"/>
          <w14:textFill>
            <w14:solidFill>
              <w14:schemeClr w14:val="tx1"/>
            </w14:solidFill>
          </w14:textFill>
        </w:rPr>
      </w:pPr>
      <w:r>
        <w:rPr>
          <w:rFonts w:cs="宋体"/>
          <w:color w:val="000000" w:themeColor="text1"/>
          <w:sz w:val="18"/>
          <w:szCs w:val="18"/>
          <w14:textFill>
            <w14:solidFill>
              <w14:schemeClr w14:val="tx1"/>
            </w14:solidFill>
          </w14:textFill>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000000" w:themeColor="text1"/>
          <w:sz w:val="18"/>
          <w:szCs w:val="18"/>
          <w14:textFill>
            <w14:solidFill>
              <w14:schemeClr w14:val="tx1"/>
            </w14:solidFill>
          </w14:textFill>
        </w:rPr>
        <w:br w:type="textWrapping"/>
      </w:r>
      <w:r>
        <w:rPr>
          <w:rFonts w:cs="宋体"/>
          <w:color w:val="000000" w:themeColor="text1"/>
          <w:sz w:val="18"/>
          <w:szCs w:val="18"/>
          <w14:textFill>
            <w14:solidFill>
              <w14:schemeClr w14:val="tx1"/>
            </w14:solidFill>
          </w14:textFill>
        </w:rPr>
        <w:t xml:space="preserve">      2.本套报表金额单位转换时可能存在尾数误差。</w:t>
      </w:r>
      <w:r>
        <w:rPr>
          <w:rFonts w:cs="宋体"/>
          <w:color w:val="000000" w:themeColor="text1"/>
          <w:sz w:val="18"/>
          <w:szCs w:val="18"/>
          <w14:textFill>
            <w14:solidFill>
              <w14:schemeClr w14:val="tx1"/>
            </w14:solidFill>
          </w14:textFill>
        </w:rPr>
        <w:br w:type="textWrapping"/>
      </w:r>
      <w:r>
        <w:rPr>
          <w:rFonts w:cs="宋体"/>
          <w:color w:val="000000" w:themeColor="text1"/>
          <w:sz w:val="18"/>
          <w:szCs w:val="18"/>
          <w14:textFill>
            <w14:solidFill>
              <w14:schemeClr w14:val="tx1"/>
            </w14:solidFill>
          </w14:textFill>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86628">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DB05FE3">
                          <w:pPr>
                            <w:pStyle w:val="5"/>
                            <w:jc w:val="center"/>
                            <w:rPr>
                              <w:rFonts w:hint="default"/>
                              <w:sz w:val="24"/>
                              <w:szCs w:val="24"/>
                            </w:rPr>
                          </w:pPr>
                          <w:r>
                            <w:rPr>
                              <w:rFonts w:ascii="方正仿宋_GBK" w:hAnsi="方正仿宋_GBK" w:eastAsia="方正仿宋_GBK" w:cs="方正仿宋_GBK"/>
                              <w:sz w:val="24"/>
                              <w:szCs w:val="24"/>
                            </w:rPr>
                            <w:fldChar w:fldCharType="begin"/>
                          </w:r>
                          <w:r>
                            <w:rPr>
                              <w:rFonts w:ascii="方正仿宋_GBK" w:hAnsi="方正仿宋_GBK" w:eastAsia="方正仿宋_GBK" w:cs="方正仿宋_GBK"/>
                              <w:sz w:val="24"/>
                              <w:szCs w:val="24"/>
                            </w:rPr>
                            <w:instrText xml:space="preserve">PAGE   \* MERGEFORMAT</w:instrText>
                          </w:r>
                          <w:r>
                            <w:rPr>
                              <w:rFonts w:ascii="方正仿宋_GBK" w:hAnsi="方正仿宋_GBK" w:eastAsia="方正仿宋_GBK" w:cs="方正仿宋_GBK"/>
                              <w:sz w:val="24"/>
                              <w:szCs w:val="24"/>
                            </w:rPr>
                            <w:fldChar w:fldCharType="separate"/>
                          </w:r>
                          <w:r>
                            <w:rPr>
                              <w:rFonts w:hint="default" w:ascii="方正仿宋_GBK" w:hAnsi="方正仿宋_GBK" w:eastAsia="方正仿宋_GBK" w:cs="方正仿宋_GBK"/>
                              <w:sz w:val="24"/>
                              <w:szCs w:val="24"/>
                              <w:lang w:val="zh-CN"/>
                            </w:rPr>
                            <w:t>-</w:t>
                          </w:r>
                          <w:r>
                            <w:rPr>
                              <w:rFonts w:hint="default" w:ascii="方正仿宋_GBK" w:hAnsi="方正仿宋_GBK" w:eastAsia="方正仿宋_GBK" w:cs="方正仿宋_GBK"/>
                              <w:sz w:val="24"/>
                              <w:szCs w:val="24"/>
                            </w:rPr>
                            <w:t xml:space="preserve"> 12 -</w:t>
                          </w:r>
                          <w:r>
                            <w:rPr>
                              <w:rFonts w:ascii="方正仿宋_GBK" w:hAnsi="方正仿宋_GBK" w:eastAsia="方正仿宋_GBK" w:cs="方正仿宋_GBK"/>
                              <w:sz w:val="24"/>
                              <w:szCs w:val="24"/>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pmKoi4AQAAgAMAAA4AAAAAAAAAAQAgAAAAHwEAAGRycy9lMm9Eb2MueG1sUEsFBgAAAAAGAAYA&#10;WQEAAEkFAAAAAA==&#10;">
              <v:fill on="f" focussize="0,0"/>
              <v:stroke on="f"/>
              <v:imagedata o:title=""/>
              <o:lock v:ext="edit" aspectratio="f"/>
              <v:textbox inset="0mm,0mm,0mm,0mm" style="mso-fit-shape-to-text:t;">
                <w:txbxContent>
                  <w:p w14:paraId="2DB05FE3">
                    <w:pPr>
                      <w:pStyle w:val="5"/>
                      <w:jc w:val="center"/>
                      <w:rPr>
                        <w:rFonts w:hint="default"/>
                        <w:sz w:val="24"/>
                        <w:szCs w:val="24"/>
                      </w:rPr>
                    </w:pPr>
                    <w:r>
                      <w:rPr>
                        <w:rFonts w:ascii="方正仿宋_GBK" w:hAnsi="方正仿宋_GBK" w:eastAsia="方正仿宋_GBK" w:cs="方正仿宋_GBK"/>
                        <w:sz w:val="24"/>
                        <w:szCs w:val="24"/>
                      </w:rPr>
                      <w:fldChar w:fldCharType="begin"/>
                    </w:r>
                    <w:r>
                      <w:rPr>
                        <w:rFonts w:ascii="方正仿宋_GBK" w:hAnsi="方正仿宋_GBK" w:eastAsia="方正仿宋_GBK" w:cs="方正仿宋_GBK"/>
                        <w:sz w:val="24"/>
                        <w:szCs w:val="24"/>
                      </w:rPr>
                      <w:instrText xml:space="preserve">PAGE   \* MERGEFORMAT</w:instrText>
                    </w:r>
                    <w:r>
                      <w:rPr>
                        <w:rFonts w:ascii="方正仿宋_GBK" w:hAnsi="方正仿宋_GBK" w:eastAsia="方正仿宋_GBK" w:cs="方正仿宋_GBK"/>
                        <w:sz w:val="24"/>
                        <w:szCs w:val="24"/>
                      </w:rPr>
                      <w:fldChar w:fldCharType="separate"/>
                    </w:r>
                    <w:r>
                      <w:rPr>
                        <w:rFonts w:hint="default" w:ascii="方正仿宋_GBK" w:hAnsi="方正仿宋_GBK" w:eastAsia="方正仿宋_GBK" w:cs="方正仿宋_GBK"/>
                        <w:sz w:val="24"/>
                        <w:szCs w:val="24"/>
                        <w:lang w:val="zh-CN"/>
                      </w:rPr>
                      <w:t>-</w:t>
                    </w:r>
                    <w:r>
                      <w:rPr>
                        <w:rFonts w:hint="default" w:ascii="方正仿宋_GBK" w:hAnsi="方正仿宋_GBK" w:eastAsia="方正仿宋_GBK" w:cs="方正仿宋_GBK"/>
                        <w:sz w:val="24"/>
                        <w:szCs w:val="24"/>
                      </w:rPr>
                      <w:t xml:space="preserve"> 12 -</w:t>
                    </w:r>
                    <w:r>
                      <w:rPr>
                        <w:rFonts w:ascii="方正仿宋_GBK" w:hAnsi="方正仿宋_GBK" w:eastAsia="方正仿宋_GBK" w:cs="方正仿宋_GBK"/>
                        <w:sz w:val="24"/>
                        <w:szCs w:val="24"/>
                      </w:rPr>
                      <w:fldChar w:fldCharType="end"/>
                    </w:r>
                  </w:p>
                </w:txbxContent>
              </v:textbox>
            </v:rect>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6" name="矩形 6"/>
              <wp:cNvGraphicFramePr/>
              <a:graphic xmlns:a="http://schemas.openxmlformats.org/drawingml/2006/main">
                <a:graphicData uri="http://schemas.microsoft.com/office/word/2010/wordprocessingShape">
                  <wps:wsp>
                    <wps:cNvSpPr/>
                    <wps:spPr>
                      <a:xfrm>
                        <a:off x="0" y="0"/>
                        <a:ext cx="1828800" cy="220980"/>
                      </a:xfrm>
                      <a:prstGeom prst="rect">
                        <a:avLst/>
                      </a:prstGeom>
                      <a:noFill/>
                      <a:ln>
                        <a:noFill/>
                      </a:ln>
                    </wps:spPr>
                    <wps:txbx>
                      <w:txbxContent>
                        <w:p w14:paraId="362676E6">
                          <w:pPr>
                            <w:pStyle w:val="5"/>
                            <w:jc w:val="both"/>
                            <w:rPr>
                              <w:rFonts w:hint="default" w:cs="宋体"/>
                            </w:rPr>
                          </w:pPr>
                          <w:r>
                            <w:rPr>
                              <w:rFonts w:cs="宋体"/>
                            </w:rPr>
                            <w:t>— 27.1 —</w:t>
                          </w:r>
                        </w:p>
                      </w:txbxContent>
                    </wps:txbx>
                    <wps:bodyPr wrap="none" lIns="0" tIns="0" rIns="0" bIns="0"/>
                  </wps:wsp>
                </a:graphicData>
              </a:graphic>
            </wp:anchor>
          </w:drawing>
        </mc:Choice>
        <mc:Fallback>
          <w:pict>
            <v:rect id="_x0000_s1026" o:spid="_x0000_s1026" o:spt="1"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Ll&#10;jdgAAAAKAQAADwAAAAAAAAABACAAAAAiAAAAZHJzL2Rvd25yZXYueG1sUEsBAhQAFAAAAAgAh07i&#10;QCthz56wAQAAZQMAAA4AAAAAAAAAAQAgAAAAJwEAAGRycy9lMm9Eb2MueG1sUEsFBgAAAAAGAAYA&#10;WQEAAEkFAAAAAA==&#10;">
              <v:fill on="f" focussize="0,0"/>
              <v:stroke on="f"/>
              <v:imagedata o:title=""/>
              <o:lock v:ext="edit" aspectratio="f"/>
              <v:textbox inset="0mm,0mm,0mm,0mm">
                <w:txbxContent>
                  <w:p w14:paraId="362676E6">
                    <w:pPr>
                      <w:pStyle w:val="5"/>
                      <w:jc w:val="both"/>
                      <w:rPr>
                        <w:rFonts w:hint="default" w:cs="宋体"/>
                      </w:rPr>
                    </w:pPr>
                    <w:r>
                      <w:rPr>
                        <w:rFonts w:cs="宋体"/>
                      </w:rPr>
                      <w:t>— 27.1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3E45A">
    <w:pPr>
      <w:pStyle w:val="5"/>
      <w:jc w:val="both"/>
      <w:rPr>
        <w:rFonts w:hint="default"/>
      </w:rPr>
    </w:pPr>
    <w:r>
      <w:rPr>
        <w:rFonts w:hint="default"/>
      </w:rPr>
      <mc:AlternateContent>
        <mc:Choice Requires="wps">
          <w:drawing>
            <wp:anchor distT="0" distB="0" distL="114300" distR="114300" simplePos="0" relativeHeight="251662336"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960AF80">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36 -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44pt;width:144pt;mso-position-horizontal:center;mso-position-horizontal-relative:margin;mso-wrap-style:none;z-index:251662336;mso-width-relative:page;mso-height-relative:page;" filled="f" stroked="f" coordsize="21600,21600" o:allowoverlap="f"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HrD1kPQBAAADBAAADgAAAAAAAAABACAAAAAeAQAAZHJzL2Uyb0RvYy54bWxQSwUGAAAAAAYA&#10;BgBZAQAAhAUAAAAA&#10;">
              <v:fill on="f" focussize="0,0"/>
              <v:stroke on="f"/>
              <v:imagedata o:title=""/>
              <o:lock v:ext="edit" aspectratio="f"/>
              <v:textbox inset="0mm,0mm,0mm,0mm" style="mso-fit-shape-to-text:t;">
                <w:txbxContent>
                  <w:p w14:paraId="6960AF80">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36 -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14737080</wp:posOffset>
              </wp:positionV>
              <wp:extent cx="1828800" cy="220980"/>
              <wp:effectExtent l="0" t="1905"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1828800" cy="220980"/>
                      </a:xfrm>
                      <a:prstGeom prst="rect">
                        <a:avLst/>
                      </a:prstGeom>
                      <a:noFill/>
                      <a:ln>
                        <a:noFill/>
                      </a:ln>
                    </wps:spPr>
                    <wps:txbx>
                      <w:txbxContent>
                        <w:p w14:paraId="157EC749">
                          <w:pPr>
                            <w:pStyle w:val="5"/>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144pt;mso-position-horizontal:center;mso-position-horizontal-relative:margin;mso-position-vertical-relative:page;mso-wrap-style:none;z-index:251661312;mso-width-relative:page;mso-height-relative:page;" filled="f" stroked="f" coordsize="21600,21600" o:allowoverlap="f" o:gfxdata="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0Ij6J1gAAAAoBAAAPAAAAAAAAAAEAIAAAACIAAABkcnMvZG93bnJldi54bWxQ&#10;SwECFAAUAAAACACHTuJAC5h71/kBAAACBAAADgAAAAAAAAABACAAAAAlAQAAZHJzL2Uyb0RvYy54&#10;bWxQSwUGAAAAAAYABgBZAQAAkAUAAAAA&#10;">
              <v:fill on="f" focussize="0,0"/>
              <v:stroke on="f"/>
              <v:imagedata o:title=""/>
              <o:lock v:ext="edit" aspectratio="f"/>
              <v:textbox inset="0mm,0mm,0mm,0mm">
                <w:txbxContent>
                  <w:p w14:paraId="157EC749">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B536F">
    <w:pPr>
      <w:pStyle w:val="6"/>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0A6CC">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043E49"/>
    <w:rsid w:val="001D3BB7"/>
    <w:rsid w:val="002B254B"/>
    <w:rsid w:val="0034050A"/>
    <w:rsid w:val="0044504F"/>
    <w:rsid w:val="00466C9B"/>
    <w:rsid w:val="00486CFC"/>
    <w:rsid w:val="00491DDD"/>
    <w:rsid w:val="00550ABE"/>
    <w:rsid w:val="00564A72"/>
    <w:rsid w:val="00623A85"/>
    <w:rsid w:val="00770383"/>
    <w:rsid w:val="007819D4"/>
    <w:rsid w:val="007B419D"/>
    <w:rsid w:val="007B7C4B"/>
    <w:rsid w:val="007D3D39"/>
    <w:rsid w:val="00984C6A"/>
    <w:rsid w:val="00994AF7"/>
    <w:rsid w:val="009B67B8"/>
    <w:rsid w:val="009C14C9"/>
    <w:rsid w:val="009D2B67"/>
    <w:rsid w:val="009E1452"/>
    <w:rsid w:val="00A17A12"/>
    <w:rsid w:val="00A566F9"/>
    <w:rsid w:val="00AF2751"/>
    <w:rsid w:val="00B03CCD"/>
    <w:rsid w:val="00B94494"/>
    <w:rsid w:val="00BE2B89"/>
    <w:rsid w:val="00BF0D89"/>
    <w:rsid w:val="00C10E9E"/>
    <w:rsid w:val="00C20C3E"/>
    <w:rsid w:val="00C26EF8"/>
    <w:rsid w:val="00C5163E"/>
    <w:rsid w:val="00CB045E"/>
    <w:rsid w:val="00CF2ACF"/>
    <w:rsid w:val="00CF759A"/>
    <w:rsid w:val="00D03AAF"/>
    <w:rsid w:val="00DD0539"/>
    <w:rsid w:val="00E07662"/>
    <w:rsid w:val="00E368E9"/>
    <w:rsid w:val="00EE1E33"/>
    <w:rsid w:val="00F73F90"/>
    <w:rsid w:val="00FB4B3B"/>
    <w:rsid w:val="01474EBF"/>
    <w:rsid w:val="01F3521E"/>
    <w:rsid w:val="03B87EA0"/>
    <w:rsid w:val="03E3214F"/>
    <w:rsid w:val="044C50BA"/>
    <w:rsid w:val="05436D73"/>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2E77C98"/>
    <w:rsid w:val="235417B6"/>
    <w:rsid w:val="24754887"/>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D039A6"/>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524A9F"/>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2FD49B8"/>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0FC7E79"/>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AF723A7"/>
    <w:rsid w:val="6B474EF5"/>
    <w:rsid w:val="6BC938E5"/>
    <w:rsid w:val="6C0A5AC5"/>
    <w:rsid w:val="6C560CAE"/>
    <w:rsid w:val="6C576495"/>
    <w:rsid w:val="6D903FF5"/>
    <w:rsid w:val="6DA955B8"/>
    <w:rsid w:val="6DE346AB"/>
    <w:rsid w:val="6DE5391A"/>
    <w:rsid w:val="6EFD1324"/>
    <w:rsid w:val="6F5A53AC"/>
    <w:rsid w:val="6F7C10CD"/>
    <w:rsid w:val="6FAC003D"/>
    <w:rsid w:val="6FD926BF"/>
    <w:rsid w:val="6FE55E12"/>
    <w:rsid w:val="6FFB2E76"/>
    <w:rsid w:val="70041A8F"/>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81D159D"/>
    <w:rsid w:val="796D60A4"/>
    <w:rsid w:val="79A031D5"/>
    <w:rsid w:val="79B47FDF"/>
    <w:rsid w:val="79E569A9"/>
    <w:rsid w:val="7A1525F7"/>
    <w:rsid w:val="7B420052"/>
    <w:rsid w:val="7BD06A28"/>
    <w:rsid w:val="7C3A7C0B"/>
    <w:rsid w:val="7C5248E4"/>
    <w:rsid w:val="7C566698"/>
    <w:rsid w:val="7C5866A3"/>
    <w:rsid w:val="7CDC13FD"/>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ind w:left="420" w:leftChars="200"/>
    </w:pPr>
    <w:rPr>
      <w:rFonts w:cs="宋体"/>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4948</Words>
  <Characters>5593</Characters>
  <Lines>123</Lines>
  <Paragraphs>34</Paragraphs>
  <TotalTime>32</TotalTime>
  <ScaleCrop>false</ScaleCrop>
  <LinksUpToDate>false</LinksUpToDate>
  <CharactersWithSpaces>5598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2025-09-11T01:23:00Z</dcterms:created>
  <dc:creator>Administrator</dc:creator>
  <cp:lastModifiedBy>油菜花儿香</cp:lastModifiedBy>
  <dcterms:modified xsi:type="dcterms:W3CDTF">2025-09-16T08:09:29Z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5CFBC048443E4F8EB0276B6326ADB3A8_13</vt:lpwstr>
  </property>
  <property fmtid="{D5CDD505-2E9C-101B-9397-08002B2CF9AE}" pid="4" name="KSOTemplateDocerSaveRecord">
    <vt:lpwstr>eyJoZGlkIjoiOTQxNzEzMTExNzZmYTRkMWUxMjM0YTE4YmNjZmFjNTYiLCJ1c2VySWQiOiIzNTg1ODI4NjMifQ==</vt:lpwstr>
  </property>
</Properties>
</file>