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867F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shd w:val="clear" w:color="auto" w:fill="auto"/>
        </w:rPr>
      </w:pPr>
      <w:r>
        <w:rPr>
          <w:rFonts w:hint="eastAsia" w:ascii="方正小标宋_GBK" w:hAnsi="方正小标宋_GBK" w:eastAsia="方正小标宋_GBK" w:cs="方正小标宋_GBK"/>
          <w:sz w:val="44"/>
          <w:szCs w:val="44"/>
          <w:shd w:val="clear" w:color="auto" w:fill="auto"/>
        </w:rPr>
        <w:t>丰都县社坛中心卫生院</w:t>
      </w:r>
    </w:p>
    <w:p w14:paraId="0611C7C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shd w:val="clear" w:color="auto" w:fill="auto"/>
        </w:rPr>
      </w:pPr>
      <w:r>
        <w:rPr>
          <w:rFonts w:hint="default" w:ascii="Times New Roman" w:hAnsi="Times New Roman" w:eastAsia="方正小标宋_GBK" w:cs="Times New Roman"/>
          <w:sz w:val="44"/>
          <w:szCs w:val="44"/>
          <w:shd w:val="clear" w:color="auto" w:fill="auto"/>
        </w:rPr>
        <w:t>2024</w:t>
      </w:r>
      <w:r>
        <w:rPr>
          <w:rFonts w:hint="eastAsia" w:ascii="方正小标宋_GBK" w:hAnsi="方正小标宋_GBK" w:eastAsia="方正小标宋_GBK" w:cs="方正小标宋_GBK"/>
          <w:sz w:val="44"/>
          <w:szCs w:val="44"/>
          <w:shd w:val="clear" w:color="auto" w:fill="auto"/>
        </w:rPr>
        <w:t>年度决算公开说明</w:t>
      </w:r>
    </w:p>
    <w:p w14:paraId="623ACA6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shd w:val="clear" w:color="auto" w:fill="auto"/>
        </w:rPr>
      </w:pPr>
    </w:p>
    <w:p w14:paraId="177ACCB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shd w:val="clear" w:color="auto" w:fill="auto"/>
        </w:rPr>
      </w:pPr>
      <w:r>
        <w:rPr>
          <w:rFonts w:hint="eastAsia" w:ascii="方正黑体_GBK" w:hAnsi="方正黑体_GBK" w:eastAsia="方正黑体_GBK" w:cs="方正黑体_GBK"/>
          <w:b/>
          <w:bCs/>
          <w:sz w:val="32"/>
          <w:szCs w:val="32"/>
          <w:shd w:val="clear" w:color="auto" w:fill="auto"/>
        </w:rPr>
        <w:t>一、单位基本情况</w:t>
      </w:r>
    </w:p>
    <w:p w14:paraId="1BBD060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（一）职能职责</w:t>
      </w:r>
    </w:p>
    <w:p w14:paraId="7C5DCF7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1.</w:t>
      </w:r>
      <w:r>
        <w:rPr>
          <w:rFonts w:ascii="Times New Roman" w:hAnsi="Times New Roman" w:eastAsia="方正仿宋_GBK"/>
          <w:sz w:val="32"/>
          <w:szCs w:val="32"/>
          <w:shd w:val="clear" w:color="auto" w:fill="auto"/>
        </w:rPr>
        <w:t>公共卫生服务：负责辖区城乡居民健康档案管理、健康教育、预防接种、儿童健康管理、孕产妇健康管理、老年人健康管理、高血压患者健康管理、</w:t>
      </w:r>
      <w:r>
        <w:rPr>
          <w:rFonts w:hint="default" w:ascii="Times New Roman" w:hAnsi="Times New Roman" w:eastAsia="方正仿宋_GBK"/>
          <w:sz w:val="32"/>
          <w:szCs w:val="32"/>
          <w:shd w:val="clear" w:color="auto" w:fill="auto"/>
        </w:rPr>
        <w:t>2</w:t>
      </w:r>
      <w:r>
        <w:rPr>
          <w:rFonts w:ascii="Times New Roman" w:hAnsi="Times New Roman" w:eastAsia="方正仿宋_GBK"/>
          <w:sz w:val="32"/>
          <w:szCs w:val="32"/>
          <w:shd w:val="clear" w:color="auto" w:fill="auto"/>
        </w:rPr>
        <w:t>型糖尿病患者健康管理、重性精神疾病患者管理；中医药健康管理和疾病康复；疾病控制、传染病及突发公共卫生事件报告和处理等。负责辖区其他公共卫生服务项目。</w:t>
      </w:r>
    </w:p>
    <w:p w14:paraId="7E49BC9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2.</w:t>
      </w:r>
      <w:r>
        <w:rPr>
          <w:rFonts w:ascii="Times New Roman" w:hAnsi="Times New Roman" w:eastAsia="方正仿宋_GBK"/>
          <w:sz w:val="32"/>
          <w:szCs w:val="32"/>
          <w:shd w:val="clear" w:color="auto" w:fill="auto"/>
        </w:rPr>
        <w:t>基本医疗服务：开展一般常见病、多发病、地方病的基本医疗服务；现场救护和转诊服务；慢性病管理。</w:t>
      </w:r>
    </w:p>
    <w:p w14:paraId="42377B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3.</w:t>
      </w:r>
      <w:r>
        <w:rPr>
          <w:rFonts w:ascii="Times New Roman" w:hAnsi="Times New Roman" w:eastAsia="方正仿宋_GBK"/>
          <w:sz w:val="32"/>
          <w:szCs w:val="32"/>
          <w:shd w:val="clear" w:color="auto" w:fill="auto"/>
        </w:rPr>
        <w:t>计划生育服务：开展避孕节育、生殖健康、优生服务和家庭保健的咨询、指导和技术服务。</w:t>
      </w:r>
    </w:p>
    <w:p w14:paraId="5340331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4.</w:t>
      </w:r>
      <w:r>
        <w:rPr>
          <w:rFonts w:ascii="Times New Roman" w:hAnsi="Times New Roman" w:eastAsia="方正仿宋_GBK"/>
          <w:sz w:val="32"/>
          <w:szCs w:val="32"/>
          <w:shd w:val="clear" w:color="auto" w:fill="auto"/>
        </w:rPr>
        <w:t>协助乡镇政府制定和组织实施初级卫生保健、卫生事业发展规划和年度计划，开展爱国卫生工作。</w:t>
      </w:r>
    </w:p>
    <w:p w14:paraId="6C57B62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5.</w:t>
      </w:r>
      <w:r>
        <w:rPr>
          <w:rFonts w:ascii="Times New Roman" w:hAnsi="Times New Roman" w:eastAsia="方正仿宋_GBK"/>
          <w:sz w:val="32"/>
          <w:szCs w:val="32"/>
          <w:shd w:val="clear" w:color="auto" w:fill="auto"/>
        </w:rPr>
        <w:t>指导辖区内诊所、村卫生室业务工作，对村医进行相关技能培训，做好医疗卫生信息统计报告工作，完整、及时、准确报告相关信息，逐步推进乡村卫生服务一体化管理。</w:t>
      </w:r>
    </w:p>
    <w:p w14:paraId="4FD736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6.</w:t>
      </w:r>
      <w:r>
        <w:rPr>
          <w:rFonts w:ascii="Times New Roman" w:hAnsi="Times New Roman" w:eastAsia="方正仿宋_GBK"/>
          <w:sz w:val="32"/>
          <w:szCs w:val="32"/>
          <w:shd w:val="clear" w:color="auto" w:fill="auto"/>
        </w:rPr>
        <w:t>开展城乡居民基本医疗保险政策法规宣传与咨询，协助做好相应的医疗服务和补偿结算等工作。</w:t>
      </w:r>
    </w:p>
    <w:p w14:paraId="050ABA6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7.</w:t>
      </w:r>
      <w:r>
        <w:rPr>
          <w:rFonts w:ascii="Times New Roman" w:hAnsi="Times New Roman" w:eastAsia="方正仿宋_GBK"/>
          <w:sz w:val="32"/>
          <w:szCs w:val="32"/>
          <w:shd w:val="clear" w:color="auto" w:fill="auto"/>
        </w:rPr>
        <w:t>负责辖区公共卫生管理；协助开展辖区内卫生监督工作，承担区域内公共卫生信息收集与报告。</w:t>
      </w:r>
    </w:p>
    <w:p w14:paraId="392825C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8.</w:t>
      </w:r>
      <w:r>
        <w:rPr>
          <w:rFonts w:ascii="Times New Roman" w:hAnsi="Times New Roman" w:eastAsia="方正仿宋_GBK"/>
          <w:sz w:val="32"/>
          <w:szCs w:val="32"/>
          <w:shd w:val="clear" w:color="auto" w:fill="auto"/>
        </w:rPr>
        <w:t>协助县级医疗卫生机构开展对辐射区域内的一般卫生院技术指导等工作。</w:t>
      </w:r>
    </w:p>
    <w:p w14:paraId="05D6BA9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9.</w:t>
      </w:r>
      <w:r>
        <w:rPr>
          <w:rFonts w:ascii="Times New Roman" w:hAnsi="Times New Roman" w:eastAsia="方正仿宋_GBK"/>
          <w:sz w:val="32"/>
          <w:szCs w:val="32"/>
          <w:shd w:val="clear" w:color="auto" w:fill="auto"/>
        </w:rPr>
        <w:t>承担县卫健委交办的其他工作任务。</w:t>
      </w:r>
    </w:p>
    <w:p w14:paraId="29B2696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（二）机构设置</w:t>
      </w:r>
    </w:p>
    <w:p w14:paraId="4FF4B9B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开设科室：内科、外科、妇科、中医馆、公共卫生科、检验科等科室。</w:t>
      </w:r>
    </w:p>
    <w:p w14:paraId="6608D66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卫生院业务用房</w:t>
      </w:r>
      <w:r>
        <w:rPr>
          <w:rFonts w:hint="default" w:ascii="Times New Roman" w:hAnsi="Times New Roman" w:eastAsia="方正仿宋_GBK"/>
          <w:sz w:val="32"/>
          <w:szCs w:val="32"/>
          <w:shd w:val="clear" w:color="auto" w:fill="auto"/>
        </w:rPr>
        <w:t>4300</w:t>
      </w:r>
      <w:r>
        <w:rPr>
          <w:rFonts w:ascii="Times New Roman" w:hAnsi="Times New Roman" w:eastAsia="方正仿宋_GBK"/>
          <w:sz w:val="32"/>
          <w:szCs w:val="32"/>
          <w:shd w:val="clear" w:color="auto" w:fill="auto"/>
        </w:rPr>
        <w:t>余平方米，编制床位</w:t>
      </w:r>
      <w:r>
        <w:rPr>
          <w:rFonts w:hint="default" w:ascii="Times New Roman" w:hAnsi="Times New Roman" w:eastAsia="方正仿宋_GBK"/>
          <w:sz w:val="32"/>
          <w:szCs w:val="32"/>
          <w:shd w:val="clear" w:color="auto" w:fill="auto"/>
        </w:rPr>
        <w:t>110</w:t>
      </w:r>
      <w:r>
        <w:rPr>
          <w:rFonts w:ascii="Times New Roman" w:hAnsi="Times New Roman" w:eastAsia="方正仿宋_GBK"/>
          <w:sz w:val="32"/>
          <w:szCs w:val="32"/>
          <w:shd w:val="clear" w:color="auto" w:fill="auto"/>
        </w:rPr>
        <w:t>张。目前现有在岗职工</w:t>
      </w:r>
      <w:r>
        <w:rPr>
          <w:rFonts w:hint="default" w:ascii="Times New Roman" w:hAnsi="Times New Roman" w:eastAsia="方正仿宋_GBK"/>
          <w:sz w:val="32"/>
          <w:szCs w:val="32"/>
          <w:shd w:val="clear" w:color="auto" w:fill="auto"/>
        </w:rPr>
        <w:t>99</w:t>
      </w:r>
      <w:r>
        <w:rPr>
          <w:rFonts w:ascii="Times New Roman" w:hAnsi="Times New Roman" w:eastAsia="方正仿宋_GBK"/>
          <w:sz w:val="32"/>
          <w:szCs w:val="32"/>
          <w:shd w:val="clear" w:color="auto" w:fill="auto"/>
        </w:rPr>
        <w:t>人（其中在编职工</w:t>
      </w:r>
      <w:r>
        <w:rPr>
          <w:rFonts w:hint="default" w:ascii="Times New Roman" w:hAnsi="Times New Roman" w:eastAsia="方正仿宋_GBK"/>
          <w:sz w:val="32"/>
          <w:szCs w:val="32"/>
          <w:shd w:val="clear" w:color="auto" w:fill="auto"/>
        </w:rPr>
        <w:t>63</w:t>
      </w:r>
      <w:r>
        <w:rPr>
          <w:rFonts w:ascii="Times New Roman" w:hAnsi="Times New Roman" w:eastAsia="方正仿宋_GBK"/>
          <w:sz w:val="32"/>
          <w:szCs w:val="32"/>
          <w:shd w:val="clear" w:color="auto" w:fill="auto"/>
        </w:rPr>
        <w:t>人，编外聘用</w:t>
      </w:r>
      <w:r>
        <w:rPr>
          <w:rFonts w:hint="default" w:ascii="Times New Roman" w:hAnsi="Times New Roman" w:eastAsia="方正仿宋_GBK"/>
          <w:sz w:val="32"/>
          <w:szCs w:val="32"/>
          <w:shd w:val="clear" w:color="auto" w:fill="auto"/>
        </w:rPr>
        <w:t>36</w:t>
      </w:r>
      <w:r>
        <w:rPr>
          <w:rFonts w:ascii="Times New Roman" w:hAnsi="Times New Roman" w:eastAsia="方正仿宋_GBK"/>
          <w:sz w:val="32"/>
          <w:szCs w:val="32"/>
          <w:shd w:val="clear" w:color="auto" w:fill="auto"/>
        </w:rPr>
        <w:t>人）；有副主任医师</w:t>
      </w:r>
      <w:r>
        <w:rPr>
          <w:rFonts w:hint="default" w:ascii="Times New Roman" w:hAnsi="Times New Roman" w:eastAsia="方正仿宋_GBK"/>
          <w:sz w:val="32"/>
          <w:szCs w:val="32"/>
          <w:shd w:val="clear" w:color="auto" w:fill="auto"/>
        </w:rPr>
        <w:t>2</w:t>
      </w:r>
      <w:r>
        <w:rPr>
          <w:rFonts w:ascii="Times New Roman" w:hAnsi="Times New Roman" w:eastAsia="方正仿宋_GBK"/>
          <w:sz w:val="32"/>
          <w:szCs w:val="32"/>
          <w:shd w:val="clear" w:color="auto" w:fill="auto"/>
        </w:rPr>
        <w:t>人，副主任护师</w:t>
      </w:r>
      <w:r>
        <w:rPr>
          <w:rFonts w:hint="default" w:ascii="Times New Roman" w:hAnsi="Times New Roman" w:eastAsia="方正仿宋_GBK"/>
          <w:sz w:val="32"/>
          <w:szCs w:val="32"/>
          <w:shd w:val="clear" w:color="auto" w:fill="auto"/>
        </w:rPr>
        <w:t>1</w:t>
      </w:r>
      <w:r>
        <w:rPr>
          <w:rFonts w:ascii="Times New Roman" w:hAnsi="Times New Roman" w:eastAsia="方正仿宋_GBK"/>
          <w:sz w:val="32"/>
          <w:szCs w:val="32"/>
          <w:shd w:val="clear" w:color="auto" w:fill="auto"/>
        </w:rPr>
        <w:t>人，主治医师</w:t>
      </w:r>
      <w:r>
        <w:rPr>
          <w:rFonts w:hint="default" w:ascii="Times New Roman" w:hAnsi="Times New Roman" w:eastAsia="方正仿宋_GBK"/>
          <w:sz w:val="32"/>
          <w:szCs w:val="32"/>
          <w:shd w:val="clear" w:color="auto" w:fill="auto"/>
        </w:rPr>
        <w:t>7</w:t>
      </w:r>
      <w:r>
        <w:rPr>
          <w:rFonts w:ascii="Times New Roman" w:hAnsi="Times New Roman" w:eastAsia="方正仿宋_GBK"/>
          <w:sz w:val="32"/>
          <w:szCs w:val="32"/>
          <w:shd w:val="clear" w:color="auto" w:fill="auto"/>
        </w:rPr>
        <w:t>人，执业医师</w:t>
      </w:r>
      <w:r>
        <w:rPr>
          <w:rFonts w:hint="default" w:ascii="Times New Roman" w:hAnsi="Times New Roman" w:eastAsia="方正仿宋_GBK"/>
          <w:sz w:val="32"/>
          <w:szCs w:val="32"/>
          <w:shd w:val="clear" w:color="auto" w:fill="auto"/>
        </w:rPr>
        <w:t>13</w:t>
      </w:r>
      <w:r>
        <w:rPr>
          <w:rFonts w:ascii="Times New Roman" w:hAnsi="Times New Roman" w:eastAsia="方正仿宋_GBK"/>
          <w:sz w:val="32"/>
          <w:szCs w:val="32"/>
          <w:shd w:val="clear" w:color="auto" w:fill="auto"/>
        </w:rPr>
        <w:t>人、执业助理医师</w:t>
      </w:r>
      <w:r>
        <w:rPr>
          <w:rFonts w:hint="default" w:ascii="Times New Roman" w:hAnsi="Times New Roman" w:eastAsia="方正仿宋_GBK"/>
          <w:sz w:val="32"/>
          <w:szCs w:val="32"/>
          <w:shd w:val="clear" w:color="auto" w:fill="auto"/>
        </w:rPr>
        <w:t>9</w:t>
      </w:r>
      <w:r>
        <w:rPr>
          <w:rFonts w:ascii="Times New Roman" w:hAnsi="Times New Roman" w:eastAsia="方正仿宋_GBK"/>
          <w:sz w:val="32"/>
          <w:szCs w:val="32"/>
          <w:shd w:val="clear" w:color="auto" w:fill="auto"/>
        </w:rPr>
        <w:t>人，护师</w:t>
      </w:r>
      <w:r>
        <w:rPr>
          <w:rFonts w:hint="default" w:ascii="Times New Roman" w:hAnsi="Times New Roman" w:eastAsia="方正仿宋_GBK"/>
          <w:sz w:val="32"/>
          <w:szCs w:val="32"/>
          <w:shd w:val="clear" w:color="auto" w:fill="auto"/>
        </w:rPr>
        <w:t>12</w:t>
      </w:r>
      <w:r>
        <w:rPr>
          <w:rFonts w:ascii="Times New Roman" w:hAnsi="Times New Roman" w:eastAsia="方正仿宋_GBK"/>
          <w:sz w:val="32"/>
          <w:szCs w:val="32"/>
          <w:shd w:val="clear" w:color="auto" w:fill="auto"/>
        </w:rPr>
        <w:t>人。</w:t>
      </w:r>
    </w:p>
    <w:p w14:paraId="08E913C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从预算单位构成看，无纳入本单位</w:t>
      </w:r>
      <w:r>
        <w:rPr>
          <w:rFonts w:hint="default" w:ascii="Times New Roman" w:hAnsi="Times New Roman" w:eastAsia="方正仿宋_GBK"/>
          <w:sz w:val="32"/>
          <w:szCs w:val="32"/>
          <w:shd w:val="clear" w:color="auto" w:fill="auto"/>
        </w:rPr>
        <w:t>202</w:t>
      </w:r>
      <w:r>
        <w:rPr>
          <w:rFonts w:ascii="Times New Roman" w:hAnsi="Times New Roman" w:eastAsia="方正仿宋_GBK"/>
          <w:sz w:val="32"/>
          <w:szCs w:val="32"/>
          <w:shd w:val="clear" w:color="auto" w:fill="auto"/>
        </w:rPr>
        <w:t>4年度决算编制的下级预算单位。</w:t>
      </w:r>
    </w:p>
    <w:p w14:paraId="6DF02EC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shd w:val="clear" w:color="auto" w:fill="auto"/>
        </w:rPr>
      </w:pPr>
      <w:r>
        <w:rPr>
          <w:rFonts w:hint="eastAsia" w:ascii="方正黑体_GBK" w:hAnsi="方正黑体_GBK" w:eastAsia="方正黑体_GBK" w:cs="方正黑体_GBK"/>
          <w:b/>
          <w:bCs/>
          <w:sz w:val="32"/>
          <w:szCs w:val="32"/>
          <w:shd w:val="clear" w:color="auto" w:fill="auto"/>
        </w:rPr>
        <w:t>二、单位决算收支情况说明</w:t>
      </w:r>
    </w:p>
    <w:p w14:paraId="5D49F6A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（一）收入支出决算总体情况说明</w:t>
      </w:r>
    </w:p>
    <w:p w14:paraId="55C481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年度收、支总计均为</w:t>
      </w:r>
      <w:r>
        <w:rPr>
          <w:rFonts w:hint="default" w:ascii="Times New Roman" w:hAnsi="Times New Roman" w:eastAsia="方正仿宋_GBK"/>
          <w:sz w:val="32"/>
          <w:szCs w:val="32"/>
          <w:shd w:val="clear" w:color="auto" w:fill="auto"/>
        </w:rPr>
        <w:t>2554.86</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收、支与2023年度相比，减少495.42万元，下降16.2%</w:t>
      </w:r>
      <w:r>
        <w:rPr>
          <w:rFonts w:ascii="Times New Roman" w:hAnsi="Times New Roman" w:eastAsia="方正仿宋_GBK"/>
          <w:sz w:val="32"/>
          <w:szCs w:val="32"/>
          <w:shd w:val="clear" w:color="auto" w:fill="auto"/>
        </w:rPr>
        <w:t>，主要原因是：</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年度财政拨款预算收入</w:t>
      </w:r>
      <w:r>
        <w:rPr>
          <w:rFonts w:hint="default" w:ascii="Times New Roman" w:hAnsi="Times New Roman" w:eastAsia="方正仿宋_GBK"/>
          <w:sz w:val="32"/>
          <w:szCs w:val="32"/>
          <w:shd w:val="clear" w:color="auto" w:fill="auto"/>
        </w:rPr>
        <w:t>1154.10</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w:t>
      </w:r>
      <w:r>
        <w:rPr>
          <w:rFonts w:ascii="Times New Roman" w:hAnsi="Times New Roman" w:eastAsia="方正仿宋_GBK"/>
          <w:sz w:val="32"/>
          <w:szCs w:val="32"/>
          <w:shd w:val="clear" w:color="auto" w:fill="auto"/>
        </w:rPr>
        <w:t>上</w:t>
      </w:r>
      <w:r>
        <w:rPr>
          <w:rFonts w:hint="default" w:ascii="Times New Roman" w:hAnsi="Times New Roman" w:eastAsia="方正仿宋_GBK"/>
          <w:sz w:val="32"/>
          <w:szCs w:val="32"/>
          <w:shd w:val="clear" w:color="auto" w:fill="auto"/>
        </w:rPr>
        <w:t>年度相比，减少19.40万元，下降1.7%</w:t>
      </w:r>
      <w:r>
        <w:rPr>
          <w:rFonts w:ascii="Times New Roman" w:hAnsi="Times New Roman" w:eastAsia="方正仿宋_GBK"/>
          <w:sz w:val="32"/>
          <w:szCs w:val="32"/>
          <w:shd w:val="clear" w:color="auto" w:fill="auto"/>
        </w:rPr>
        <w:t>；事业预算收入</w:t>
      </w:r>
      <w:r>
        <w:rPr>
          <w:rFonts w:hint="default" w:ascii="Times New Roman" w:hAnsi="Times New Roman" w:eastAsia="方正仿宋_GBK"/>
          <w:sz w:val="32"/>
          <w:szCs w:val="32"/>
          <w:shd w:val="clear" w:color="auto" w:fill="auto"/>
        </w:rPr>
        <w:t>1380.19</w:t>
      </w:r>
      <w:r>
        <w:rPr>
          <w:rFonts w:ascii="Times New Roman" w:hAnsi="Times New Roman" w:eastAsia="方正仿宋_GBK"/>
          <w:sz w:val="32"/>
          <w:szCs w:val="32"/>
          <w:shd w:val="clear" w:color="auto" w:fill="auto"/>
        </w:rPr>
        <w:t>万元，较上年减少483.85万元，下降25.96%；其他预算收入3.90万元，较上年增加2.65万元，增长212.00%。年初结转和结余16.67万元，上年度年初结转和结余11.50万元较上年增加44.96%。2024年度基本支出2358.47万元，较上年减少4.02%；项目支出37.58万元，较上年减少55.91%。结余分配0.00万元。</w:t>
      </w:r>
    </w:p>
    <w:p w14:paraId="3D02272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b/>
          <w:bCs/>
          <w:sz w:val="32"/>
          <w:szCs w:val="32"/>
          <w:shd w:val="clear" w:color="auto" w:fill="auto"/>
        </w:rPr>
        <w:t>1.收入情况。</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年度收入合计</w:t>
      </w:r>
      <w:r>
        <w:rPr>
          <w:rFonts w:hint="default" w:ascii="Times New Roman" w:hAnsi="Times New Roman" w:eastAsia="方正仿宋_GBK"/>
          <w:sz w:val="32"/>
          <w:szCs w:val="32"/>
          <w:shd w:val="clear" w:color="auto" w:fill="auto"/>
        </w:rPr>
        <w:t>2538.19</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与2023年度相比，减少500.59万元，下降16.5%</w:t>
      </w:r>
      <w:r>
        <w:rPr>
          <w:rFonts w:ascii="Times New Roman" w:hAnsi="Times New Roman" w:eastAsia="方正仿宋_GBK"/>
          <w:sz w:val="32"/>
          <w:szCs w:val="32"/>
          <w:shd w:val="clear" w:color="auto" w:fill="auto"/>
        </w:rPr>
        <w:t>，主要原因是：2024年度财政拨款预算收入减少19.40万元，事业预算收入减少483.85万元，其他预算收入增加2.65万元。其中：财政拨款收入</w:t>
      </w:r>
      <w:r>
        <w:rPr>
          <w:rFonts w:hint="default" w:ascii="Times New Roman" w:hAnsi="Times New Roman" w:eastAsia="方正仿宋_GBK"/>
          <w:sz w:val="32"/>
          <w:szCs w:val="32"/>
          <w:shd w:val="clear" w:color="auto" w:fill="auto"/>
        </w:rPr>
        <w:t>1154.10</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45.5%</w:t>
      </w:r>
      <w:r>
        <w:rPr>
          <w:rFonts w:ascii="Times New Roman" w:hAnsi="Times New Roman" w:eastAsia="方正仿宋_GBK"/>
          <w:sz w:val="32"/>
          <w:szCs w:val="32"/>
          <w:shd w:val="clear" w:color="auto" w:fill="auto"/>
        </w:rPr>
        <w:t>；事业收入</w:t>
      </w:r>
      <w:r>
        <w:rPr>
          <w:rFonts w:hint="default" w:ascii="Times New Roman" w:hAnsi="Times New Roman" w:eastAsia="方正仿宋_GBK"/>
          <w:sz w:val="32"/>
          <w:szCs w:val="32"/>
          <w:shd w:val="clear" w:color="auto" w:fill="auto"/>
        </w:rPr>
        <w:t>1380.19</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54.4%</w:t>
      </w:r>
      <w:r>
        <w:rPr>
          <w:rFonts w:ascii="Times New Roman" w:hAnsi="Times New Roman" w:eastAsia="方正仿宋_GBK"/>
          <w:sz w:val="32"/>
          <w:szCs w:val="32"/>
          <w:shd w:val="clear" w:color="auto" w:fill="auto"/>
        </w:rPr>
        <w:t>；经营收入</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0.0%</w:t>
      </w:r>
      <w:r>
        <w:rPr>
          <w:rFonts w:ascii="Times New Roman" w:hAnsi="Times New Roman" w:eastAsia="方正仿宋_GBK"/>
          <w:sz w:val="32"/>
          <w:szCs w:val="32"/>
          <w:shd w:val="clear" w:color="auto" w:fill="auto"/>
        </w:rPr>
        <w:t>；其他收入</w:t>
      </w:r>
      <w:r>
        <w:rPr>
          <w:rFonts w:hint="default" w:ascii="Times New Roman" w:hAnsi="Times New Roman" w:eastAsia="方正仿宋_GBK"/>
          <w:sz w:val="32"/>
          <w:szCs w:val="32"/>
          <w:shd w:val="clear" w:color="auto" w:fill="auto"/>
        </w:rPr>
        <w:t>3.90</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0.2%</w:t>
      </w:r>
      <w:r>
        <w:rPr>
          <w:rFonts w:ascii="Times New Roman" w:hAnsi="Times New Roman" w:eastAsia="方正仿宋_GBK"/>
          <w:sz w:val="32"/>
          <w:szCs w:val="32"/>
          <w:shd w:val="clear" w:color="auto" w:fill="auto"/>
        </w:rPr>
        <w:t>。此外，使用非财政拨款结余（含专用结余）</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万元，年初结转和结余</w:t>
      </w:r>
      <w:r>
        <w:rPr>
          <w:rFonts w:hint="default" w:ascii="Times New Roman" w:hAnsi="Times New Roman" w:eastAsia="方正仿宋_GBK"/>
          <w:sz w:val="32"/>
          <w:szCs w:val="32"/>
          <w:shd w:val="clear" w:color="auto" w:fill="auto"/>
        </w:rPr>
        <w:t>16.67</w:t>
      </w:r>
      <w:r>
        <w:rPr>
          <w:rFonts w:ascii="Times New Roman" w:hAnsi="Times New Roman" w:eastAsia="方正仿宋_GBK"/>
          <w:sz w:val="32"/>
          <w:szCs w:val="32"/>
          <w:shd w:val="clear" w:color="auto" w:fill="auto"/>
        </w:rPr>
        <w:t>万元。</w:t>
      </w:r>
    </w:p>
    <w:p w14:paraId="42B8533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b/>
          <w:bCs/>
          <w:sz w:val="32"/>
          <w:szCs w:val="32"/>
          <w:shd w:val="clear" w:color="auto" w:fill="auto"/>
        </w:rPr>
        <w:t>2.支出情况。</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年度支出合计</w:t>
      </w:r>
      <w:r>
        <w:rPr>
          <w:rFonts w:hint="default" w:ascii="Times New Roman" w:hAnsi="Times New Roman" w:eastAsia="方正仿宋_GBK"/>
          <w:sz w:val="32"/>
          <w:szCs w:val="32"/>
          <w:shd w:val="clear" w:color="auto" w:fill="auto"/>
        </w:rPr>
        <w:t>2396.05</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与2023年度相比，减少146.51万元，下降5.8%</w:t>
      </w:r>
      <w:r>
        <w:rPr>
          <w:rFonts w:ascii="Times New Roman" w:hAnsi="Times New Roman" w:eastAsia="方正仿宋_GBK"/>
          <w:sz w:val="32"/>
          <w:szCs w:val="32"/>
          <w:shd w:val="clear" w:color="auto" w:fill="auto"/>
        </w:rPr>
        <w:t>，主要原因是：社会保障和就业支出79.56万元，减少28.12万元，较上年下降26.11%；卫生健康支出2316.49万元，减少118.38万元，较上年下降0.86%。其中：基本支出</w:t>
      </w:r>
      <w:r>
        <w:rPr>
          <w:rFonts w:hint="default" w:ascii="Times New Roman" w:hAnsi="Times New Roman" w:eastAsia="方正仿宋_GBK"/>
          <w:sz w:val="32"/>
          <w:szCs w:val="32"/>
          <w:shd w:val="clear" w:color="auto" w:fill="auto"/>
        </w:rPr>
        <w:t>2358.47</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98.4%</w:t>
      </w:r>
      <w:r>
        <w:rPr>
          <w:rFonts w:ascii="Times New Roman" w:hAnsi="Times New Roman" w:eastAsia="方正仿宋_GBK"/>
          <w:sz w:val="32"/>
          <w:szCs w:val="32"/>
          <w:shd w:val="clear" w:color="auto" w:fill="auto"/>
        </w:rPr>
        <w:t>；项目支出</w:t>
      </w:r>
      <w:r>
        <w:rPr>
          <w:rFonts w:hint="default" w:ascii="Times New Roman" w:hAnsi="Times New Roman" w:eastAsia="方正仿宋_GBK"/>
          <w:sz w:val="32"/>
          <w:szCs w:val="32"/>
          <w:shd w:val="clear" w:color="auto" w:fill="auto"/>
        </w:rPr>
        <w:t>37.58</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1.6%</w:t>
      </w:r>
      <w:r>
        <w:rPr>
          <w:rFonts w:ascii="Times New Roman" w:hAnsi="Times New Roman" w:eastAsia="方正仿宋_GBK"/>
          <w:sz w:val="32"/>
          <w:szCs w:val="32"/>
          <w:shd w:val="clear" w:color="auto" w:fill="auto"/>
        </w:rPr>
        <w:t>；经营支出</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0.0%</w:t>
      </w:r>
      <w:r>
        <w:rPr>
          <w:rFonts w:ascii="Times New Roman" w:hAnsi="Times New Roman" w:eastAsia="方正仿宋_GBK"/>
          <w:sz w:val="32"/>
          <w:szCs w:val="32"/>
          <w:shd w:val="clear" w:color="auto" w:fill="auto"/>
        </w:rPr>
        <w:t>。此外，结余分配</w:t>
      </w:r>
      <w:r>
        <w:rPr>
          <w:rFonts w:hint="default" w:ascii="Times New Roman" w:hAnsi="Times New Roman" w:eastAsia="方正仿宋_GBK"/>
          <w:sz w:val="32"/>
          <w:szCs w:val="32"/>
          <w:shd w:val="clear" w:color="auto" w:fill="auto"/>
        </w:rPr>
        <w:t>158.81</w:t>
      </w:r>
      <w:r>
        <w:rPr>
          <w:rFonts w:ascii="Times New Roman" w:hAnsi="Times New Roman" w:eastAsia="方正仿宋_GBK"/>
          <w:sz w:val="32"/>
          <w:szCs w:val="32"/>
          <w:shd w:val="clear" w:color="auto" w:fill="auto"/>
        </w:rPr>
        <w:t>万元。</w:t>
      </w:r>
    </w:p>
    <w:p w14:paraId="2EAB07B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b/>
          <w:bCs/>
          <w:sz w:val="32"/>
          <w:szCs w:val="32"/>
          <w:shd w:val="clear" w:color="auto" w:fill="auto"/>
        </w:rPr>
        <w:t>3.结转结余情况。</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年度年末结转和结余</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与2023年度相比，无增减</w:t>
      </w:r>
      <w:r>
        <w:rPr>
          <w:rFonts w:ascii="Times New Roman" w:hAnsi="Times New Roman" w:eastAsia="方正仿宋_GBK"/>
          <w:sz w:val="32"/>
          <w:szCs w:val="32"/>
          <w:shd w:val="clear" w:color="auto" w:fill="auto"/>
        </w:rPr>
        <w:t>，主要原因是：2024年度年末无结转和结余。</w:t>
      </w:r>
    </w:p>
    <w:p w14:paraId="5428655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（二）财政拨款收入支出决算总体情况说明</w:t>
      </w:r>
    </w:p>
    <w:p w14:paraId="19B7333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年度财政拨款收、支总计均为</w:t>
      </w:r>
      <w:r>
        <w:rPr>
          <w:rFonts w:hint="default" w:ascii="Times New Roman" w:hAnsi="Times New Roman" w:eastAsia="方正仿宋_GBK"/>
          <w:sz w:val="32"/>
          <w:szCs w:val="32"/>
          <w:shd w:val="clear" w:color="auto" w:fill="auto"/>
        </w:rPr>
        <w:t>1170.77</w:t>
      </w:r>
      <w:r>
        <w:rPr>
          <w:rFonts w:ascii="Times New Roman" w:hAnsi="Times New Roman" w:eastAsia="方正仿宋_GBK"/>
          <w:sz w:val="32"/>
          <w:szCs w:val="32"/>
          <w:shd w:val="clear" w:color="auto" w:fill="auto"/>
        </w:rPr>
        <w:t>万元。与</w:t>
      </w:r>
      <w:r>
        <w:rPr>
          <w:rFonts w:hint="default" w:ascii="Times New Roman" w:hAnsi="Times New Roman" w:eastAsia="方正仿宋_GBK"/>
          <w:sz w:val="32"/>
          <w:szCs w:val="32"/>
          <w:shd w:val="clear" w:color="auto" w:fill="auto"/>
        </w:rPr>
        <w:t>2023</w:t>
      </w:r>
      <w:r>
        <w:rPr>
          <w:rFonts w:ascii="Times New Roman" w:hAnsi="Times New Roman" w:eastAsia="方正仿宋_GBK"/>
          <w:sz w:val="32"/>
          <w:szCs w:val="32"/>
          <w:shd w:val="clear" w:color="auto" w:fill="auto"/>
        </w:rPr>
        <w:t>年度相比，</w:t>
      </w:r>
      <w:r>
        <w:rPr>
          <w:rFonts w:hint="default" w:ascii="Times New Roman" w:hAnsi="Times New Roman" w:eastAsia="方正仿宋_GBK"/>
          <w:sz w:val="32"/>
          <w:szCs w:val="32"/>
          <w:shd w:val="clear" w:color="auto" w:fill="auto"/>
        </w:rPr>
        <w:t>财政拨款收、支总计各减少14.23万元，下降1.2%</w:t>
      </w:r>
      <w:r>
        <w:rPr>
          <w:rFonts w:ascii="Times New Roman" w:hAnsi="Times New Roman" w:eastAsia="方正仿宋_GBK"/>
          <w:sz w:val="32"/>
          <w:szCs w:val="32"/>
          <w:shd w:val="clear" w:color="auto" w:fill="auto"/>
        </w:rPr>
        <w:t>。主要原因是：2024年初财政拨款结转和结余</w:t>
      </w:r>
      <w:r>
        <w:rPr>
          <w:rFonts w:hint="default" w:ascii="Times New Roman" w:hAnsi="Times New Roman" w:eastAsia="方正仿宋_GBK"/>
          <w:sz w:val="32"/>
          <w:szCs w:val="32"/>
          <w:shd w:val="clear" w:color="auto" w:fill="auto"/>
        </w:rPr>
        <w:t>16.67</w:t>
      </w:r>
      <w:r>
        <w:rPr>
          <w:rFonts w:ascii="Times New Roman" w:hAnsi="Times New Roman" w:eastAsia="方正仿宋_GBK"/>
          <w:sz w:val="32"/>
          <w:szCs w:val="32"/>
          <w:shd w:val="clear" w:color="auto" w:fill="auto"/>
        </w:rPr>
        <w:t>万元，较上年减少5.17万元，增长44.96%。社会保障和就业收、支79.56万元，减少28.12万元，较上年下降26.11%；卫生健康收、支1091.21万元，增加13.90万元，较上年增长1.29%。</w:t>
      </w:r>
    </w:p>
    <w:p w14:paraId="2D685A5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（三）一般公共预算财政拨款收入支出决算情况说明</w:t>
      </w:r>
    </w:p>
    <w:p w14:paraId="6FF04BF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b/>
          <w:bCs/>
          <w:sz w:val="32"/>
          <w:szCs w:val="32"/>
          <w:shd w:val="clear" w:color="auto" w:fill="auto"/>
        </w:rPr>
        <w:t>1</w:t>
      </w:r>
      <w:r>
        <w:rPr>
          <w:rFonts w:ascii="Times New Roman" w:hAnsi="Times New Roman" w:eastAsia="方正仿宋_GBK"/>
          <w:b/>
          <w:bCs/>
          <w:sz w:val="32"/>
          <w:szCs w:val="32"/>
          <w:shd w:val="clear" w:color="auto" w:fill="auto"/>
        </w:rPr>
        <w:t>.收入情况。</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年度一般公共预算财政拨款收入</w:t>
      </w:r>
      <w:r>
        <w:rPr>
          <w:rFonts w:hint="default" w:ascii="Times New Roman" w:hAnsi="Times New Roman" w:eastAsia="方正仿宋_GBK"/>
          <w:sz w:val="32"/>
          <w:szCs w:val="32"/>
          <w:shd w:val="clear" w:color="auto" w:fill="auto"/>
        </w:rPr>
        <w:t>1154.10</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与2023年度相比，减少19.40万元，下降1.7%</w:t>
      </w:r>
      <w:r>
        <w:rPr>
          <w:rFonts w:ascii="Times New Roman" w:hAnsi="Times New Roman" w:eastAsia="方正仿宋_GBK"/>
          <w:sz w:val="32"/>
          <w:szCs w:val="32"/>
          <w:shd w:val="clear" w:color="auto" w:fill="auto"/>
        </w:rPr>
        <w:t>。主要原因是：社会保障和就业收、支79.56万元，减少28.12万元，较上年下降26.11%；卫生健康收、支1091.21万元，增加13.90万元，较上年增长1.29%。</w:t>
      </w:r>
      <w:r>
        <w:rPr>
          <w:rFonts w:hint="default" w:ascii="Times New Roman" w:hAnsi="Times New Roman" w:eastAsia="方正仿宋_GBK"/>
          <w:sz w:val="32"/>
          <w:szCs w:val="32"/>
          <w:shd w:val="clear" w:color="auto" w:fill="auto"/>
        </w:rPr>
        <w:t>较年初预算数增加267.33万元，增长30.2%</w:t>
      </w:r>
      <w:r>
        <w:rPr>
          <w:rFonts w:ascii="Times New Roman" w:hAnsi="Times New Roman" w:eastAsia="方正仿宋_GBK"/>
          <w:sz w:val="32"/>
          <w:szCs w:val="32"/>
          <w:shd w:val="clear" w:color="auto" w:fill="auto"/>
        </w:rPr>
        <w:t>。主要原因是：追加项目支出预算。</w:t>
      </w:r>
    </w:p>
    <w:p w14:paraId="3C9BA7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此外，年初财政拨款结转和结余</w:t>
      </w:r>
      <w:r>
        <w:rPr>
          <w:rFonts w:hint="default" w:ascii="Times New Roman" w:hAnsi="Times New Roman" w:eastAsia="方正仿宋_GBK"/>
          <w:sz w:val="32"/>
          <w:szCs w:val="32"/>
          <w:shd w:val="clear" w:color="auto" w:fill="auto"/>
        </w:rPr>
        <w:t>16.67</w:t>
      </w:r>
      <w:r>
        <w:rPr>
          <w:rFonts w:ascii="Times New Roman" w:hAnsi="Times New Roman" w:eastAsia="方正仿宋_GBK"/>
          <w:sz w:val="32"/>
          <w:szCs w:val="32"/>
          <w:shd w:val="clear" w:color="auto" w:fill="auto"/>
        </w:rPr>
        <w:t>万元。</w:t>
      </w:r>
    </w:p>
    <w:p w14:paraId="610EA43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b/>
          <w:bCs/>
          <w:sz w:val="32"/>
          <w:szCs w:val="32"/>
          <w:shd w:val="clear" w:color="auto" w:fill="auto"/>
        </w:rPr>
        <w:t>2</w:t>
      </w:r>
      <w:r>
        <w:rPr>
          <w:rFonts w:ascii="Times New Roman" w:hAnsi="Times New Roman" w:eastAsia="方正仿宋_GBK"/>
          <w:b/>
          <w:bCs/>
          <w:sz w:val="32"/>
          <w:szCs w:val="32"/>
          <w:shd w:val="clear" w:color="auto" w:fill="auto"/>
        </w:rPr>
        <w:t>.支出情况。</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年度一般公共预算财政拨款支出</w:t>
      </w:r>
      <w:r>
        <w:rPr>
          <w:rFonts w:hint="default" w:ascii="Times New Roman" w:hAnsi="Times New Roman" w:eastAsia="方正仿宋_GBK"/>
          <w:sz w:val="32"/>
          <w:szCs w:val="32"/>
          <w:shd w:val="clear" w:color="auto" w:fill="auto"/>
        </w:rPr>
        <w:t>1170.77</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与2023年度相比，减少14.23万元，下降1.2%</w:t>
      </w:r>
      <w:r>
        <w:rPr>
          <w:rFonts w:ascii="Times New Roman" w:hAnsi="Times New Roman" w:eastAsia="方正仿宋_GBK"/>
          <w:sz w:val="32"/>
          <w:szCs w:val="32"/>
          <w:shd w:val="clear" w:color="auto" w:fill="auto"/>
        </w:rPr>
        <w:t>。主要原因是：2024年初财政拨款结转和结余</w:t>
      </w:r>
      <w:r>
        <w:rPr>
          <w:rFonts w:hint="default" w:ascii="Times New Roman" w:hAnsi="Times New Roman" w:eastAsia="方正仿宋_GBK"/>
          <w:sz w:val="32"/>
          <w:szCs w:val="32"/>
          <w:shd w:val="clear" w:color="auto" w:fill="auto"/>
        </w:rPr>
        <w:t>16.67</w:t>
      </w:r>
      <w:r>
        <w:rPr>
          <w:rFonts w:ascii="Times New Roman" w:hAnsi="Times New Roman" w:eastAsia="方正仿宋_GBK"/>
          <w:sz w:val="32"/>
          <w:szCs w:val="32"/>
          <w:shd w:val="clear" w:color="auto" w:fill="auto"/>
        </w:rPr>
        <w:t>万元，较上年减少5.17万元，增长44.96%。社会保障和就业收、支79.56万元，减少28.12万元，较上年下降26.11%；卫生健康收、支1091.21万元，增加13.90万元，较上年增长1.29%。</w:t>
      </w:r>
      <w:r>
        <w:rPr>
          <w:rFonts w:hint="default" w:ascii="Times New Roman" w:hAnsi="Times New Roman" w:eastAsia="方正仿宋_GBK"/>
          <w:sz w:val="32"/>
          <w:szCs w:val="32"/>
          <w:shd w:val="clear" w:color="auto" w:fill="auto"/>
        </w:rPr>
        <w:t>较年初预算数增加284.00万元，增长32.0%</w:t>
      </w:r>
      <w:r>
        <w:rPr>
          <w:rFonts w:ascii="Times New Roman" w:hAnsi="Times New Roman" w:eastAsia="方正仿宋_GBK"/>
          <w:sz w:val="32"/>
          <w:szCs w:val="32"/>
          <w:shd w:val="clear" w:color="auto" w:fill="auto"/>
        </w:rPr>
        <w:t>。主要原因是</w:t>
      </w:r>
      <w:r>
        <w:rPr>
          <w:rFonts w:hint="eastAsia" w:ascii="Times New Roman" w:hAnsi="Times New Roman" w:eastAsia="方正仿宋_GBK"/>
          <w:sz w:val="32"/>
          <w:szCs w:val="32"/>
          <w:shd w:val="clear" w:color="auto" w:fill="auto"/>
          <w:lang w:eastAsia="zh-CN"/>
        </w:rPr>
        <w:t>：</w:t>
      </w:r>
      <w:r>
        <w:rPr>
          <w:rFonts w:ascii="Times New Roman" w:hAnsi="Times New Roman" w:eastAsia="方正仿宋_GBK"/>
          <w:sz w:val="32"/>
          <w:szCs w:val="32"/>
          <w:shd w:val="clear" w:color="auto" w:fill="auto"/>
        </w:rPr>
        <w:t>追加项目支出预算。</w:t>
      </w:r>
    </w:p>
    <w:p w14:paraId="6FA839D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一般公共预算财政拨款支出主要用途如下：</w:t>
      </w:r>
    </w:p>
    <w:p w14:paraId="2B8E029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w:t>
      </w:r>
      <w:r>
        <w:rPr>
          <w:rFonts w:hint="default" w:ascii="Times New Roman" w:hAnsi="Times New Roman" w:eastAsia="方正仿宋_GBK"/>
          <w:sz w:val="32"/>
          <w:szCs w:val="32"/>
          <w:shd w:val="clear" w:color="auto" w:fill="auto"/>
        </w:rPr>
        <w:t>1</w:t>
      </w:r>
      <w:r>
        <w:rPr>
          <w:rFonts w:ascii="Times New Roman" w:hAnsi="Times New Roman" w:eastAsia="方正仿宋_GBK"/>
          <w:sz w:val="32"/>
          <w:szCs w:val="32"/>
          <w:shd w:val="clear" w:color="auto" w:fill="auto"/>
        </w:rPr>
        <w:t>）社会保障和就业支出</w:t>
      </w:r>
      <w:r>
        <w:rPr>
          <w:rFonts w:hint="default" w:ascii="Times New Roman" w:hAnsi="Times New Roman" w:eastAsia="方正仿宋_GBK"/>
          <w:sz w:val="32"/>
          <w:szCs w:val="32"/>
          <w:shd w:val="clear" w:color="auto" w:fill="auto"/>
        </w:rPr>
        <w:t>79.56</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6.8%</w:t>
      </w:r>
      <w:r>
        <w:rPr>
          <w:rFonts w:ascii="Times New Roman" w:hAnsi="Times New Roman" w:eastAsia="方正仿宋_GBK"/>
          <w:sz w:val="32"/>
          <w:szCs w:val="32"/>
          <w:shd w:val="clear" w:color="auto" w:fill="auto"/>
        </w:rPr>
        <w:t>，</w:t>
      </w:r>
      <w:r>
        <w:rPr>
          <w:rFonts w:hint="default" w:ascii="Times New Roman" w:hAnsi="Times New Roman" w:eastAsia="方正仿宋_GBK"/>
          <w:sz w:val="32"/>
          <w:szCs w:val="32"/>
          <w:shd w:val="clear" w:color="auto" w:fill="auto"/>
        </w:rPr>
        <w:t>较年初预算数增加9.08万元，增长12.9%</w:t>
      </w:r>
      <w:r>
        <w:rPr>
          <w:rFonts w:ascii="Times New Roman" w:hAnsi="Times New Roman" w:eastAsia="方正仿宋_GBK"/>
          <w:sz w:val="32"/>
          <w:szCs w:val="32"/>
          <w:shd w:val="clear" w:color="auto" w:fill="auto"/>
        </w:rPr>
        <w:t>，主要原因是</w:t>
      </w:r>
      <w:r>
        <w:rPr>
          <w:rFonts w:hint="eastAsia" w:ascii="Times New Roman" w:hAnsi="Times New Roman" w:eastAsia="方正仿宋_GBK"/>
          <w:sz w:val="32"/>
          <w:szCs w:val="32"/>
          <w:shd w:val="clear" w:color="auto" w:fill="auto"/>
          <w:lang w:eastAsia="zh-CN"/>
        </w:rPr>
        <w:t>：</w:t>
      </w:r>
      <w:r>
        <w:rPr>
          <w:rFonts w:ascii="Times New Roman" w:hAnsi="Times New Roman" w:eastAsia="方正仿宋_GBK"/>
          <w:sz w:val="32"/>
          <w:szCs w:val="32"/>
          <w:shd w:val="clear" w:color="auto" w:fill="auto"/>
        </w:rPr>
        <w:t>追加项目支出预算。</w:t>
      </w:r>
    </w:p>
    <w:p w14:paraId="5D11BE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w:t>
      </w:r>
      <w:r>
        <w:rPr>
          <w:rFonts w:hint="default" w:ascii="Times New Roman" w:hAnsi="Times New Roman" w:eastAsia="方正仿宋_GBK"/>
          <w:sz w:val="32"/>
          <w:szCs w:val="32"/>
          <w:shd w:val="clear" w:color="auto" w:fill="auto"/>
        </w:rPr>
        <w:t>2</w:t>
      </w:r>
      <w:r>
        <w:rPr>
          <w:rFonts w:ascii="Times New Roman" w:hAnsi="Times New Roman" w:eastAsia="方正仿宋_GBK"/>
          <w:sz w:val="32"/>
          <w:szCs w:val="32"/>
          <w:shd w:val="clear" w:color="auto" w:fill="auto"/>
        </w:rPr>
        <w:t>）卫生健康支出</w:t>
      </w:r>
      <w:r>
        <w:rPr>
          <w:rFonts w:hint="default" w:ascii="Times New Roman" w:hAnsi="Times New Roman" w:eastAsia="方正仿宋_GBK"/>
          <w:sz w:val="32"/>
          <w:szCs w:val="32"/>
          <w:shd w:val="clear" w:color="auto" w:fill="auto"/>
        </w:rPr>
        <w:t>1091.21</w:t>
      </w:r>
      <w:r>
        <w:rPr>
          <w:rFonts w:ascii="Times New Roman" w:hAnsi="Times New Roman" w:eastAsia="方正仿宋_GBK"/>
          <w:sz w:val="32"/>
          <w:szCs w:val="32"/>
          <w:shd w:val="clear" w:color="auto" w:fill="auto"/>
        </w:rPr>
        <w:t>万元，占</w:t>
      </w:r>
      <w:r>
        <w:rPr>
          <w:rFonts w:hint="default" w:ascii="Times New Roman" w:hAnsi="Times New Roman" w:eastAsia="方正仿宋_GBK"/>
          <w:sz w:val="32"/>
          <w:szCs w:val="32"/>
          <w:shd w:val="clear" w:color="auto" w:fill="auto"/>
        </w:rPr>
        <w:t>93.2%</w:t>
      </w:r>
      <w:r>
        <w:rPr>
          <w:rFonts w:ascii="Times New Roman" w:hAnsi="Times New Roman" w:eastAsia="方正仿宋_GBK"/>
          <w:sz w:val="32"/>
          <w:szCs w:val="32"/>
          <w:shd w:val="clear" w:color="auto" w:fill="auto"/>
        </w:rPr>
        <w:t>，</w:t>
      </w:r>
      <w:r>
        <w:rPr>
          <w:rFonts w:hint="default" w:ascii="Times New Roman" w:hAnsi="Times New Roman" w:eastAsia="方正仿宋_GBK"/>
          <w:sz w:val="32"/>
          <w:szCs w:val="32"/>
          <w:shd w:val="clear" w:color="auto" w:fill="auto"/>
        </w:rPr>
        <w:t>较年初预算数增加274.92万元，增长33.7%</w:t>
      </w:r>
      <w:r>
        <w:rPr>
          <w:rFonts w:ascii="Times New Roman" w:hAnsi="Times New Roman" w:eastAsia="方正仿宋_GBK"/>
          <w:sz w:val="32"/>
          <w:szCs w:val="32"/>
          <w:shd w:val="clear" w:color="auto" w:fill="auto"/>
        </w:rPr>
        <w:t>，主要原因是</w:t>
      </w:r>
      <w:r>
        <w:rPr>
          <w:rFonts w:hint="eastAsia" w:ascii="Times New Roman" w:hAnsi="Times New Roman" w:eastAsia="方正仿宋_GBK"/>
          <w:sz w:val="32"/>
          <w:szCs w:val="32"/>
          <w:shd w:val="clear" w:color="auto" w:fill="auto"/>
          <w:lang w:eastAsia="zh-CN"/>
        </w:rPr>
        <w:t>：</w:t>
      </w:r>
      <w:r>
        <w:rPr>
          <w:rFonts w:ascii="Times New Roman" w:hAnsi="Times New Roman" w:eastAsia="方正仿宋_GBK"/>
          <w:sz w:val="32"/>
          <w:szCs w:val="32"/>
          <w:shd w:val="clear" w:color="auto" w:fill="auto"/>
        </w:rPr>
        <w:t>追加项目支出预算。</w:t>
      </w:r>
    </w:p>
    <w:p w14:paraId="0EA66B8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b/>
          <w:bCs/>
          <w:sz w:val="32"/>
          <w:szCs w:val="32"/>
          <w:shd w:val="clear" w:color="auto" w:fill="auto"/>
        </w:rPr>
        <w:t>3</w:t>
      </w:r>
      <w:r>
        <w:rPr>
          <w:rFonts w:ascii="Times New Roman" w:hAnsi="Times New Roman" w:eastAsia="方正仿宋_GBK"/>
          <w:b/>
          <w:bCs/>
          <w:sz w:val="32"/>
          <w:szCs w:val="32"/>
          <w:shd w:val="clear" w:color="auto" w:fill="auto"/>
        </w:rPr>
        <w:t>.结转结余情况。</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年度年末一般公共预算财政拨款结转和结余</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万元，较上年决算数无增减。</w:t>
      </w:r>
    </w:p>
    <w:p w14:paraId="07A3B47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（四）一般公共预算财政拨款基本支出决算情况说明</w:t>
      </w:r>
    </w:p>
    <w:p w14:paraId="491487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年度一般公共财政拨款基本支出</w:t>
      </w:r>
      <w:r>
        <w:rPr>
          <w:rFonts w:hint="default" w:ascii="Times New Roman" w:hAnsi="Times New Roman" w:eastAsia="方正仿宋_GBK"/>
          <w:sz w:val="32"/>
          <w:szCs w:val="32"/>
          <w:shd w:val="clear" w:color="auto" w:fill="auto"/>
        </w:rPr>
        <w:t>1135.57</w:t>
      </w:r>
      <w:r>
        <w:rPr>
          <w:rFonts w:ascii="Times New Roman" w:hAnsi="Times New Roman" w:eastAsia="方正仿宋_GBK"/>
          <w:sz w:val="32"/>
          <w:szCs w:val="32"/>
          <w:shd w:val="clear" w:color="auto" w:fill="auto"/>
        </w:rPr>
        <w:t>万元。其中：</w:t>
      </w:r>
    </w:p>
    <w:p w14:paraId="673C232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人员经费</w:t>
      </w:r>
      <w:r>
        <w:rPr>
          <w:rFonts w:hint="default" w:ascii="Times New Roman" w:hAnsi="Times New Roman" w:eastAsia="方正仿宋_GBK"/>
          <w:sz w:val="32"/>
          <w:szCs w:val="32"/>
          <w:shd w:val="clear" w:color="auto" w:fill="auto"/>
        </w:rPr>
        <w:t>1042.73</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w:t>
      </w:r>
      <w:r>
        <w:rPr>
          <w:rFonts w:ascii="Times New Roman" w:hAnsi="Times New Roman" w:eastAsia="方正仿宋_GBK"/>
          <w:sz w:val="32"/>
          <w:szCs w:val="32"/>
          <w:shd w:val="clear" w:color="auto" w:fill="auto"/>
        </w:rPr>
        <w:t>增加30.63</w:t>
      </w:r>
      <w:r>
        <w:rPr>
          <w:rFonts w:hint="default" w:ascii="Times New Roman" w:hAnsi="Times New Roman" w:eastAsia="方正仿宋_GBK"/>
          <w:sz w:val="32"/>
          <w:szCs w:val="32"/>
          <w:shd w:val="clear" w:color="auto" w:fill="auto"/>
        </w:rPr>
        <w:t>万元，</w:t>
      </w:r>
      <w:r>
        <w:rPr>
          <w:rFonts w:ascii="Times New Roman" w:hAnsi="Times New Roman" w:eastAsia="方正仿宋_GBK"/>
          <w:sz w:val="32"/>
          <w:szCs w:val="32"/>
          <w:shd w:val="clear" w:color="auto" w:fill="auto"/>
        </w:rPr>
        <w:t>增长3.03</w:t>
      </w:r>
      <w:r>
        <w:rPr>
          <w:rFonts w:hint="default" w:ascii="Times New Roman" w:hAnsi="Times New Roman" w:eastAsia="方正仿宋_GBK"/>
          <w:sz w:val="32"/>
          <w:szCs w:val="32"/>
          <w:shd w:val="clear" w:color="auto" w:fill="auto"/>
        </w:rPr>
        <w:t>%</w:t>
      </w:r>
      <w:r>
        <w:rPr>
          <w:rFonts w:ascii="Times New Roman" w:hAnsi="Times New Roman" w:eastAsia="方正仿宋_GBK"/>
          <w:sz w:val="32"/>
          <w:szCs w:val="32"/>
          <w:shd w:val="clear" w:color="auto" w:fill="auto"/>
        </w:rPr>
        <w:t xml:space="preserve">，主要原因是：工资福利支出增加54.17万元，对个人和家庭的补助支出减少60.14万元。人员经费用途主要包括：职工基本工资214.76万元、津贴补贴37.93万元、绩效工资434.06万元、职工社会保障缴费1.10万元、其他工资福利支出261.94万元、对个人和家庭的补助92.94万元。 </w:t>
      </w:r>
    </w:p>
    <w:p w14:paraId="70C108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公用经费</w:t>
      </w:r>
      <w:r>
        <w:rPr>
          <w:rFonts w:ascii="Times New Roman" w:hAnsi="Times New Roman" w:eastAsia="方正仿宋_GBK"/>
          <w:sz w:val="32"/>
          <w:szCs w:val="32"/>
          <w:shd w:val="clear" w:color="auto" w:fill="auto"/>
        </w:rPr>
        <w:t>92.84</w:t>
      </w:r>
      <w:r>
        <w:rPr>
          <w:rFonts w:hint="default" w:ascii="Times New Roman" w:hAnsi="Times New Roman" w:eastAsia="方正仿宋_GBK"/>
          <w:sz w:val="32"/>
          <w:szCs w:val="32"/>
          <w:shd w:val="clear" w:color="auto" w:fill="auto"/>
        </w:rPr>
        <w:t>万元，较上年决算数</w:t>
      </w:r>
      <w:r>
        <w:rPr>
          <w:rFonts w:ascii="Times New Roman" w:hAnsi="Times New Roman" w:eastAsia="方正仿宋_GBK"/>
          <w:sz w:val="32"/>
          <w:szCs w:val="32"/>
          <w:shd w:val="clear" w:color="auto" w:fill="auto"/>
        </w:rPr>
        <w:t>增加5.15</w:t>
      </w:r>
      <w:r>
        <w:rPr>
          <w:rFonts w:hint="default" w:ascii="Times New Roman" w:hAnsi="Times New Roman" w:eastAsia="方正仿宋_GBK"/>
          <w:sz w:val="32"/>
          <w:szCs w:val="32"/>
          <w:shd w:val="clear" w:color="auto" w:fill="auto"/>
        </w:rPr>
        <w:t>万元</w:t>
      </w:r>
      <w:r>
        <w:rPr>
          <w:rFonts w:ascii="Times New Roman" w:hAnsi="Times New Roman" w:eastAsia="方正仿宋_GBK"/>
          <w:sz w:val="32"/>
          <w:szCs w:val="32"/>
          <w:shd w:val="clear" w:color="auto" w:fill="auto"/>
        </w:rPr>
        <w:t>，增长5.87</w:t>
      </w:r>
      <w:r>
        <w:rPr>
          <w:rFonts w:hint="default" w:ascii="Times New Roman" w:hAnsi="Times New Roman" w:eastAsia="方正仿宋_GBK"/>
          <w:sz w:val="32"/>
          <w:szCs w:val="32"/>
          <w:shd w:val="clear" w:color="auto" w:fill="auto"/>
        </w:rPr>
        <w:t>%，主要原因是</w:t>
      </w:r>
      <w:r>
        <w:rPr>
          <w:rFonts w:ascii="Times New Roman" w:hAnsi="Times New Roman" w:eastAsia="方正仿宋_GBK"/>
          <w:sz w:val="32"/>
          <w:szCs w:val="32"/>
          <w:shd w:val="clear" w:color="auto" w:fill="auto"/>
        </w:rPr>
        <w:t>：办公费减少2.14万元，电费增加0.78万元，差旅费增加0.68万元，维修（护）费减少1.86万元，劳务费减少4.01万元，专用材料费增加66.22万元，委托业务费减少60.00万元，其他商品和服务支出减少7.16万元。公用经费用途主要包括：办公费2.78万元、水费0.70万元、电费4.84万元、邮电费0.83万元、差旅费3.63万元、维修（护）费0.31万元、专用材料费77.99万元、其他交通费用1.74万元。</w:t>
      </w:r>
    </w:p>
    <w:p w14:paraId="6D723C5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（五）政府性基金预算收支决算情况说明</w:t>
      </w:r>
    </w:p>
    <w:p w14:paraId="479776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本单位</w:t>
      </w:r>
      <w:r>
        <w:rPr>
          <w:rFonts w:hint="default" w:ascii="Times New Roman" w:hAnsi="Times New Roman" w:eastAsia="方正仿宋_GBK"/>
          <w:sz w:val="32"/>
          <w:szCs w:val="32"/>
          <w:shd w:val="clear" w:color="auto" w:fill="auto"/>
        </w:rPr>
        <w:t>202</w:t>
      </w:r>
      <w:r>
        <w:rPr>
          <w:rFonts w:ascii="Times New Roman" w:hAnsi="Times New Roman" w:eastAsia="方正仿宋_GBK"/>
          <w:sz w:val="32"/>
          <w:szCs w:val="32"/>
          <w:shd w:val="clear" w:color="auto" w:fill="auto"/>
        </w:rPr>
        <w:t>4年度无政府性基金预算财政拨款收支。</w:t>
      </w:r>
    </w:p>
    <w:p w14:paraId="00B22EA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（六）国有资本经营预算财政拨款支出决算情况说明</w:t>
      </w:r>
    </w:p>
    <w:p w14:paraId="6148FAC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本单位2024年度无国有资本经营预算财政拨款支出</w:t>
      </w:r>
      <w:r>
        <w:rPr>
          <w:rFonts w:ascii="Times New Roman" w:hAnsi="Times New Roman" w:eastAsia="方正仿宋_GBK"/>
          <w:sz w:val="32"/>
          <w:szCs w:val="32"/>
          <w:shd w:val="clear" w:color="auto" w:fill="auto"/>
        </w:rPr>
        <w:t>。</w:t>
      </w:r>
    </w:p>
    <w:p w14:paraId="750A16E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shd w:val="clear" w:color="auto" w:fill="auto"/>
        </w:rPr>
      </w:pPr>
      <w:r>
        <w:rPr>
          <w:rFonts w:hint="eastAsia" w:ascii="方正黑体_GBK" w:hAnsi="方正黑体_GBK" w:eastAsia="方正黑体_GBK" w:cs="方正黑体_GBK"/>
          <w:b/>
          <w:bCs/>
          <w:sz w:val="32"/>
          <w:szCs w:val="32"/>
          <w:shd w:val="clear" w:color="auto" w:fill="auto"/>
        </w:rPr>
        <w:t>三、财政拨款“三公”经费情况说明</w:t>
      </w:r>
    </w:p>
    <w:p w14:paraId="5271FF3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（一）“三公”经费支出总体情况说明</w:t>
      </w:r>
    </w:p>
    <w:p w14:paraId="180AC5F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我单位属于差额拨款单位，未使用财政资金保障“三公”经费。</w:t>
      </w:r>
    </w:p>
    <w:p w14:paraId="5266956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（二）“三公”经费分项支出情况</w:t>
      </w:r>
    </w:p>
    <w:p w14:paraId="44B1ADE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2024年度本单位因公出国（境）费用0.00万元，费用支出较年初预算数无增减，较上年支出数无增减。</w:t>
      </w:r>
    </w:p>
    <w:p w14:paraId="2A126A8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公务用车购置费0.00万元，费用支出较年初预算数无增减，较上年支出数无增减。</w:t>
      </w:r>
    </w:p>
    <w:p w14:paraId="1CB4CCB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公务车运行维护费0.00万元</w:t>
      </w:r>
      <w:r>
        <w:rPr>
          <w:rFonts w:hint="eastAsia" w:ascii="Times New Roman" w:hAnsi="Times New Roman" w:eastAsia="方正仿宋_GBK"/>
          <w:sz w:val="32"/>
          <w:szCs w:val="32"/>
          <w:shd w:val="clear" w:color="auto" w:fill="auto"/>
        </w:rPr>
        <w:t>，</w:t>
      </w:r>
      <w:r>
        <w:rPr>
          <w:rFonts w:ascii="Times New Roman" w:hAnsi="Times New Roman" w:eastAsia="方正仿宋_GBK"/>
          <w:sz w:val="32"/>
          <w:szCs w:val="32"/>
          <w:shd w:val="clear" w:color="auto" w:fill="auto"/>
        </w:rPr>
        <w:t>费用支出较年初预算数无增减，较上年支出数无增减。 </w:t>
      </w:r>
    </w:p>
    <w:p w14:paraId="532ABB8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公务接待费0.00万元，费用支出较年初预算数无增减，较上年支出数无增减。</w:t>
      </w:r>
    </w:p>
    <w:p w14:paraId="1C93ED6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（三）“三公”经费实物量情况</w:t>
      </w:r>
    </w:p>
    <w:p w14:paraId="13A943A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年度本单位因公出国（境）共计</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个团组，</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人；公务用车购置</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辆，公务车保有量为</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辆；国内公务接待</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批次</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人，其中：国内外事接待</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批次，</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人；国（境）外公务接待</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批次，</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人。</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年本部门人均接待费</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元，车均购置费</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万元，车均维护费</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万元。</w:t>
      </w:r>
    </w:p>
    <w:p w14:paraId="327463B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shd w:val="clear" w:color="auto" w:fill="auto"/>
        </w:rPr>
      </w:pPr>
      <w:r>
        <w:rPr>
          <w:rFonts w:hint="eastAsia" w:ascii="方正黑体_GBK" w:hAnsi="方正黑体_GBK" w:eastAsia="方正黑体_GBK" w:cs="方正黑体_GBK"/>
          <w:b/>
          <w:bCs/>
          <w:sz w:val="32"/>
          <w:szCs w:val="32"/>
          <w:shd w:val="clear" w:color="auto" w:fill="auto"/>
        </w:rPr>
        <w:t>四、其他需要说明的事项</w:t>
      </w:r>
    </w:p>
    <w:p w14:paraId="661DABE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（一）财政拨款会议费、培训费和差旅费情况说明</w:t>
      </w:r>
    </w:p>
    <w:p w14:paraId="681C526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本年度会议费支出</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与2023年度相比，无增减</w:t>
      </w:r>
      <w:r>
        <w:rPr>
          <w:rFonts w:ascii="Times New Roman" w:hAnsi="Times New Roman" w:eastAsia="方正仿宋_GBK"/>
          <w:sz w:val="32"/>
          <w:szCs w:val="32"/>
          <w:shd w:val="clear" w:color="auto" w:fill="auto"/>
        </w:rPr>
        <w:t>，本年度培训费支出</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与2023年度相比，无变化</w:t>
      </w:r>
      <w:r>
        <w:rPr>
          <w:rFonts w:ascii="Times New Roman" w:hAnsi="Times New Roman" w:eastAsia="方正仿宋_GBK"/>
          <w:sz w:val="32"/>
          <w:szCs w:val="32"/>
          <w:shd w:val="clear" w:color="auto" w:fill="auto"/>
        </w:rPr>
        <w:t>，主要原因是：未使用财政资金保障</w:t>
      </w:r>
      <w:r>
        <w:rPr>
          <w:rFonts w:hint="default" w:ascii="Times New Roman" w:hAnsi="Times New Roman" w:eastAsia="方正仿宋_GBK"/>
          <w:sz w:val="32"/>
          <w:szCs w:val="32"/>
          <w:shd w:val="clear" w:color="auto" w:fill="auto"/>
        </w:rPr>
        <w:t>培训费</w:t>
      </w:r>
      <w:r>
        <w:rPr>
          <w:rFonts w:ascii="Times New Roman" w:hAnsi="Times New Roman" w:eastAsia="方正仿宋_GBK"/>
          <w:sz w:val="32"/>
          <w:szCs w:val="32"/>
          <w:shd w:val="clear" w:color="auto" w:fill="auto"/>
        </w:rPr>
        <w:t>。本年度差旅费支出</w:t>
      </w:r>
      <w:r>
        <w:rPr>
          <w:rFonts w:hint="default" w:ascii="Times New Roman" w:hAnsi="Times New Roman" w:eastAsia="方正仿宋_GBK"/>
          <w:sz w:val="32"/>
          <w:szCs w:val="32"/>
          <w:shd w:val="clear" w:color="auto" w:fill="auto"/>
        </w:rPr>
        <w:t>3.63</w:t>
      </w:r>
      <w:r>
        <w:rPr>
          <w:rFonts w:ascii="Times New Roman" w:hAnsi="Times New Roman" w:eastAsia="方正仿宋_GBK"/>
          <w:sz w:val="32"/>
          <w:szCs w:val="32"/>
          <w:shd w:val="clear" w:color="auto" w:fill="auto"/>
        </w:rPr>
        <w:t>万元，</w:t>
      </w:r>
      <w:r>
        <w:rPr>
          <w:rFonts w:hint="default" w:ascii="Times New Roman" w:hAnsi="Times New Roman" w:eastAsia="方正仿宋_GBK"/>
          <w:sz w:val="32"/>
          <w:szCs w:val="32"/>
          <w:shd w:val="clear" w:color="auto" w:fill="auto"/>
        </w:rPr>
        <w:t>与2023年度相比，增加0.68万元，增长23.1%</w:t>
      </w:r>
      <w:r>
        <w:rPr>
          <w:rFonts w:ascii="Times New Roman" w:hAnsi="Times New Roman" w:eastAsia="方正仿宋_GBK"/>
          <w:sz w:val="32"/>
          <w:szCs w:val="32"/>
          <w:shd w:val="clear" w:color="auto" w:fill="auto"/>
        </w:rPr>
        <w:t>，主要原因是：本年度使用基本公共卫生经费支付差旅费增加0.68万元。</w:t>
      </w:r>
    </w:p>
    <w:p w14:paraId="687793D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（二）机关运行经费情况说明</w:t>
      </w:r>
    </w:p>
    <w:p w14:paraId="1AA018F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按照</w:t>
      </w:r>
      <w:r>
        <w:rPr>
          <w:rFonts w:hint="eastAsia" w:ascii="Times New Roman" w:hAnsi="Times New Roman" w:eastAsia="方正仿宋_GBK"/>
          <w:sz w:val="32"/>
          <w:szCs w:val="32"/>
          <w:shd w:val="clear" w:color="auto" w:fill="auto"/>
          <w:lang w:eastAsia="zh-CN"/>
        </w:rPr>
        <w:t>单位</w:t>
      </w:r>
      <w:r>
        <w:rPr>
          <w:rFonts w:hint="default" w:ascii="Times New Roman" w:hAnsi="Times New Roman" w:eastAsia="方正仿宋_GBK"/>
          <w:sz w:val="32"/>
          <w:szCs w:val="32"/>
          <w:shd w:val="clear" w:color="auto" w:fill="auto"/>
        </w:rPr>
        <w:t>决算列报口径，我</w:t>
      </w:r>
      <w:r>
        <w:rPr>
          <w:rFonts w:ascii="Times New Roman" w:hAnsi="Times New Roman" w:eastAsia="方正仿宋_GBK"/>
          <w:sz w:val="32"/>
          <w:szCs w:val="32"/>
          <w:shd w:val="clear" w:color="auto" w:fill="auto"/>
        </w:rPr>
        <w:t>单位</w:t>
      </w:r>
      <w:r>
        <w:rPr>
          <w:rFonts w:hint="default" w:ascii="Times New Roman" w:hAnsi="Times New Roman" w:eastAsia="方正仿宋_GBK"/>
          <w:sz w:val="32"/>
          <w:szCs w:val="32"/>
          <w:shd w:val="clear" w:color="auto" w:fill="auto"/>
        </w:rPr>
        <w:t>不在机关运行经费统计范围之内。</w:t>
      </w:r>
    </w:p>
    <w:p w14:paraId="4813FBC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（三）国有资产占用情况说明</w:t>
      </w:r>
    </w:p>
    <w:p w14:paraId="0DED98E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截至</w:t>
      </w: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w:t>
      </w:r>
      <w:r>
        <w:rPr>
          <w:rFonts w:hint="default" w:ascii="Times New Roman" w:hAnsi="Times New Roman" w:eastAsia="方正仿宋_GBK"/>
          <w:sz w:val="32"/>
          <w:szCs w:val="32"/>
          <w:shd w:val="clear" w:color="auto" w:fill="auto"/>
        </w:rPr>
        <w:t>12</w:t>
      </w:r>
      <w:r>
        <w:rPr>
          <w:rFonts w:ascii="Times New Roman" w:hAnsi="Times New Roman" w:eastAsia="方正仿宋_GBK"/>
          <w:sz w:val="32"/>
          <w:szCs w:val="32"/>
          <w:shd w:val="clear" w:color="auto" w:fill="auto"/>
        </w:rPr>
        <w:t>月</w:t>
      </w:r>
      <w:r>
        <w:rPr>
          <w:rFonts w:hint="default" w:ascii="Times New Roman" w:hAnsi="Times New Roman" w:eastAsia="方正仿宋_GBK"/>
          <w:sz w:val="32"/>
          <w:szCs w:val="32"/>
          <w:shd w:val="clear" w:color="auto" w:fill="auto"/>
        </w:rPr>
        <w:t>31</w:t>
      </w:r>
      <w:r>
        <w:rPr>
          <w:rFonts w:ascii="Times New Roman" w:hAnsi="Times New Roman" w:eastAsia="方正仿宋_GBK"/>
          <w:sz w:val="32"/>
          <w:szCs w:val="32"/>
          <w:shd w:val="clear" w:color="auto" w:fill="auto"/>
        </w:rPr>
        <w:t>日，本单位共有车辆</w:t>
      </w:r>
      <w:r>
        <w:rPr>
          <w:rFonts w:hint="default" w:ascii="Times New Roman" w:hAnsi="Times New Roman" w:eastAsia="方正仿宋_GBK"/>
          <w:sz w:val="32"/>
          <w:szCs w:val="32"/>
          <w:shd w:val="clear" w:color="auto" w:fill="auto"/>
        </w:rPr>
        <w:t>2</w:t>
      </w:r>
      <w:r>
        <w:rPr>
          <w:rFonts w:ascii="Times New Roman" w:hAnsi="Times New Roman" w:eastAsia="方正仿宋_GBK"/>
          <w:sz w:val="32"/>
          <w:szCs w:val="32"/>
          <w:shd w:val="clear" w:color="auto" w:fill="auto"/>
        </w:rPr>
        <w:t>辆，其中，副部（省）级及以上领导用车</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辆、主要负责人用车</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辆、机要通信用车</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辆、应急保障用车</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辆、执法执勤用车</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辆，特种专业技术用车</w:t>
      </w:r>
      <w:r>
        <w:rPr>
          <w:rFonts w:hint="default" w:ascii="Times New Roman" w:hAnsi="Times New Roman" w:eastAsia="方正仿宋_GBK"/>
          <w:sz w:val="32"/>
          <w:szCs w:val="32"/>
          <w:shd w:val="clear" w:color="auto" w:fill="auto"/>
        </w:rPr>
        <w:t>2</w:t>
      </w:r>
      <w:r>
        <w:rPr>
          <w:rFonts w:ascii="Times New Roman" w:hAnsi="Times New Roman" w:eastAsia="方正仿宋_GBK"/>
          <w:sz w:val="32"/>
          <w:szCs w:val="32"/>
          <w:shd w:val="clear" w:color="auto" w:fill="auto"/>
        </w:rPr>
        <w:t>辆，离退休干部用车</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辆。单价</w:t>
      </w:r>
      <w:r>
        <w:rPr>
          <w:rFonts w:hint="default" w:ascii="Times New Roman" w:hAnsi="Times New Roman" w:eastAsia="方正仿宋_GBK"/>
          <w:sz w:val="32"/>
          <w:szCs w:val="32"/>
          <w:shd w:val="clear" w:color="auto" w:fill="auto"/>
        </w:rPr>
        <w:t>100</w:t>
      </w:r>
      <w:r>
        <w:rPr>
          <w:rFonts w:ascii="Times New Roman" w:hAnsi="Times New Roman" w:eastAsia="方正仿宋_GBK"/>
          <w:sz w:val="32"/>
          <w:szCs w:val="32"/>
          <w:shd w:val="clear" w:color="auto" w:fill="auto"/>
        </w:rPr>
        <w:t>万元（含）以上专用设备</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台（套）。</w:t>
      </w:r>
    </w:p>
    <w:p w14:paraId="6D3B29C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（四）政府采购支出情况说明</w:t>
      </w:r>
    </w:p>
    <w:p w14:paraId="1436A1F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shd w:val="clear" w:color="auto" w:fill="auto"/>
        </w:rPr>
      </w:pPr>
      <w:r>
        <w:rPr>
          <w:rFonts w:hint="default" w:ascii="Times New Roman" w:hAnsi="Times New Roman" w:eastAsia="方正仿宋_GBK"/>
          <w:sz w:val="32"/>
          <w:szCs w:val="32"/>
          <w:shd w:val="clear" w:color="auto" w:fill="auto"/>
        </w:rPr>
        <w:t>2024</w:t>
      </w:r>
      <w:r>
        <w:rPr>
          <w:rFonts w:ascii="Times New Roman" w:hAnsi="Times New Roman" w:eastAsia="方正仿宋_GBK"/>
          <w:sz w:val="32"/>
          <w:szCs w:val="32"/>
          <w:shd w:val="clear" w:color="auto" w:fill="auto"/>
        </w:rPr>
        <w:t>年度本单位政府采购支出总额</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万元，其中：政府采购货物支出</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万元、政府采购工程支出</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万元、政府采购服务支出</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万元。授予中小企业合同金额</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万元，占政府采购支出总额的</w:t>
      </w:r>
      <w:r>
        <w:rPr>
          <w:rFonts w:hint="default" w:ascii="Times New Roman" w:hAnsi="Times New Roman" w:eastAsia="方正仿宋_GBK"/>
          <w:sz w:val="32"/>
          <w:szCs w:val="32"/>
          <w:shd w:val="clear" w:color="auto" w:fill="auto"/>
        </w:rPr>
        <w:t>0%</w:t>
      </w:r>
      <w:r>
        <w:rPr>
          <w:rFonts w:ascii="Times New Roman" w:hAnsi="Times New Roman" w:eastAsia="方正仿宋_GBK"/>
          <w:sz w:val="32"/>
          <w:szCs w:val="32"/>
          <w:shd w:val="clear" w:color="auto" w:fill="auto"/>
        </w:rPr>
        <w:t>，其中：授予小微企业合同金额</w:t>
      </w:r>
      <w:r>
        <w:rPr>
          <w:rFonts w:hint="default" w:ascii="Times New Roman" w:hAnsi="Times New Roman" w:eastAsia="方正仿宋_GBK"/>
          <w:sz w:val="32"/>
          <w:szCs w:val="32"/>
          <w:shd w:val="clear" w:color="auto" w:fill="auto"/>
        </w:rPr>
        <w:t>0.00</w:t>
      </w:r>
      <w:r>
        <w:rPr>
          <w:rFonts w:ascii="Times New Roman" w:hAnsi="Times New Roman" w:eastAsia="方正仿宋_GBK"/>
          <w:sz w:val="32"/>
          <w:szCs w:val="32"/>
          <w:shd w:val="clear" w:color="auto" w:fill="auto"/>
        </w:rPr>
        <w:t>万元，占政府采购支出总额的</w:t>
      </w:r>
      <w:r>
        <w:rPr>
          <w:rFonts w:hint="default" w:ascii="Times New Roman" w:hAnsi="Times New Roman" w:eastAsia="方正仿宋_GBK"/>
          <w:sz w:val="32"/>
          <w:szCs w:val="32"/>
          <w:shd w:val="clear" w:color="auto" w:fill="auto"/>
        </w:rPr>
        <w:t>0 %</w:t>
      </w:r>
      <w:r>
        <w:rPr>
          <w:rFonts w:ascii="Times New Roman" w:hAnsi="Times New Roman" w:eastAsia="方正仿宋_GBK"/>
          <w:sz w:val="32"/>
          <w:szCs w:val="32"/>
          <w:shd w:val="clear" w:color="auto" w:fill="auto"/>
        </w:rPr>
        <w:t>。2024年度我单位未发生政府采购事项，无相关经费支出。</w:t>
      </w:r>
    </w:p>
    <w:p w14:paraId="0D2984E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shd w:val="clear" w:color="auto" w:fill="auto"/>
        </w:rPr>
      </w:pPr>
      <w:r>
        <w:rPr>
          <w:rFonts w:hint="eastAsia" w:ascii="方正黑体_GBK" w:hAnsi="方正黑体_GBK" w:eastAsia="方正黑体_GBK" w:cs="方正黑体_GBK"/>
          <w:b/>
          <w:bCs/>
          <w:sz w:val="32"/>
          <w:szCs w:val="32"/>
          <w:shd w:val="clear" w:color="auto" w:fill="auto"/>
        </w:rPr>
        <w:t>五、</w:t>
      </w:r>
      <w:r>
        <w:rPr>
          <w:rFonts w:hint="default" w:ascii="Times New Roman" w:hAnsi="Times New Roman" w:eastAsia="方正黑体_GBK" w:cs="Times New Roman"/>
          <w:b/>
          <w:bCs/>
          <w:sz w:val="32"/>
          <w:szCs w:val="32"/>
          <w:shd w:val="clear" w:color="auto" w:fill="auto"/>
        </w:rPr>
        <w:t>2024</w:t>
      </w:r>
      <w:r>
        <w:rPr>
          <w:rFonts w:hint="eastAsia" w:ascii="方正黑体_GBK" w:hAnsi="方正黑体_GBK" w:eastAsia="方正黑体_GBK" w:cs="方正黑体_GBK"/>
          <w:b/>
          <w:bCs/>
          <w:sz w:val="32"/>
          <w:szCs w:val="32"/>
          <w:shd w:val="clear" w:color="auto" w:fill="auto"/>
        </w:rPr>
        <w:t>年度预算绩效管理情况说明</w:t>
      </w:r>
    </w:p>
    <w:p w14:paraId="23F56F2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（一）单位自评情况</w:t>
      </w:r>
    </w:p>
    <w:p w14:paraId="087FCF2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按照预算绩效管理要求，我单位对5个项目开展了绩效自评，其中，以填报目标自评表形式开展自评5项，涉及资金299.0699万元。从评价情况来看，项目立项较为规范，绩效目标明确，预算编制合理，管理科学规范，资金到位及时，总体完成情况较好，有力保障了本单位的医疗卫生服务能力，项目基本达到了预期绩效目标。绩效自评表见附件。</w:t>
      </w:r>
    </w:p>
    <w:p w14:paraId="74A58DF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（二）单位绩效评价情况</w:t>
      </w:r>
    </w:p>
    <w:p w14:paraId="2F59577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我单位未组织开展绩效评价。</w:t>
      </w:r>
    </w:p>
    <w:p w14:paraId="4E7E9B8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shd w:val="clear" w:color="auto" w:fill="auto"/>
        </w:rPr>
      </w:pPr>
      <w:r>
        <w:rPr>
          <w:rFonts w:hint="eastAsia" w:ascii="方正楷体_GBK" w:hAnsi="方正楷体_GBK" w:eastAsia="方正楷体_GBK" w:cs="方正楷体_GBK"/>
          <w:b/>
          <w:bCs/>
          <w:sz w:val="32"/>
          <w:szCs w:val="32"/>
          <w:shd w:val="clear" w:color="auto" w:fill="auto"/>
        </w:rPr>
        <w:t>（三）财政绩效评价情况</w:t>
      </w:r>
    </w:p>
    <w:p w14:paraId="1FF1D8D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县财政局未委托第三方对我单位开展绩效评价。</w:t>
      </w:r>
    </w:p>
    <w:p w14:paraId="602BFD2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shd w:val="clear" w:color="auto" w:fill="auto"/>
        </w:rPr>
      </w:pPr>
      <w:r>
        <w:rPr>
          <w:rFonts w:hint="eastAsia" w:ascii="方正黑体_GBK" w:hAnsi="方正黑体_GBK" w:eastAsia="方正黑体_GBK" w:cs="方正黑体_GBK"/>
          <w:b/>
          <w:bCs/>
          <w:sz w:val="32"/>
          <w:szCs w:val="32"/>
          <w:shd w:val="clear" w:color="auto" w:fill="auto"/>
        </w:rPr>
        <w:t>六、专业名词解释</w:t>
      </w:r>
    </w:p>
    <w:p w14:paraId="7B50963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（一）财政拨款收入：</w:t>
      </w:r>
      <w:r>
        <w:rPr>
          <w:rFonts w:hint="eastAsia" w:ascii="Times New Roman" w:hAnsi="Times New Roman" w:eastAsia="方正仿宋_GBK"/>
          <w:sz w:val="32"/>
          <w:szCs w:val="32"/>
          <w:shd w:val="clear" w:color="auto" w:fill="auto"/>
        </w:rPr>
        <w:t>指本年度从本级财政部门取得的财政拨款，包括一般公共预算财政拨款和政府性基金预算财政拨款。</w:t>
      </w:r>
    </w:p>
    <w:p w14:paraId="261F5CC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（二）事业收入：</w:t>
      </w:r>
      <w:r>
        <w:rPr>
          <w:rFonts w:hint="eastAsia" w:ascii="Times New Roman" w:hAnsi="Times New Roman" w:eastAsia="方正仿宋_GBK"/>
          <w:sz w:val="32"/>
          <w:szCs w:val="32"/>
          <w:shd w:val="clear" w:color="auto" w:fill="auto"/>
        </w:rPr>
        <w:t>指事业单位开展专业业务活动及其辅助活动取得的现金流入；事业单位收到的财政专户实际核拨的教育收费等资金在此反映。</w:t>
      </w:r>
    </w:p>
    <w:p w14:paraId="7F0EBC3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（三）经营收入：</w:t>
      </w:r>
      <w:r>
        <w:rPr>
          <w:rFonts w:hint="eastAsia" w:ascii="Times New Roman" w:hAnsi="Times New Roman" w:eastAsia="方正仿宋_GBK"/>
          <w:sz w:val="32"/>
          <w:szCs w:val="32"/>
          <w:shd w:val="clear" w:color="auto" w:fill="auto"/>
        </w:rPr>
        <w:t>指事业单位在专业业务活动及其辅助活动之外开展非独立核算经营活动取得的现金流入。</w:t>
      </w:r>
    </w:p>
    <w:p w14:paraId="073D2BE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（四）其他收入：</w:t>
      </w:r>
      <w:r>
        <w:rPr>
          <w:rFonts w:hint="eastAsia" w:ascii="Times New Roman" w:hAnsi="Times New Roman" w:eastAsia="方正仿宋_GBK"/>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7E31ED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（五）使用非财政拨款结余（含专用结余）：</w:t>
      </w:r>
      <w:r>
        <w:rPr>
          <w:rFonts w:hint="eastAsia" w:ascii="Times New Roman" w:hAnsi="Times New Roman" w:eastAsia="方正仿宋_GBK"/>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3D6933F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（六）年初结转和结余：</w:t>
      </w:r>
      <w:r>
        <w:rPr>
          <w:rFonts w:hint="eastAsia" w:ascii="Times New Roman" w:hAnsi="Times New Roman" w:eastAsia="方正仿宋_GBK"/>
          <w:sz w:val="32"/>
          <w:szCs w:val="32"/>
          <w:shd w:val="clear" w:color="auto" w:fill="auto"/>
        </w:rPr>
        <w:t>指单位上年结转本年使用的基本支出结转、项目支出结转和结余、经营结余。</w:t>
      </w:r>
    </w:p>
    <w:p w14:paraId="7F95D98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（七）结余分配：</w:t>
      </w:r>
      <w:r>
        <w:rPr>
          <w:rFonts w:hint="eastAsia" w:ascii="Times New Roman" w:hAnsi="Times New Roman" w:eastAsia="方正仿宋_GBK"/>
          <w:sz w:val="32"/>
          <w:szCs w:val="32"/>
          <w:shd w:val="clear" w:color="auto" w:fill="auto"/>
        </w:rPr>
        <w:t>指单位按照国家有关规定，缴纳所得税、提取专用基金、转入非财政拨款结余等当年结余的分配情况。</w:t>
      </w:r>
    </w:p>
    <w:p w14:paraId="6A525A8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（八）年末结转和结余：</w:t>
      </w:r>
      <w:r>
        <w:rPr>
          <w:rFonts w:hint="eastAsia" w:ascii="Times New Roman" w:hAnsi="Times New Roman" w:eastAsia="方正仿宋_GBK"/>
          <w:sz w:val="32"/>
          <w:szCs w:val="32"/>
          <w:shd w:val="clear" w:color="auto" w:fill="auto"/>
        </w:rPr>
        <w:t>指单位结转下年的基本支出结转、项目支出结转和结余、经营结余。</w:t>
      </w:r>
    </w:p>
    <w:p w14:paraId="646117A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（九）基本支出：</w:t>
      </w:r>
      <w:r>
        <w:rPr>
          <w:rFonts w:hint="eastAsia" w:ascii="Times New Roman" w:hAnsi="Times New Roman" w:eastAsia="方正仿宋_GBK"/>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9A7D2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（十）项目支出：</w:t>
      </w:r>
      <w:r>
        <w:rPr>
          <w:rFonts w:hint="eastAsia" w:ascii="Times New Roman" w:hAnsi="Times New Roman" w:eastAsia="方正仿宋_GBK"/>
          <w:sz w:val="32"/>
          <w:szCs w:val="32"/>
          <w:shd w:val="clear" w:color="auto" w:fill="auto"/>
        </w:rPr>
        <w:t>指在基本支出之外为完成特定行政任务和事业发展目标所发生的支出。</w:t>
      </w:r>
    </w:p>
    <w:p w14:paraId="2DCA573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（十一）经营支出：</w:t>
      </w:r>
      <w:r>
        <w:rPr>
          <w:rFonts w:hint="eastAsia" w:ascii="Times New Roman" w:hAnsi="Times New Roman" w:eastAsia="方正仿宋_GBK"/>
          <w:sz w:val="32"/>
          <w:szCs w:val="32"/>
          <w:shd w:val="clear" w:color="auto" w:fill="auto"/>
        </w:rPr>
        <w:t>指事业单位在专业业务活动及其辅助活动之外开展非独立核算经营活动发生的支出。</w:t>
      </w:r>
    </w:p>
    <w:p w14:paraId="2238987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（十二）“三公”经费：</w:t>
      </w:r>
      <w:r>
        <w:rPr>
          <w:rFonts w:hint="eastAsia" w:ascii="Times New Roman" w:hAnsi="Times New Roman" w:eastAsia="方正仿宋_GBK"/>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7ED40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（十三）机关运行经费：</w:t>
      </w:r>
      <w:r>
        <w:rPr>
          <w:rFonts w:hint="eastAsia" w:ascii="Times New Roman" w:hAnsi="Times New Roman" w:eastAsia="方正仿宋_GBK"/>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19014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（十四）工资福利支出（支出经济分类科目类级）：</w:t>
      </w:r>
      <w:r>
        <w:rPr>
          <w:rFonts w:hint="eastAsia" w:ascii="Times New Roman" w:hAnsi="Times New Roman" w:eastAsia="方正仿宋_GBK"/>
          <w:sz w:val="32"/>
          <w:szCs w:val="32"/>
          <w:shd w:val="clear" w:color="auto" w:fill="auto"/>
        </w:rPr>
        <w:t>反映单位开支的在职职工和编制外长期聘用人员的各类劳动报酬，以及为上述人员缴纳的各项社会保险费等。</w:t>
      </w:r>
    </w:p>
    <w:p w14:paraId="757015B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（十五）商品和服务支出（支出经济分类科目类级）：</w:t>
      </w:r>
      <w:r>
        <w:rPr>
          <w:rFonts w:hint="eastAsia" w:ascii="Times New Roman" w:hAnsi="Times New Roman" w:eastAsia="方正仿宋_GBK"/>
          <w:sz w:val="32"/>
          <w:szCs w:val="32"/>
          <w:shd w:val="clear" w:color="auto" w:fill="auto"/>
        </w:rPr>
        <w:t>反映单位购买商品和服务的支出（不包括用于购置固定资产的支出、战略性和应急储备支出）。</w:t>
      </w:r>
    </w:p>
    <w:p w14:paraId="01628CD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r>
        <w:rPr>
          <w:rFonts w:hint="eastAsia" w:ascii="方正楷体_GBK" w:hAnsi="方正楷体_GBK" w:eastAsia="方正楷体_GBK" w:cs="方正楷体_GBK"/>
          <w:b/>
          <w:bCs/>
          <w:sz w:val="32"/>
          <w:szCs w:val="32"/>
          <w:shd w:val="clear" w:color="auto" w:fill="auto"/>
        </w:rPr>
        <w:t>（十六）对个人和家庭的补助（支出经济分类科目类级）：</w:t>
      </w:r>
      <w:r>
        <w:rPr>
          <w:rFonts w:hint="eastAsia" w:ascii="Times New Roman" w:hAnsi="Times New Roman" w:eastAsia="方正仿宋_GBK"/>
          <w:sz w:val="32"/>
          <w:szCs w:val="32"/>
          <w:shd w:val="clear" w:color="auto" w:fill="auto"/>
        </w:rPr>
        <w:t>反映用于对个人和家庭的补助支出。</w:t>
      </w:r>
    </w:p>
    <w:p w14:paraId="2563320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shd w:val="clear" w:color="auto" w:fill="auto"/>
        </w:rPr>
      </w:pPr>
      <w:bookmarkStart w:id="0" w:name="_GoBack"/>
      <w:r>
        <w:rPr>
          <w:rFonts w:hint="eastAsia" w:ascii="方正楷体_GBK" w:hAnsi="方正楷体_GBK" w:eastAsia="方正楷体_GBK" w:cs="方正楷体_GBK"/>
          <w:b/>
          <w:bCs/>
          <w:sz w:val="32"/>
          <w:szCs w:val="32"/>
          <w:shd w:val="clear" w:color="auto" w:fill="auto"/>
        </w:rPr>
        <w:t>（十七）其他资本性支出（支出经济分类科目类级）：</w:t>
      </w:r>
      <w:bookmarkEnd w:id="0"/>
      <w:r>
        <w:rPr>
          <w:rFonts w:hint="eastAsia" w:ascii="Times New Roman" w:hAnsi="Times New Roman" w:eastAsia="方正仿宋_GBK"/>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14:paraId="5DF77E4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shd w:val="clear" w:color="auto" w:fill="auto"/>
        </w:rPr>
      </w:pPr>
      <w:r>
        <w:rPr>
          <w:rFonts w:hint="eastAsia" w:ascii="方正黑体_GBK" w:hAnsi="方正黑体_GBK" w:eastAsia="方正黑体_GBK" w:cs="方正黑体_GBK"/>
          <w:b/>
          <w:bCs/>
          <w:sz w:val="32"/>
          <w:szCs w:val="32"/>
          <w:shd w:val="clear" w:color="auto" w:fill="auto"/>
        </w:rPr>
        <w:t>七、决算公开联系方式及信息反馈渠道</w:t>
      </w:r>
    </w:p>
    <w:p w14:paraId="61A9240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shd w:val="clear" w:color="auto" w:fill="auto"/>
        </w:rPr>
      </w:pPr>
      <w:r>
        <w:rPr>
          <w:rFonts w:hint="eastAsia" w:ascii="Times New Roman" w:hAnsi="Times New Roman" w:eastAsia="方正仿宋_GBK"/>
          <w:sz w:val="32"/>
          <w:szCs w:val="32"/>
          <w:shd w:val="clear" w:color="auto" w:fill="auto"/>
        </w:rPr>
        <w:t>本单位决算公开信息反馈和联系方式：</w:t>
      </w:r>
    </w:p>
    <w:p w14:paraId="0401456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 xml:space="preserve">冉龙兵 </w:t>
      </w:r>
      <w:r>
        <w:rPr>
          <w:rFonts w:hint="eastAsia" w:ascii="Times New Roman" w:hAnsi="Times New Roman" w:eastAsia="方正仿宋_GBK"/>
          <w:sz w:val="32"/>
          <w:szCs w:val="32"/>
          <w:shd w:val="clear" w:color="auto" w:fill="auto"/>
          <w:lang w:val="en-US" w:eastAsia="zh-CN"/>
        </w:rPr>
        <w:t xml:space="preserve"> </w:t>
      </w:r>
      <w:r>
        <w:rPr>
          <w:rFonts w:ascii="Times New Roman" w:hAnsi="Times New Roman" w:eastAsia="方正仿宋_GBK"/>
          <w:sz w:val="32"/>
          <w:szCs w:val="32"/>
          <w:shd w:val="clear" w:color="auto" w:fill="auto"/>
        </w:rPr>
        <w:t xml:space="preserve"> 023-70715336</w:t>
      </w:r>
    </w:p>
    <w:p w14:paraId="3D44B60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shd w:val="clear" w:color="auto" w:fill="auto"/>
        </w:rPr>
      </w:pPr>
    </w:p>
    <w:p w14:paraId="6CA0E260">
      <w:pPr>
        <w:rPr>
          <w:rStyle w:val="16"/>
          <w:rFonts w:hint="eastAsia" w:ascii="方正仿宋_GBK" w:hAnsi="方正仿宋_GBK" w:eastAsia="方正仿宋_GBK" w:cs="方正仿宋_GBK"/>
          <w:sz w:val="32"/>
          <w:szCs w:val="32"/>
          <w:shd w:val="clear" w:color="auto" w:fill="FFFF00"/>
        </w:rPr>
      </w:pPr>
    </w:p>
    <w:p w14:paraId="6DEEEB97">
      <w:pPr>
        <w:pStyle w:val="2"/>
        <w:rPr>
          <w:rFonts w:hint="default"/>
        </w:rPr>
      </w:pPr>
    </w:p>
    <w:p w14:paraId="29AF2E52">
      <w:pPr>
        <w:rPr>
          <w:rFonts w:hint="default"/>
        </w:rPr>
      </w:pPr>
    </w:p>
    <w:p w14:paraId="2CAEAC17">
      <w:pPr>
        <w:rPr>
          <w:rFonts w:hint="default"/>
        </w:rPr>
      </w:pPr>
    </w:p>
    <w:p w14:paraId="3679AAB8">
      <w:pPr>
        <w:rPr>
          <w:rFonts w:hint="default"/>
        </w:rPr>
      </w:pPr>
    </w:p>
    <w:p w14:paraId="3B063104">
      <w:pPr>
        <w:rPr>
          <w:rFonts w:hint="default"/>
        </w:rPr>
      </w:pPr>
    </w:p>
    <w:p w14:paraId="1C9FCC64">
      <w:pPr>
        <w:rPr>
          <w:rFonts w:hint="default"/>
        </w:rPr>
      </w:pPr>
    </w:p>
    <w:p w14:paraId="1351D629">
      <w:pPr>
        <w:rPr>
          <w:rFonts w:hint="default"/>
        </w:rPr>
      </w:pPr>
    </w:p>
    <w:p w14:paraId="46EDA9A0">
      <w:pPr>
        <w:rPr>
          <w:rFonts w:hint="default"/>
        </w:rPr>
      </w:pPr>
    </w:p>
    <w:p w14:paraId="2B8F8242">
      <w:pPr>
        <w:rPr>
          <w:rFonts w:hint="default"/>
        </w:rPr>
      </w:pPr>
    </w:p>
    <w:p w14:paraId="079A3BDF">
      <w:pPr>
        <w:tabs>
          <w:tab w:val="left" w:pos="1278"/>
        </w:tabs>
        <w:rPr>
          <w:rFonts w:hint="default"/>
        </w:rPr>
      </w:pPr>
      <w:r>
        <w:tab/>
      </w:r>
    </w:p>
    <w:p w14:paraId="6AB57E95">
      <w:pPr>
        <w:pStyle w:val="2"/>
        <w:rPr>
          <w:rFonts w:hint="default"/>
        </w:rPr>
      </w:pPr>
    </w:p>
    <w:p w14:paraId="2356FF76">
      <w:pPr>
        <w:pStyle w:val="3"/>
        <w:ind w:left="480" w:firstLine="480"/>
        <w:rPr>
          <w:rFonts w:hint="default"/>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580B09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06EF211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AA8872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60A21651">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2E83B156">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42D3677F">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38EB1DB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AB211C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3DE3171C">
            <w:pPr>
              <w:spacing w:line="280" w:lineRule="exact"/>
              <w:rPr>
                <w:rFonts w:hint="default" w:ascii="Arial" w:hAnsi="Arial" w:cs="Arial"/>
                <w:color w:val="000000"/>
                <w:sz w:val="22"/>
                <w:szCs w:val="22"/>
              </w:rPr>
            </w:pPr>
            <w:r>
              <w:rPr>
                <w:rFonts w:cs="宋体"/>
                <w:sz w:val="20"/>
                <w:szCs w:val="20"/>
              </w:rPr>
              <w:t>单位：</w:t>
            </w:r>
            <w:r>
              <w:rPr>
                <w:sz w:val="20"/>
              </w:rPr>
              <w:t>丰都县社坛中心卫生院</w:t>
            </w:r>
          </w:p>
        </w:tc>
        <w:tc>
          <w:tcPr>
            <w:tcW w:w="4044" w:type="dxa"/>
            <w:tcBorders>
              <w:top w:val="nil"/>
              <w:left w:val="nil"/>
              <w:bottom w:val="nil"/>
              <w:right w:val="nil"/>
            </w:tcBorders>
            <w:shd w:val="clear" w:color="auto" w:fill="auto"/>
            <w:tcMar>
              <w:top w:w="15" w:type="dxa"/>
              <w:left w:w="15" w:type="dxa"/>
              <w:right w:w="15" w:type="dxa"/>
            </w:tcMar>
            <w:vAlign w:val="bottom"/>
          </w:tcPr>
          <w:p w14:paraId="3B9AF789">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36EEC10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370518">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1E5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BD2D1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B8E7A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F45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B87D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C29D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3ACC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7BEC8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29B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597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1,154.10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0485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F27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1E94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79E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796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14D3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5B5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0871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3A8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403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1FAB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AFE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E7E1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722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923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34E7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D5D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08A6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616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86A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1,380.19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C2CC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5F4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3240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35C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472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2FE4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ACA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3876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B88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9AD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5FC2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98B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6F5A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AF56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61A470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FA21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F72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r>
      <w:tr w14:paraId="019745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3CC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EDD94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D6A9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C0C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2,316.49</w:t>
            </w:r>
            <w:r>
              <w:rPr>
                <w:rFonts w:ascii="Times New Roman" w:hAnsi="Times New Roman"/>
                <w:color w:val="000000"/>
                <w:sz w:val="20"/>
              </w:rPr>
              <w:t xml:space="preserve"> </w:t>
            </w:r>
          </w:p>
        </w:tc>
      </w:tr>
      <w:tr w14:paraId="76CC7C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BA3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92685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302F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3C8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5482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07D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3116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BBED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24E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3DD3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DDF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2092A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72B9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557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E566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7D1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B1DB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F7CB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52B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7BC4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BFA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ED06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B4A8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86B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86BC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55E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8AE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2287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EBE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486D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197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9B70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71C1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E42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850B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405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5C14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7FF2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49C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202B1C">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27D7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9EBE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96B4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668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46D5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A3C0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137E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CF58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37A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8D36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07B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081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B9FB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AB7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BEC4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59D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9606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79DA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A8E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4B94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158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196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92AA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DB3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0382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41C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1D2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9A44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457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A446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0E1B1">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196A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FD1C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23B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069C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272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13D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BE70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8EA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FCBB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A335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F575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76AD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7BE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B9CF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D57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339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2,538.19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2ECA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E46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2,396.05</w:t>
            </w:r>
            <w:r>
              <w:rPr>
                <w:rFonts w:ascii="Times New Roman" w:hAnsi="Times New Roman"/>
                <w:color w:val="000000"/>
                <w:sz w:val="20"/>
              </w:rPr>
              <w:t xml:space="preserve"> </w:t>
            </w:r>
          </w:p>
        </w:tc>
      </w:tr>
      <w:tr w14:paraId="42CDFD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A1B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954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7F41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EE9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158.81</w:t>
            </w:r>
            <w:r>
              <w:rPr>
                <w:rFonts w:ascii="Times New Roman" w:hAnsi="Times New Roman"/>
                <w:color w:val="000000"/>
                <w:sz w:val="20"/>
              </w:rPr>
              <w:t xml:space="preserve"> </w:t>
            </w:r>
          </w:p>
        </w:tc>
      </w:tr>
      <w:tr w14:paraId="60429B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DB9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0CA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211C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D6B60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F9803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20E2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A89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2,554.86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F59BE3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89B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2,554.86</w:t>
            </w:r>
            <w:r>
              <w:rPr>
                <w:rFonts w:ascii="Times New Roman" w:hAnsi="Times New Roman"/>
                <w:color w:val="000000"/>
                <w:sz w:val="20"/>
              </w:rPr>
              <w:t xml:space="preserve"> </w:t>
            </w:r>
          </w:p>
        </w:tc>
      </w:tr>
    </w:tbl>
    <w:p w14:paraId="26CD99F5">
      <w:pPr>
        <w:rPr>
          <w:rFonts w:hint="default" w:cs="宋体"/>
          <w:sz w:val="21"/>
          <w:szCs w:val="21"/>
        </w:rPr>
      </w:pPr>
    </w:p>
    <w:p w14:paraId="748CFFC1">
      <w:pPr>
        <w:pStyle w:val="2"/>
        <w:rPr>
          <w:rFonts w:hint="default"/>
        </w:rPr>
      </w:pPr>
    </w:p>
    <w:p w14:paraId="16DF111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1849900A">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36195298">
            <w:pPr>
              <w:jc w:val="center"/>
              <w:textAlignment w:val="bottom"/>
              <w:rPr>
                <w:rFonts w:hint="default" w:cs="宋体"/>
                <w:b/>
                <w:color w:val="000000"/>
                <w:sz w:val="32"/>
                <w:szCs w:val="32"/>
              </w:rPr>
            </w:pPr>
            <w:r>
              <w:rPr>
                <w:rFonts w:cs="宋体"/>
                <w:b/>
                <w:color w:val="000000"/>
                <w:sz w:val="32"/>
                <w:szCs w:val="32"/>
              </w:rPr>
              <w:t>收入决算表</w:t>
            </w:r>
          </w:p>
        </w:tc>
      </w:tr>
      <w:tr w14:paraId="6F1D3385">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5FA901D4">
            <w:pPr>
              <w:spacing w:line="280" w:lineRule="exact"/>
              <w:rPr>
                <w:rFonts w:hint="default" w:cs="宋体"/>
                <w:color w:val="000000"/>
                <w:sz w:val="20"/>
                <w:szCs w:val="20"/>
              </w:rPr>
            </w:pPr>
            <w:r>
              <w:rPr>
                <w:rFonts w:cs="宋体"/>
                <w:sz w:val="20"/>
                <w:szCs w:val="20"/>
              </w:rPr>
              <w:t>单位：</w:t>
            </w:r>
            <w:r>
              <w:rPr>
                <w:sz w:val="20"/>
              </w:rPr>
              <w:t>丰都县社坛中心卫生院</w:t>
            </w:r>
          </w:p>
        </w:tc>
        <w:tc>
          <w:tcPr>
            <w:tcW w:w="1451" w:type="dxa"/>
            <w:tcBorders>
              <w:top w:val="nil"/>
              <w:left w:val="nil"/>
              <w:bottom w:val="nil"/>
              <w:right w:val="nil"/>
            </w:tcBorders>
            <w:shd w:val="clear" w:color="auto" w:fill="auto"/>
            <w:tcMar>
              <w:top w:w="15" w:type="dxa"/>
              <w:left w:w="15" w:type="dxa"/>
              <w:right w:w="15" w:type="dxa"/>
            </w:tcMar>
            <w:vAlign w:val="bottom"/>
          </w:tcPr>
          <w:p w14:paraId="29436955">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54BF7FE3">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174F988C">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3CFE2734">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1DD718C5">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421935C8">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5FDF673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104CF24">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5B771E76">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172FDB5D">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058E12BE">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24B5E47D">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3AE2CF05">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10138F38">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5631CA87">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2079C90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B82144">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3B03F61E">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D87F">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AB61">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54931">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AD5A7E">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7B14">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57E78">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295F4">
            <w:pPr>
              <w:jc w:val="center"/>
              <w:textAlignment w:val="center"/>
              <w:rPr>
                <w:rFonts w:hint="default" w:cs="宋体"/>
                <w:b/>
                <w:color w:val="000000"/>
                <w:sz w:val="20"/>
                <w:szCs w:val="20"/>
              </w:rPr>
            </w:pPr>
            <w:r>
              <w:rPr>
                <w:rFonts w:cs="宋体"/>
                <w:b/>
                <w:color w:val="000000"/>
                <w:sz w:val="20"/>
                <w:szCs w:val="20"/>
              </w:rPr>
              <w:t>其他收入</w:t>
            </w:r>
          </w:p>
        </w:tc>
      </w:tr>
      <w:tr w14:paraId="4BD0FC2D">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2663">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194929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4AAA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E95D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1ADD">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F9B7">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F560F">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6DA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3DAD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38A46">
            <w:pPr>
              <w:jc w:val="center"/>
              <w:rPr>
                <w:rFonts w:hint="default" w:cs="宋体"/>
                <w:b/>
                <w:color w:val="000000"/>
                <w:sz w:val="20"/>
                <w:szCs w:val="20"/>
              </w:rPr>
            </w:pPr>
          </w:p>
        </w:tc>
      </w:tr>
      <w:tr w14:paraId="07E23F3B">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E37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097ADD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C4643">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7A4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8D5E">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EC0E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1B7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AD398">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0454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A59F">
            <w:pPr>
              <w:jc w:val="center"/>
              <w:rPr>
                <w:rFonts w:hint="default" w:cs="宋体"/>
                <w:b/>
                <w:color w:val="000000"/>
                <w:sz w:val="20"/>
                <w:szCs w:val="20"/>
              </w:rPr>
            </w:pPr>
          </w:p>
        </w:tc>
      </w:tr>
      <w:tr w14:paraId="59F807C4">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416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13163C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31F8">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31C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CD7F">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CF9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8084">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111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06E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93D1">
            <w:pPr>
              <w:jc w:val="center"/>
              <w:rPr>
                <w:rFonts w:hint="default" w:cs="宋体"/>
                <w:b/>
                <w:color w:val="000000"/>
                <w:sz w:val="20"/>
                <w:szCs w:val="20"/>
              </w:rPr>
            </w:pPr>
          </w:p>
        </w:tc>
      </w:tr>
      <w:tr w14:paraId="4220013D">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E40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025873C">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28B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AE0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C82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71E3">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96A23">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4B5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3F5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28603">
            <w:pPr>
              <w:jc w:val="center"/>
              <w:rPr>
                <w:rFonts w:hint="default" w:cs="宋体"/>
                <w:b/>
                <w:color w:val="000000"/>
                <w:sz w:val="20"/>
                <w:szCs w:val="20"/>
              </w:rPr>
            </w:pPr>
          </w:p>
        </w:tc>
      </w:tr>
      <w:tr w14:paraId="00138F79">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3298">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05A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2,538.19</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F29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1,154.10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8A2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EDE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1,380.19</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336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BA9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FF8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E8E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3.90</w:t>
            </w:r>
            <w:r>
              <w:rPr>
                <w:rFonts w:ascii="Times New Roman" w:hAnsi="Times New Roman"/>
                <w:b/>
                <w:color w:val="000000"/>
                <w:sz w:val="20"/>
              </w:rPr>
              <w:t xml:space="preserve"> </w:t>
            </w:r>
          </w:p>
        </w:tc>
      </w:tr>
      <w:tr w14:paraId="09328A9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13EFB">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050CA">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D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1D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F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0E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C0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5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2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5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22CF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6D095">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F596E">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B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0E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1A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A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A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E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B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0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75B4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21C4">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6B0AC">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1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82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5F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4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D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6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2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8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FD10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0310">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AA0F4">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F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67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5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8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EB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0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8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8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BE1D9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BB50">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4311B">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F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4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8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C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D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85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D8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47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6743D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C90E">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4DC13">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8B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2,458.63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4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7C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AC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1,380.19</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EC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7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7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C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rPr>
              <w:t xml:space="preserve"> </w:t>
            </w:r>
          </w:p>
        </w:tc>
      </w:tr>
      <w:tr w14:paraId="2476C8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35F89">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3EDA5">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F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08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5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0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1,380.19</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3D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1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FC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1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rPr>
              <w:t xml:space="preserve"> </w:t>
            </w:r>
          </w:p>
        </w:tc>
      </w:tr>
      <w:tr w14:paraId="6862DD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1895">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A5D01">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B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2,204.30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B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D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26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1,380.19</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E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B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E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1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rPr>
              <w:t xml:space="preserve"> </w:t>
            </w:r>
          </w:p>
        </w:tc>
      </w:tr>
      <w:tr w14:paraId="2CFF814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BBED">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3C443">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9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247.53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0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7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C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A3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6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9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B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3D67E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98FB">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1FC59">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A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247.53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B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8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9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F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9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7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C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1019A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6D9E2">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F6945">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3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8A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5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D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8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B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F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4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74F5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BA866">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F243D">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5F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8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4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4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D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9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99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A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93083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FD8DC20">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190B39F">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603402B7">
            <w:pPr>
              <w:jc w:val="center"/>
              <w:textAlignment w:val="bottom"/>
              <w:rPr>
                <w:rFonts w:hint="default" w:cs="宋体"/>
                <w:b/>
                <w:color w:val="000000"/>
                <w:sz w:val="32"/>
                <w:szCs w:val="32"/>
              </w:rPr>
            </w:pPr>
            <w:r>
              <w:rPr>
                <w:rFonts w:cs="宋体"/>
                <w:b/>
                <w:color w:val="000000"/>
                <w:sz w:val="32"/>
                <w:szCs w:val="32"/>
              </w:rPr>
              <w:t>支出决算表</w:t>
            </w:r>
          </w:p>
        </w:tc>
      </w:tr>
      <w:tr w14:paraId="20C1386F">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20B3587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丰都县社坛中心卫生院 </w:t>
            </w:r>
          </w:p>
        </w:tc>
        <w:tc>
          <w:tcPr>
            <w:tcW w:w="1765" w:type="dxa"/>
            <w:tcBorders>
              <w:top w:val="nil"/>
              <w:left w:val="nil"/>
              <w:bottom w:val="nil"/>
              <w:right w:val="nil"/>
            </w:tcBorders>
            <w:shd w:val="clear" w:color="auto" w:fill="auto"/>
            <w:tcMar>
              <w:top w:w="15" w:type="dxa"/>
              <w:left w:w="15" w:type="dxa"/>
              <w:right w:w="15" w:type="dxa"/>
            </w:tcMar>
            <w:vAlign w:val="bottom"/>
          </w:tcPr>
          <w:p w14:paraId="55E223ED">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4A24376B">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410CF746">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0FCE99B6">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15132FE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2F19B5B">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7AF5FD5B">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A0FEFE0">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5CABE185">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3F01D430">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65E1A2FB">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630CA14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5A2F18">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A40D88">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9E0DF">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661C">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D9A42">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E91C">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0301">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343F">
            <w:pPr>
              <w:jc w:val="center"/>
              <w:textAlignment w:val="center"/>
              <w:rPr>
                <w:rFonts w:hint="default" w:cs="宋体"/>
                <w:b/>
                <w:color w:val="000000"/>
                <w:sz w:val="20"/>
                <w:szCs w:val="20"/>
              </w:rPr>
            </w:pPr>
            <w:r>
              <w:rPr>
                <w:rFonts w:cs="宋体"/>
                <w:b/>
                <w:color w:val="000000"/>
                <w:sz w:val="20"/>
                <w:szCs w:val="20"/>
              </w:rPr>
              <w:t>对附属单位补助支出</w:t>
            </w:r>
          </w:p>
        </w:tc>
      </w:tr>
      <w:tr w14:paraId="46025687">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EE7C">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B76C91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AE10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D1E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392F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E901">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48F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8A27">
            <w:pPr>
              <w:jc w:val="center"/>
              <w:rPr>
                <w:rFonts w:hint="default" w:cs="宋体"/>
                <w:b/>
                <w:color w:val="000000"/>
                <w:sz w:val="20"/>
                <w:szCs w:val="20"/>
              </w:rPr>
            </w:pPr>
          </w:p>
        </w:tc>
      </w:tr>
      <w:tr w14:paraId="71F07D2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4F2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9F62E7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72F6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4659">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F198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3AA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0FD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47E8">
            <w:pPr>
              <w:jc w:val="center"/>
              <w:rPr>
                <w:rFonts w:hint="default" w:cs="宋体"/>
                <w:b/>
                <w:color w:val="000000"/>
                <w:sz w:val="20"/>
                <w:szCs w:val="20"/>
              </w:rPr>
            </w:pPr>
          </w:p>
        </w:tc>
      </w:tr>
      <w:tr w14:paraId="095CCD7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998D">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5D6CEB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767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CB19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048E5">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EFF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D336">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35A2">
            <w:pPr>
              <w:jc w:val="center"/>
              <w:rPr>
                <w:rFonts w:hint="default" w:cs="宋体"/>
                <w:b/>
                <w:color w:val="000000"/>
                <w:sz w:val="20"/>
                <w:szCs w:val="20"/>
              </w:rPr>
            </w:pPr>
          </w:p>
        </w:tc>
      </w:tr>
      <w:tr w14:paraId="7258DCF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955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10AFE14">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665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E9B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488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1D7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8F09">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E9C3">
            <w:pPr>
              <w:jc w:val="center"/>
              <w:rPr>
                <w:rFonts w:hint="default" w:cs="宋体"/>
                <w:b/>
                <w:color w:val="000000"/>
                <w:sz w:val="20"/>
                <w:szCs w:val="20"/>
              </w:rPr>
            </w:pPr>
          </w:p>
        </w:tc>
      </w:tr>
      <w:tr w14:paraId="3834B70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5A93">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BC8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2,396.05</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2B6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2,358.47</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804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37.58</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3BF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41E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D08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D499C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FF5C">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F1143">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0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F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8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6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B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4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D74F9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B4D1">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07194">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7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5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B9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B7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4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8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C8056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EE75D">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B24B4">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1B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E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69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B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C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06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40F0C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BD4E">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2C93D">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3C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26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F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0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5D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E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EB253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D4BE">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1FB9A">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2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7F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4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44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4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B1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2997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54374">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9A70D">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8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2,316.49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43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2,278.91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6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B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77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9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8CE3F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935C0">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D23AC">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D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2,062.16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D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2,024.58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40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D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4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7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573B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D6D8">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63389">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74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3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2,024.58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8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6A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F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6F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BE7A5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AEA2">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BCE86">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8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247.53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E5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247.53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0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3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9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9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CE1A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A8DEB">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D1C66">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4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247.53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E4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247.53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A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CC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3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C8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3BE8C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64A0">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9A0FF">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A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F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33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2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1A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3C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CE437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6687">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E8028">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7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45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4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B1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1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9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49CA2A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10AE786">
      <w:pPr>
        <w:rPr>
          <w:rFonts w:hint="default" w:cs="宋体"/>
          <w:sz w:val="21"/>
          <w:szCs w:val="21"/>
        </w:rPr>
      </w:pPr>
      <w:r>
        <w:rPr>
          <w:rFonts w:cs="宋体"/>
          <w:sz w:val="21"/>
          <w:szCs w:val="21"/>
        </w:rPr>
        <w:br w:type="page"/>
      </w:r>
    </w:p>
    <w:p w14:paraId="7E27855B">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62A536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0BF5586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543E6A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5BAE341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丰都县社坛中心卫生院</w:t>
            </w:r>
          </w:p>
        </w:tc>
        <w:tc>
          <w:tcPr>
            <w:tcW w:w="1694" w:type="dxa"/>
            <w:tcBorders>
              <w:top w:val="nil"/>
              <w:left w:val="nil"/>
              <w:bottom w:val="nil"/>
              <w:right w:val="nil"/>
            </w:tcBorders>
            <w:shd w:val="clear" w:color="auto" w:fill="auto"/>
            <w:tcMar>
              <w:top w:w="15" w:type="dxa"/>
              <w:left w:w="15" w:type="dxa"/>
              <w:right w:w="15" w:type="dxa"/>
            </w:tcMar>
            <w:vAlign w:val="bottom"/>
          </w:tcPr>
          <w:p w14:paraId="53C15C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7E292F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5D86A3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29E1F44">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E989777">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347366A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F57AAB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C5BC5F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A29D6CE">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2183662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D24161">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5279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DAA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2AA2062">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CB6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915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810F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F73A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753CC6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11A3">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15B7">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6FB2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C14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396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477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00A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44BBF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CFEF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CB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89F8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6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0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93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C2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8588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4D9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3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FE7A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5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5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24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B9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0AEE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CA5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7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8C65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09E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4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3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FC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1F22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41C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97D7A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839E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66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D4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F9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B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643F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522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2EFA6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CD87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5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3E8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5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AB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BC8C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7EC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38322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2C8F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BE9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7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5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70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6FEC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B10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6D052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960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57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97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E7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4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9EE0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EC1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B0AFD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5999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3E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B4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0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F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9426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0A7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C6C36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305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F2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70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1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8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BB56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58D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2E2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1BF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C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4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D1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AF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48B98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29D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310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0F93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B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88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C6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6E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C6A4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6F5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CC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44C2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7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E3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0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32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E049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832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41F6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DB31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17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C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B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AA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EF59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596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890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D18A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B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CB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E9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E4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D37E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37F7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618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3D9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A2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16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11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325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AADD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486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545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E8EB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A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9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D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A5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58D7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C15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078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DAE6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3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4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5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52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23AE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D08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321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C63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B3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8F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8B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9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E373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8B8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CB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3D0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DE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A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A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05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4961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CF2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11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5A6D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6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D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D5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2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7484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A02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E24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065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27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D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8E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4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3B85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79B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D081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A08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0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7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5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D6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E3F4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1F2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DC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13C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9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B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E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3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3037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6F08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D82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40D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D6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52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BA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79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AFD8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7E46C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3F9A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F80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7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F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D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8B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7671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CAF01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4A7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06E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B6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A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5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6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C30A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903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B8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B26C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424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D2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31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7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AF76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9E9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21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A96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3D4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8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6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0B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A42D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DF4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06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919D39">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F2374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64691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9DEBB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28EF10">
            <w:pPr>
              <w:spacing w:line="200" w:lineRule="exact"/>
              <w:rPr>
                <w:rFonts w:hint="default" w:ascii="Times New Roman" w:hAnsi="Times New Roman"/>
                <w:color w:val="000000"/>
                <w:sz w:val="18"/>
                <w:szCs w:val="18"/>
              </w:rPr>
            </w:pPr>
          </w:p>
        </w:tc>
      </w:tr>
      <w:tr w14:paraId="38033D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0EE9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2D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9C78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095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845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79DA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BAA4">
            <w:pPr>
              <w:spacing w:line="200" w:lineRule="exact"/>
              <w:jc w:val="right"/>
              <w:rPr>
                <w:rFonts w:hint="default" w:ascii="Times New Roman" w:hAnsi="Times New Roman"/>
                <w:color w:val="000000"/>
                <w:sz w:val="18"/>
                <w:szCs w:val="18"/>
              </w:rPr>
            </w:pPr>
          </w:p>
        </w:tc>
      </w:tr>
      <w:tr w14:paraId="36228A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8AB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6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CC41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621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C512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D5E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BCCD">
            <w:pPr>
              <w:spacing w:line="200" w:lineRule="exact"/>
              <w:jc w:val="right"/>
              <w:rPr>
                <w:rFonts w:hint="default" w:ascii="Times New Roman" w:hAnsi="Times New Roman"/>
                <w:color w:val="000000"/>
                <w:sz w:val="18"/>
                <w:szCs w:val="18"/>
              </w:rPr>
            </w:pPr>
          </w:p>
        </w:tc>
      </w:tr>
      <w:tr w14:paraId="688B93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3277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AE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1,170.77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308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94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63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B9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4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DA40F1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942F42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12943F3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77C1418">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04DD778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丰都县社坛中心卫生院</w:t>
            </w:r>
          </w:p>
        </w:tc>
        <w:tc>
          <w:tcPr>
            <w:tcW w:w="3297" w:type="dxa"/>
            <w:tcBorders>
              <w:top w:val="nil"/>
              <w:left w:val="nil"/>
              <w:bottom w:val="nil"/>
              <w:right w:val="nil"/>
            </w:tcBorders>
            <w:shd w:val="clear" w:color="auto" w:fill="auto"/>
            <w:tcMar>
              <w:top w:w="15" w:type="dxa"/>
              <w:left w:w="15" w:type="dxa"/>
              <w:right w:w="15" w:type="dxa"/>
            </w:tcMar>
            <w:vAlign w:val="bottom"/>
          </w:tcPr>
          <w:p w14:paraId="385A20FE">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13AE17E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365C014">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299EFEB0">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40BECBF4">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5797A7C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F282D6">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81C1">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035115">
            <w:pPr>
              <w:jc w:val="center"/>
              <w:textAlignment w:val="center"/>
              <w:rPr>
                <w:rFonts w:hint="default" w:cs="宋体"/>
                <w:b/>
                <w:color w:val="000000"/>
                <w:sz w:val="20"/>
                <w:szCs w:val="20"/>
              </w:rPr>
            </w:pPr>
            <w:r>
              <w:rPr>
                <w:rFonts w:cs="宋体"/>
                <w:b/>
                <w:color w:val="000000"/>
                <w:sz w:val="20"/>
                <w:szCs w:val="20"/>
              </w:rPr>
              <w:t>本年支出</w:t>
            </w:r>
          </w:p>
        </w:tc>
      </w:tr>
      <w:tr w14:paraId="25835CDB">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5BDA">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9571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04004">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95A90">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82163">
            <w:pPr>
              <w:jc w:val="center"/>
              <w:textAlignment w:val="center"/>
              <w:rPr>
                <w:rFonts w:hint="default" w:cs="宋体"/>
                <w:b/>
                <w:color w:val="000000"/>
                <w:sz w:val="20"/>
                <w:szCs w:val="20"/>
              </w:rPr>
            </w:pPr>
            <w:r>
              <w:rPr>
                <w:rFonts w:cs="宋体"/>
                <w:b/>
                <w:color w:val="000000"/>
                <w:sz w:val="20"/>
                <w:szCs w:val="20"/>
              </w:rPr>
              <w:t>项目支出</w:t>
            </w:r>
          </w:p>
        </w:tc>
      </w:tr>
      <w:tr w14:paraId="0C051142">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DFD4">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FF7D5">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205E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62E9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F26CC">
            <w:pPr>
              <w:jc w:val="center"/>
              <w:rPr>
                <w:rFonts w:hint="default" w:cs="宋体"/>
                <w:b/>
                <w:color w:val="000000"/>
                <w:sz w:val="20"/>
                <w:szCs w:val="20"/>
              </w:rPr>
            </w:pPr>
          </w:p>
        </w:tc>
      </w:tr>
      <w:tr w14:paraId="0823AD35">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92C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AAC1A">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4656B">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981C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C1587">
            <w:pPr>
              <w:jc w:val="center"/>
              <w:rPr>
                <w:rFonts w:hint="default" w:cs="宋体"/>
                <w:b/>
                <w:color w:val="000000"/>
                <w:sz w:val="20"/>
                <w:szCs w:val="20"/>
              </w:rPr>
            </w:pPr>
          </w:p>
        </w:tc>
      </w:tr>
      <w:tr w14:paraId="397CFD43">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5560D">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6B5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1,170.77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E7A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1,135.57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084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35.20</w:t>
            </w:r>
            <w:r>
              <w:rPr>
                <w:rFonts w:ascii="Times New Roman" w:hAnsi="Times New Roman"/>
                <w:b/>
                <w:color w:val="000000"/>
                <w:sz w:val="20"/>
              </w:rPr>
              <w:t xml:space="preserve"> </w:t>
            </w:r>
          </w:p>
        </w:tc>
      </w:tr>
      <w:tr w14:paraId="5D399A3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B4FD">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BEE6A">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9E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FC3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AA6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200D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14CD">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161B3">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4F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78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EA9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6D28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BFB4">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15F3E">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C9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194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078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3BAA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CF6DE">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8407B">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E50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32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C90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47BC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85216">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1AB27">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B6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7F0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C8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20BF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B300">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B5A53">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950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1,091.21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83E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1,056.01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342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35.20</w:t>
            </w:r>
            <w:r>
              <w:rPr>
                <w:rFonts w:ascii="Times New Roman" w:hAnsi="Times New Roman"/>
                <w:b/>
                <w:color w:val="000000"/>
                <w:sz w:val="20"/>
              </w:rPr>
              <w:t xml:space="preserve"> </w:t>
            </w:r>
          </w:p>
        </w:tc>
      </w:tr>
      <w:tr w14:paraId="041F399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7BD02">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BE6C9">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E32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73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801.68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3B1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35.20</w:t>
            </w:r>
            <w:r>
              <w:rPr>
                <w:rFonts w:ascii="Times New Roman" w:hAnsi="Times New Roman"/>
                <w:b/>
                <w:color w:val="000000"/>
                <w:sz w:val="20"/>
              </w:rPr>
              <w:t xml:space="preserve"> </w:t>
            </w:r>
          </w:p>
        </w:tc>
      </w:tr>
      <w:tr w14:paraId="1EE9C1E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16B13">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30EC0">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481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682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801.68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9FB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35.20</w:t>
            </w:r>
            <w:r>
              <w:rPr>
                <w:rFonts w:ascii="Times New Roman" w:hAnsi="Times New Roman"/>
                <w:color w:val="000000"/>
                <w:sz w:val="20"/>
              </w:rPr>
              <w:t xml:space="preserve"> </w:t>
            </w:r>
          </w:p>
        </w:tc>
      </w:tr>
      <w:tr w14:paraId="226434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60E8">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BA7DF">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ABB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2AF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B3E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9ACA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A66A">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29FB4">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90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578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247.53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B5E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51E2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8DCD">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39DFE">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C4F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4A9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F2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A9447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4B91">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4A5B7">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DCB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19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716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46833D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FB9E78">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7B3DA3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700238B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03147B7">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0DD3AC6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丰都县社坛中心卫生院</w:t>
            </w:r>
          </w:p>
        </w:tc>
        <w:tc>
          <w:tcPr>
            <w:tcW w:w="1418" w:type="dxa"/>
            <w:tcBorders>
              <w:top w:val="nil"/>
              <w:left w:val="nil"/>
              <w:bottom w:val="nil"/>
              <w:right w:val="nil"/>
            </w:tcBorders>
            <w:shd w:val="clear" w:color="auto" w:fill="auto"/>
            <w:tcMar>
              <w:top w:w="15" w:type="dxa"/>
              <w:left w:w="15" w:type="dxa"/>
              <w:right w:w="15" w:type="dxa"/>
            </w:tcMar>
            <w:vAlign w:val="bottom"/>
          </w:tcPr>
          <w:p w14:paraId="29C10C46">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17A8E447">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2B09ADED">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465DFB5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E1F7CFF">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0310E5DB">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12C09E7F">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4AD8A01A">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0D4E6EF7">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5C2612F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CECC8E">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BC27">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AB7F2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338E6CF">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396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88463">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D5B2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2E3C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D285E">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0945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0387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0C50D">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16278">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89AF49F">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A0EE8">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A4634">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967EE">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4A05">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AC5E9">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F5859">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2C62">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0DF2A">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34D80">
            <w:pPr>
              <w:spacing w:line="192" w:lineRule="exact"/>
              <w:jc w:val="center"/>
              <w:rPr>
                <w:rFonts w:hint="default" w:cs="宋体"/>
                <w:b/>
                <w:color w:val="000000"/>
                <w:sz w:val="18"/>
                <w:szCs w:val="18"/>
              </w:rPr>
            </w:pPr>
          </w:p>
        </w:tc>
      </w:tr>
      <w:tr w14:paraId="2525C21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5899">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BDA52">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FA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949.80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BA18">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FAC6E">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80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A19A6">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D34A">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BA3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26DB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00A9">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0F3F">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79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68A88">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BCDE">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D8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CCE9">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9AED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06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AA720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6B3F">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AE634">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00E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25EE">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F451">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680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8CBF7">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0E7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D5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6B86E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4C1D">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ECB5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67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4911">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76DCD">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34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874D0">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28702">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DD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B05A3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2F1A">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88A8">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5D6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0A6C">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1FBA">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D6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119C">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A7DA">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60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9CEE7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1AAA">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6830">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E5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434.06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194C5">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E1D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A7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3F2E">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01A7B">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4A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D7E08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5A439">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1889">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2E7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6DDC2">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E6C3">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48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7B98">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8360">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F3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B2FB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4CAF">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7A1DE">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F83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27A8">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369E">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491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35A3">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A16B">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70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A234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B8F7">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0FA58">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42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695C">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762B">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F1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AA8B">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8811">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AD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5F872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9435">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22F03">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F2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39D68">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D767">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05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6455">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AE8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5C7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28F6B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4EFD">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E26A">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73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6EC7">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AE3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C5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20676">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7B5B">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DD1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63A11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BADF">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825D">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5B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1EDE">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BB6EF">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09D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C3BF">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5C68">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3F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3536D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3F90">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514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2F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3404">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457E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E0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8BDD">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5FF0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3A8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43033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DF50">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C94F">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6E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261.94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009E4">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2689">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91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9982">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F392">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6F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DCF66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AAA38">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CEF9">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30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FDA9">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FB9A7">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55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2B9D">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5AD2">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8EB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183B1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9CAD6">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7E33">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E6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28E5">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287B">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385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A98E">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B8DB">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420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4B9D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F0C6">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0B54A">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51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8073">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FDE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6A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17931">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EE17">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4C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DCE03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603C">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B05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CB5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5D1B">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483A">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39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D57A">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0910">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436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D125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05DF">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937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522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6889">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B3CB3">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30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803F">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87AD2">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72B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E9D58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78A5">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524A">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BE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69A8">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8109">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F3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F480">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A3BA">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19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D458E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6C47">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580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895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439E1">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9CBF">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7E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1DE8">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B56F">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E4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47A7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502E">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594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32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77C8">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08CA">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31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CC44C">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690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9C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BF80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BA8E">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5BB2">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B54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1284">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916D8">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55F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AAB2">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0B17">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BA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848FE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4A4B5">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660D5">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8E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0A55F">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CB6A9">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D4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D069">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7A61">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F2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57A78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1102">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D965E">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0D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FDDF">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4029">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127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27C02">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F187">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5B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29795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1910">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2925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CC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873C">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8F11">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836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A8D6">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F588">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B10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B40C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73284">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C45E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10D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C6B0">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915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FBD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8656">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31C7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CC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8A1F6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0AB2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9D5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136553">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45D2">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30875">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C69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5EEE">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E3C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43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43E0F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53F1">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4FBD">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DCF3D3">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1B96">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582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49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4802">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992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EF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EC3D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61DA">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D5BE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75A41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4F41">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C66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9C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AA83">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BA367">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982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8EE00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D60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0F5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21B3A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45B3">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E90C">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1BC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ABA8">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2A1C">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DF7F3">
            <w:pPr>
              <w:spacing w:line="192" w:lineRule="exact"/>
              <w:jc w:val="right"/>
              <w:rPr>
                <w:rFonts w:hint="default" w:ascii="Times New Roman" w:hAnsi="Times New Roman"/>
                <w:color w:val="000000"/>
                <w:sz w:val="18"/>
                <w:szCs w:val="18"/>
              </w:rPr>
            </w:pPr>
          </w:p>
        </w:tc>
      </w:tr>
      <w:tr w14:paraId="7A48FE6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48C6">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58D5">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4069CE">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4D67E">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D8E9">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1EC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2AC7">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3FB5">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012E">
            <w:pPr>
              <w:spacing w:line="192" w:lineRule="exact"/>
              <w:jc w:val="right"/>
              <w:rPr>
                <w:rFonts w:hint="default" w:ascii="Times New Roman" w:hAnsi="Times New Roman"/>
                <w:color w:val="000000"/>
                <w:sz w:val="18"/>
                <w:szCs w:val="18"/>
              </w:rPr>
            </w:pPr>
          </w:p>
        </w:tc>
      </w:tr>
      <w:tr w14:paraId="5A839EDF">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446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4DF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C02D3F">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E3C8">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AA30">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F9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4E75">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B1227">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59D3">
            <w:pPr>
              <w:spacing w:line="192" w:lineRule="exact"/>
              <w:jc w:val="right"/>
              <w:rPr>
                <w:rFonts w:hint="default" w:ascii="Times New Roman" w:hAnsi="Times New Roman"/>
                <w:color w:val="000000"/>
                <w:sz w:val="18"/>
                <w:szCs w:val="18"/>
              </w:rPr>
            </w:pPr>
          </w:p>
        </w:tc>
      </w:tr>
      <w:tr w14:paraId="5DB663CF">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933F">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21E9D9">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1,042.73</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000F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11E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92.84</w:t>
            </w:r>
            <w:r>
              <w:rPr>
                <w:rFonts w:ascii="Times New Roman" w:hAnsi="Times New Roman"/>
                <w:color w:val="000000"/>
                <w:sz w:val="18"/>
              </w:rPr>
              <w:t xml:space="preserve"> </w:t>
            </w:r>
          </w:p>
        </w:tc>
      </w:tr>
    </w:tbl>
    <w:p w14:paraId="7062D5C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3AF3B15">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2C5FF2A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01F221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0C0A2B8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丰都县社坛中心卫生院</w:t>
            </w:r>
          </w:p>
        </w:tc>
        <w:tc>
          <w:tcPr>
            <w:tcW w:w="1701" w:type="dxa"/>
            <w:tcBorders>
              <w:top w:val="nil"/>
              <w:left w:val="nil"/>
              <w:bottom w:val="nil"/>
              <w:right w:val="nil"/>
            </w:tcBorders>
            <w:shd w:val="clear" w:color="auto" w:fill="auto"/>
            <w:tcMar>
              <w:top w:w="15" w:type="dxa"/>
              <w:left w:w="15" w:type="dxa"/>
              <w:right w:w="15" w:type="dxa"/>
            </w:tcMar>
            <w:vAlign w:val="bottom"/>
          </w:tcPr>
          <w:p w14:paraId="7D7DE4B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6EFDDFE">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11F98C3">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938C71A">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3C3ED19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CF27B0F">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5A9BCA3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FDF5A1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63DE32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2E67153">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20025DFB">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36C86A1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E9CF38">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2AAA2">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70072C">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E6E9B">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AA64B4">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58592">
            <w:pPr>
              <w:jc w:val="center"/>
              <w:textAlignment w:val="center"/>
              <w:rPr>
                <w:rFonts w:hint="default" w:cs="宋体"/>
                <w:b/>
                <w:color w:val="000000"/>
                <w:sz w:val="20"/>
                <w:szCs w:val="20"/>
              </w:rPr>
            </w:pPr>
            <w:r>
              <w:rPr>
                <w:rFonts w:cs="宋体"/>
                <w:b/>
                <w:color w:val="000000"/>
                <w:sz w:val="20"/>
                <w:szCs w:val="20"/>
              </w:rPr>
              <w:t>年末结转和结余</w:t>
            </w:r>
          </w:p>
        </w:tc>
      </w:tr>
      <w:tr w14:paraId="71D159A8">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CA73">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CCE4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4EF72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952B">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FA27D">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B3CF4">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257BB">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5E6B5">
            <w:pPr>
              <w:jc w:val="center"/>
              <w:rPr>
                <w:rFonts w:hint="default" w:cs="宋体"/>
                <w:b/>
                <w:color w:val="000000"/>
                <w:sz w:val="20"/>
                <w:szCs w:val="20"/>
              </w:rPr>
            </w:pPr>
          </w:p>
        </w:tc>
      </w:tr>
      <w:tr w14:paraId="54BE9B4A">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7A2E">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F99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6553F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363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8F22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198F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11BE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7103">
            <w:pPr>
              <w:jc w:val="center"/>
              <w:rPr>
                <w:rFonts w:hint="default" w:cs="宋体"/>
                <w:b/>
                <w:color w:val="000000"/>
                <w:sz w:val="20"/>
                <w:szCs w:val="20"/>
              </w:rPr>
            </w:pPr>
          </w:p>
        </w:tc>
      </w:tr>
      <w:tr w14:paraId="7B96F575">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0564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37E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88ADE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46A6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C2ED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6C76F">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6A94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8752">
            <w:pPr>
              <w:jc w:val="center"/>
              <w:rPr>
                <w:rFonts w:hint="default" w:cs="宋体"/>
                <w:b/>
                <w:color w:val="000000"/>
                <w:sz w:val="20"/>
                <w:szCs w:val="20"/>
              </w:rPr>
            </w:pPr>
          </w:p>
        </w:tc>
      </w:tr>
      <w:tr w14:paraId="39F1E652">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00D04">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EDB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F00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38D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1DB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E51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624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C0A2626">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8D79">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43403">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14B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112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F97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84C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250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EB7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294EF5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6CA086B">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D6C7FD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047C3ED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220452B">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061AEEC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丰都县社坛中心卫生院</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8C47277">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04708E0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C7FDEA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6B1E797E">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5C45C49C">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4B1CAA6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4649A5">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3B5E2E">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9E228A">
            <w:pPr>
              <w:jc w:val="center"/>
              <w:textAlignment w:val="bottom"/>
              <w:rPr>
                <w:rFonts w:hint="default" w:cs="宋体"/>
                <w:b/>
                <w:color w:val="000000"/>
                <w:sz w:val="20"/>
                <w:szCs w:val="20"/>
              </w:rPr>
            </w:pPr>
            <w:r>
              <w:rPr>
                <w:rFonts w:cs="宋体"/>
                <w:b/>
                <w:color w:val="000000"/>
                <w:sz w:val="20"/>
                <w:szCs w:val="20"/>
              </w:rPr>
              <w:t>本年支出</w:t>
            </w:r>
          </w:p>
        </w:tc>
      </w:tr>
      <w:tr w14:paraId="6703967A">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2531">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E3A4B">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CF70">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D030C">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D8EED">
            <w:pPr>
              <w:jc w:val="center"/>
              <w:textAlignment w:val="center"/>
              <w:rPr>
                <w:rFonts w:hint="default" w:cs="宋体"/>
                <w:b/>
                <w:color w:val="000000"/>
                <w:sz w:val="20"/>
                <w:szCs w:val="20"/>
              </w:rPr>
            </w:pPr>
            <w:r>
              <w:rPr>
                <w:rFonts w:cs="宋体"/>
                <w:b/>
                <w:color w:val="000000"/>
                <w:sz w:val="20"/>
                <w:szCs w:val="20"/>
              </w:rPr>
              <w:t>项目支出</w:t>
            </w:r>
          </w:p>
        </w:tc>
      </w:tr>
      <w:tr w14:paraId="27D33E8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0FD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0C19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414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B36A0">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865CA">
            <w:pPr>
              <w:jc w:val="center"/>
              <w:rPr>
                <w:rFonts w:hint="default" w:cs="宋体"/>
                <w:b/>
                <w:color w:val="000000"/>
                <w:sz w:val="20"/>
                <w:szCs w:val="20"/>
              </w:rPr>
            </w:pPr>
          </w:p>
        </w:tc>
      </w:tr>
      <w:tr w14:paraId="3D9AFC5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5F01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D6D3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438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B207C">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4D3FE">
            <w:pPr>
              <w:jc w:val="center"/>
              <w:rPr>
                <w:rFonts w:hint="default" w:cs="宋体"/>
                <w:b/>
                <w:color w:val="000000"/>
                <w:sz w:val="20"/>
                <w:szCs w:val="20"/>
              </w:rPr>
            </w:pPr>
          </w:p>
        </w:tc>
      </w:tr>
      <w:tr w14:paraId="016DE596">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E3169">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5172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E88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D964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110B7">
            <w:pPr>
              <w:jc w:val="center"/>
              <w:rPr>
                <w:rFonts w:hint="default" w:cs="宋体"/>
                <w:b/>
                <w:color w:val="000000"/>
                <w:sz w:val="20"/>
                <w:szCs w:val="20"/>
              </w:rPr>
            </w:pPr>
          </w:p>
        </w:tc>
      </w:tr>
      <w:tr w14:paraId="4EA3FC3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0E09">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B62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27FA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13B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62BF23">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125BA">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C1D0A">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F5B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BEA6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FAB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783795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767DB40">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BA69730">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5F3E3BF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D7147B6">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60CD0E2E">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2F70B64F">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32C350AE">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75D2C53A">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65699E1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C33DBEA">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344F6FD">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丰都县社坛中心卫生院</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6A3F6C60">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6E03C45F">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0527C73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9C5211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2B28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26C9F">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CFFF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661B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C9AB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F3515A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7DE11">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133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F1D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81CC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6BCF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C7B71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95A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DFCBF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3680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C46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9E12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C0298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76F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F6B8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AF7F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7DF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971C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8885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DB6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81A4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7B75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9981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0123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A0FEA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101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8045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FC0F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F2E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47EFD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34A1833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D8B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5701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A720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FB8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01D1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4CC79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0D6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D85D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9F82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F4E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BCF0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A8CA2E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90C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F38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386F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982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3F4A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FFAE9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AAF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D9C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87AF6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D39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85CB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1BABA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BA0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6E4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C5AF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0A03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9F78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FA2F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F36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E33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0287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6D8D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AA4D3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4B1F3A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BF3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CFB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EFE3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027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8CEE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AA6B0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658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CB50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F23F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933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861B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BD2C30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682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256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112B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836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747C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1A26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0BA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8AC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3356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B35E7">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4C96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47B0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9EA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C48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B882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5B2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8C68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F1C47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521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562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D23A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A62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FB99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DD8B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B4F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8E3F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4493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13A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9BF3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59D5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129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527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EC2F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619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3B71F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697AC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1FB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53E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2E54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38B6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29857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63DF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97F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F6D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85EF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957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BD05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1DA01B">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F243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CFFF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1704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31F51">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4C202F">
            <w:pPr>
              <w:spacing w:line="280" w:lineRule="exact"/>
              <w:jc w:val="right"/>
              <w:rPr>
                <w:rFonts w:hint="default" w:cs="宋体"/>
                <w:color w:val="000000"/>
                <w:kern w:val="2"/>
                <w:sz w:val="16"/>
                <w:szCs w:val="16"/>
              </w:rPr>
            </w:pPr>
          </w:p>
        </w:tc>
      </w:tr>
      <w:tr w14:paraId="2A32601A">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82DA0">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2C4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8A4B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1D083">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9BB204">
            <w:pPr>
              <w:spacing w:line="280" w:lineRule="exact"/>
              <w:jc w:val="right"/>
              <w:rPr>
                <w:rFonts w:hint="default" w:cs="宋体"/>
                <w:color w:val="000000"/>
                <w:kern w:val="2"/>
                <w:sz w:val="16"/>
                <w:szCs w:val="16"/>
              </w:rPr>
            </w:pPr>
          </w:p>
        </w:tc>
      </w:tr>
      <w:tr w14:paraId="563986F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138A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D000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55759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98EEC">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121457">
            <w:pPr>
              <w:spacing w:line="280" w:lineRule="exact"/>
              <w:jc w:val="right"/>
              <w:rPr>
                <w:rFonts w:hint="default" w:cs="宋体"/>
                <w:color w:val="000000"/>
                <w:sz w:val="16"/>
                <w:szCs w:val="16"/>
              </w:rPr>
            </w:pPr>
          </w:p>
        </w:tc>
      </w:tr>
    </w:tbl>
    <w:p w14:paraId="2236E4F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5EC5">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1CA5AD">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31CA5AD">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E15E">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CCA69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CCA69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89520C9">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89520C9">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BBF4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4B3519"/>
    <w:rsid w:val="00550ABE"/>
    <w:rsid w:val="00623A85"/>
    <w:rsid w:val="00770383"/>
    <w:rsid w:val="007819D4"/>
    <w:rsid w:val="007B419D"/>
    <w:rsid w:val="007B7C4B"/>
    <w:rsid w:val="007D3D39"/>
    <w:rsid w:val="0092732B"/>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0927"/>
    <w:rsid w:val="00F73F90"/>
    <w:rsid w:val="00FB4B3B"/>
    <w:rsid w:val="01474EBF"/>
    <w:rsid w:val="01F3521E"/>
    <w:rsid w:val="02D95401"/>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A17FBF"/>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7A2D2B"/>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626EBC"/>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754F8F"/>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733121"/>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6233</Words>
  <Characters>7837</Characters>
  <Lines>97</Lines>
  <Paragraphs>27</Paragraphs>
  <TotalTime>4</TotalTime>
  <ScaleCrop>false</ScaleCrop>
  <LinksUpToDate>false</LinksUpToDate>
  <CharactersWithSpaces>8113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油菜花儿香</cp:lastModifiedBy>
  <dcterms:modified xsi:type="dcterms:W3CDTF">2025-09-16T09:11:54Z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