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丰都县太平坝乡卫生院</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eastAsia="zh-CN"/>
        </w:rPr>
        <w:t>公开</w:t>
      </w:r>
      <w:r>
        <w:rPr>
          <w:rFonts w:hint="eastAsia" w:ascii="方正小标宋_GBK" w:hAnsi="方正小标宋_GBK" w:eastAsia="方正小标宋_GBK" w:cs="方正小标宋_GBK"/>
          <w:sz w:val="44"/>
          <w:szCs w:val="44"/>
        </w:rPr>
        <w:t>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基本情况</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1.公共卫生服务：负责辖区城乡居民健康档案管理、健康教育、预防接种、儿童健康管理、孕产妇健康管理、老年人健康管理、高血压患者健康管理、2型糖尿病患者健康管理、重性精神疾病患者管理；中医药健康管理和疾病康复；疾病控制、传染病及突发公共卫生事件报告和处理等。负责辖区其他公共卫生服务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2.基本医疗服务：开展一般常见病、多发病、地方病的基本医疗服务；现场救护和转诊服务；慢性病管理。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3.计划生育服务：开展生殖健康、优生服务和家庭保健的咨询、指导和技术服务。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4.协助乡镇政府（街道办事处）制定和组织实施初级卫生保健、卫生事业发展规划和年度计划，开展爱国卫生工作。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5.指导辖区内诊所、村卫生室业务工作，对村医和村妇幼保健人员进行相关技能培训，做好医疗卫生信息统计报告工作，完整、及时、准确报告相关信息，逐步推进乡村卫生服务一体化管理。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6.开展城乡居民</w:t>
      </w:r>
      <w:r>
        <w:rPr>
          <w:rFonts w:hint="eastAsia" w:ascii="Times New Roman" w:hAnsi="Times New Roman" w:eastAsia="方正仿宋_GBK"/>
          <w:sz w:val="32"/>
          <w:szCs w:val="32"/>
          <w:lang w:eastAsia="zh-CN"/>
        </w:rPr>
        <w:t>基本</w:t>
      </w:r>
      <w:r>
        <w:rPr>
          <w:rFonts w:hint="default" w:ascii="Times New Roman" w:hAnsi="Times New Roman" w:eastAsia="方正仿宋_GBK"/>
          <w:sz w:val="32"/>
          <w:szCs w:val="32"/>
        </w:rPr>
        <w:t>医疗保险政策法规宣传与咨询，协助做好相应的医疗服务和补偿结算等工作。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7.负责辖区公共卫生管理；协助开展辖区内卫生监督工作，承担区域内公共卫生信息收集与报告。</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卫生院业务用房2906余平方米，开放床位25张。目前现有在岗职工</w:t>
      </w:r>
      <w:r>
        <w:rPr>
          <w:rFonts w:hint="eastAsia" w:ascii="Times New Roman" w:hAnsi="Times New Roman" w:eastAsia="方正仿宋_GBK"/>
          <w:sz w:val="32"/>
          <w:szCs w:val="32"/>
          <w:lang w:val="en-US" w:eastAsia="zh-CN"/>
        </w:rPr>
        <w:t>15</w:t>
      </w:r>
      <w:r>
        <w:rPr>
          <w:rFonts w:hint="default" w:ascii="Times New Roman" w:hAnsi="Times New Roman" w:eastAsia="方正仿宋_GBK"/>
          <w:sz w:val="32"/>
          <w:szCs w:val="32"/>
        </w:rPr>
        <w:t>人（其中在编职工</w:t>
      </w:r>
      <w:r>
        <w:rPr>
          <w:rFonts w:hint="eastAsia" w:ascii="Times New Roman" w:hAnsi="Times New Roman" w:eastAsia="方正仿宋_GBK"/>
          <w:sz w:val="32"/>
          <w:szCs w:val="32"/>
          <w:lang w:val="en-US" w:eastAsia="zh-CN"/>
        </w:rPr>
        <w:t>8</w:t>
      </w:r>
      <w:r>
        <w:rPr>
          <w:rFonts w:hint="default" w:ascii="Times New Roman" w:hAnsi="Times New Roman" w:eastAsia="方正仿宋_GBK"/>
          <w:sz w:val="32"/>
          <w:szCs w:val="32"/>
        </w:rPr>
        <w:t>人，编外聘用</w:t>
      </w:r>
      <w:r>
        <w:rPr>
          <w:rFonts w:hint="eastAsia" w:ascii="Times New Roman" w:hAnsi="Times New Roman" w:eastAsia="方正仿宋_GBK"/>
          <w:sz w:val="32"/>
          <w:szCs w:val="32"/>
          <w:lang w:val="en-US" w:eastAsia="zh-CN"/>
        </w:rPr>
        <w:t>7</w:t>
      </w:r>
      <w:r>
        <w:rPr>
          <w:rFonts w:hint="default" w:ascii="Times New Roman" w:hAnsi="Times New Roman" w:eastAsia="方正仿宋_GBK"/>
          <w:sz w:val="32"/>
          <w:szCs w:val="32"/>
        </w:rPr>
        <w:t>人）；大学本科学历2人，大学专科学历8人；有执业医师</w:t>
      </w:r>
      <w:r>
        <w:rPr>
          <w:rFonts w:hint="eastAsia" w:ascii="Times New Roman" w:hAnsi="Times New Roman" w:eastAsia="方正仿宋_GBK"/>
          <w:sz w:val="32"/>
          <w:szCs w:val="32"/>
          <w:lang w:val="en-US" w:eastAsia="zh-CN"/>
        </w:rPr>
        <w:t>2</w:t>
      </w:r>
      <w:r>
        <w:rPr>
          <w:rFonts w:hint="default" w:ascii="Times New Roman" w:hAnsi="Times New Roman" w:eastAsia="方正仿宋_GBK"/>
          <w:sz w:val="32"/>
          <w:szCs w:val="32"/>
        </w:rPr>
        <w:t>人、主治医师</w:t>
      </w:r>
      <w:r>
        <w:rPr>
          <w:rFonts w:hint="eastAsia" w:ascii="Times New Roman" w:hAnsi="Times New Roman" w:eastAsia="方正仿宋_GBK"/>
          <w:sz w:val="32"/>
          <w:szCs w:val="32"/>
          <w:lang w:val="en-US" w:eastAsia="zh-CN"/>
        </w:rPr>
        <w:t>1</w:t>
      </w:r>
      <w:r>
        <w:rPr>
          <w:rFonts w:hint="default" w:ascii="Times New Roman" w:hAnsi="Times New Roman" w:eastAsia="方正仿宋_GBK"/>
          <w:sz w:val="32"/>
          <w:szCs w:val="32"/>
        </w:rPr>
        <w:t>人；执业助理医师</w:t>
      </w:r>
      <w:r>
        <w:rPr>
          <w:rFonts w:hint="eastAsia" w:ascii="Times New Roman" w:hAnsi="Times New Roman" w:eastAsia="方正仿宋_GBK"/>
          <w:sz w:val="32"/>
          <w:szCs w:val="32"/>
          <w:lang w:val="en-US" w:eastAsia="zh-CN"/>
        </w:rPr>
        <w:t>3</w:t>
      </w:r>
      <w:r>
        <w:rPr>
          <w:rFonts w:hint="default" w:ascii="Times New Roman" w:hAnsi="Times New Roman" w:eastAsia="方正仿宋_GBK"/>
          <w:sz w:val="32"/>
          <w:szCs w:val="32"/>
        </w:rPr>
        <w:t>人，执业护士3人。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开设科室：全科（内科、外科、儿科）、妇科、中医馆（中医、针灸理疗）、发热诊室、数字化接种门诊、公共卫生部以及检验科、超声科、放射科、心电图等科室。能够规范诊治常见病、多发病、急慢性病以及危急重症抢救和部分疑难病症；中医馆能开展：中风偏瘫、面瘫、面肌痉挛、腰肌劳损、风湿关节炎、类风湿关节炎、颈椎病、腰椎骨质增生、腰椎间盘突出症等中医特色治疗。</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（三）单位构成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从预算单位构成看，无纳入本</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年度决算编制的下级预算单位。</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二、部门决算</w:t>
      </w:r>
      <w:r>
        <w:rPr>
          <w:rFonts w:hint="eastAsia" w:ascii="方正黑体_GBK" w:hAnsi="方正黑体_GBK" w:eastAsia="方正黑体_GBK" w:cs="方正黑体_GBK"/>
          <w:b/>
          <w:bCs/>
          <w:sz w:val="32"/>
          <w:szCs w:val="32"/>
          <w:lang w:eastAsia="zh-CN"/>
        </w:rPr>
        <w:t>收支</w:t>
      </w:r>
      <w:r>
        <w:rPr>
          <w:rFonts w:hint="eastAsia" w:ascii="方正黑体_GBK" w:hAnsi="方正黑体_GBK" w:eastAsia="方正黑体_GBK" w:cs="方正黑体_GBK"/>
          <w:b/>
          <w:bCs/>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w:t>
      </w:r>
      <w:r>
        <w:rPr>
          <w:rFonts w:hint="eastAsia" w:ascii="Times New Roman" w:hAnsi="Times New Roman" w:eastAsia="方正仿宋_GBK"/>
          <w:sz w:val="32"/>
          <w:szCs w:val="32"/>
          <w:lang w:eastAsia="zh-CN"/>
        </w:rPr>
        <w:t>、支</w:t>
      </w:r>
      <w:r>
        <w:rPr>
          <w:rFonts w:ascii="Times New Roman" w:hAnsi="Times New Roman" w:eastAsia="方正仿宋_GBK"/>
          <w:sz w:val="32"/>
          <w:szCs w:val="32"/>
        </w:rPr>
        <w:t>总计</w:t>
      </w:r>
      <w:r>
        <w:rPr>
          <w:rFonts w:hint="eastAsia" w:ascii="Times New Roman" w:hAnsi="Times New Roman" w:eastAsia="方正仿宋_GBK"/>
          <w:sz w:val="32"/>
          <w:szCs w:val="32"/>
          <w:lang w:eastAsia="zh-CN"/>
        </w:rPr>
        <w:t>均为</w:t>
      </w:r>
      <w:r>
        <w:rPr>
          <w:rFonts w:hint="default" w:ascii="Times New Roman" w:hAnsi="Times New Roman" w:eastAsia="方正仿宋_GBK"/>
          <w:sz w:val="32"/>
          <w:szCs w:val="32"/>
        </w:rPr>
        <w:t>419.22</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收、支与2023年度相比，减少54.32万元，下降11.5%</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业务收入减少、相应成本减少。</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403.39</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与2023年度相比，减少69.40万元，下降14.7%</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住院病人减少，事业收入减少。</w:t>
      </w:r>
      <w:r>
        <w:rPr>
          <w:rFonts w:ascii="Times New Roman" w:hAnsi="Times New Roman" w:eastAsia="方正仿宋_GBK"/>
          <w:sz w:val="32"/>
          <w:szCs w:val="32"/>
        </w:rPr>
        <w:t>其中：财政拨款收入</w:t>
      </w:r>
      <w:r>
        <w:rPr>
          <w:rFonts w:hint="default" w:ascii="Times New Roman" w:hAnsi="Times New Roman" w:eastAsia="方正仿宋_GBK"/>
          <w:sz w:val="32"/>
          <w:szCs w:val="32"/>
        </w:rPr>
        <w:t>179.60</w:t>
      </w:r>
      <w:r>
        <w:rPr>
          <w:rFonts w:ascii="Times New Roman" w:hAnsi="Times New Roman" w:eastAsia="方正仿宋_GBK"/>
          <w:sz w:val="32"/>
          <w:szCs w:val="32"/>
        </w:rPr>
        <w:t>万元，占</w:t>
      </w:r>
      <w:r>
        <w:rPr>
          <w:rFonts w:hint="default" w:ascii="Times New Roman" w:hAnsi="Times New Roman" w:eastAsia="方正仿宋_GBK"/>
          <w:sz w:val="32"/>
          <w:szCs w:val="32"/>
        </w:rPr>
        <w:t>44.5%</w:t>
      </w:r>
      <w:r>
        <w:rPr>
          <w:rFonts w:ascii="Times New Roman" w:hAnsi="Times New Roman" w:eastAsia="方正仿宋_GBK"/>
          <w:sz w:val="32"/>
          <w:szCs w:val="32"/>
        </w:rPr>
        <w:t>；事业收入</w:t>
      </w:r>
      <w:r>
        <w:rPr>
          <w:rFonts w:hint="default" w:ascii="Times New Roman" w:hAnsi="Times New Roman" w:eastAsia="方正仿宋_GBK"/>
          <w:sz w:val="32"/>
          <w:szCs w:val="32"/>
        </w:rPr>
        <w:t>223.76</w:t>
      </w:r>
      <w:r>
        <w:rPr>
          <w:rFonts w:ascii="Times New Roman" w:hAnsi="Times New Roman" w:eastAsia="方正仿宋_GBK"/>
          <w:sz w:val="32"/>
          <w:szCs w:val="32"/>
        </w:rPr>
        <w:t>万元，占</w:t>
      </w:r>
      <w:r>
        <w:rPr>
          <w:rFonts w:hint="default" w:ascii="Times New Roman" w:hAnsi="Times New Roman" w:eastAsia="方正仿宋_GBK"/>
          <w:sz w:val="32"/>
          <w:szCs w:val="32"/>
        </w:rPr>
        <w:t>55.5%</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0.03</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w:t>
      </w:r>
      <w:r>
        <w:rPr>
          <w:rFonts w:hint="eastAsia" w:ascii="Times New Roman" w:hAnsi="Times New Roman" w:eastAsia="方正仿宋_GBK"/>
          <w:sz w:val="32"/>
          <w:szCs w:val="32"/>
        </w:rPr>
        <w:t>使用非财政拨款结余（含专用结余）</w:t>
      </w:r>
      <w:r>
        <w:rPr>
          <w:rFonts w:hint="default" w:ascii="Times New Roman" w:hAnsi="Times New Roman" w:eastAsia="方正仿宋_GBK"/>
          <w:sz w:val="32"/>
          <w:szCs w:val="32"/>
        </w:rPr>
        <w:t>15.83</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419.22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与2023年度相比，减少45.95万元，下降9.9%</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医疗收入减少其相应成本减少。</w:t>
      </w:r>
      <w:r>
        <w:rPr>
          <w:rFonts w:ascii="Times New Roman" w:hAnsi="Times New Roman" w:eastAsia="方正仿宋_GBK"/>
          <w:sz w:val="32"/>
          <w:szCs w:val="32"/>
        </w:rPr>
        <w:t>其中：基本支出</w:t>
      </w:r>
      <w:r>
        <w:rPr>
          <w:rFonts w:hint="default" w:ascii="Times New Roman" w:hAnsi="Times New Roman" w:eastAsia="方正仿宋_GBK"/>
          <w:sz w:val="32"/>
          <w:szCs w:val="32"/>
        </w:rPr>
        <w:t>376.61</w:t>
      </w:r>
      <w:r>
        <w:rPr>
          <w:rFonts w:ascii="Times New Roman" w:hAnsi="Times New Roman" w:eastAsia="方正仿宋_GBK"/>
          <w:sz w:val="32"/>
          <w:szCs w:val="32"/>
        </w:rPr>
        <w:t>万元，占</w:t>
      </w:r>
      <w:r>
        <w:rPr>
          <w:rFonts w:hint="default" w:ascii="Times New Roman" w:hAnsi="Times New Roman" w:eastAsia="方正仿宋_GBK"/>
          <w:sz w:val="32"/>
          <w:szCs w:val="32"/>
        </w:rPr>
        <w:t>89.8%</w:t>
      </w:r>
      <w:r>
        <w:rPr>
          <w:rFonts w:ascii="Times New Roman" w:hAnsi="Times New Roman" w:eastAsia="方正仿宋_GBK"/>
          <w:sz w:val="32"/>
          <w:szCs w:val="32"/>
        </w:rPr>
        <w:t>；项目支出</w:t>
      </w:r>
      <w:r>
        <w:rPr>
          <w:rFonts w:hint="default" w:ascii="Times New Roman" w:hAnsi="Times New Roman" w:eastAsia="方正仿宋_GBK"/>
          <w:sz w:val="32"/>
          <w:szCs w:val="32"/>
        </w:rPr>
        <w:t>42.61</w:t>
      </w:r>
      <w:r>
        <w:rPr>
          <w:rFonts w:ascii="Times New Roman" w:hAnsi="Times New Roman" w:eastAsia="方正仿宋_GBK"/>
          <w:sz w:val="32"/>
          <w:szCs w:val="32"/>
        </w:rPr>
        <w:t>万元，占</w:t>
      </w:r>
      <w:r>
        <w:rPr>
          <w:rFonts w:hint="default" w:ascii="Times New Roman" w:hAnsi="Times New Roman" w:eastAsia="方正仿宋_GBK"/>
          <w:sz w:val="32"/>
          <w:szCs w:val="32"/>
        </w:rPr>
        <w:t>10.2%</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b/>
          <w:bCs/>
          <w:sz w:val="32"/>
          <w:szCs w:val="32"/>
          <w:lang w:val="en-US" w:eastAsia="zh-CN"/>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179.60</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度</w:t>
      </w:r>
      <w:r>
        <w:rPr>
          <w:rFonts w:ascii="Times New Roman" w:hAnsi="Times New Roman" w:eastAsia="方正仿宋_GBK"/>
          <w:sz w:val="32"/>
          <w:szCs w:val="32"/>
        </w:rPr>
        <w:t>相比，</w:t>
      </w:r>
      <w:r>
        <w:rPr>
          <w:rFonts w:hint="default" w:ascii="Times New Roman" w:hAnsi="Times New Roman" w:eastAsia="方正仿宋_GBK"/>
          <w:sz w:val="32"/>
          <w:szCs w:val="32"/>
        </w:rPr>
        <w:t>财政拨款收、支总计各增加10.73万元，增长6.4%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财拨医疗能力提升项目增加。</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179.60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与2023年度相比，增加11.48万元，增长6.8%</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财拨医疗能力提升项目增加。</w:t>
      </w:r>
      <w:r>
        <w:rPr>
          <w:rFonts w:hint="default" w:ascii="Times New Roman" w:hAnsi="Times New Roman" w:eastAsia="方正仿宋_GBK"/>
          <w:sz w:val="32"/>
          <w:szCs w:val="32"/>
        </w:rPr>
        <w:t>较年初预算数增加23.87万元，增长15.3%</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医疗能力提升项目增加调整预算。</w:t>
      </w:r>
      <w:r>
        <w:rPr>
          <w:rFonts w:ascii="Times New Roman" w:hAnsi="Times New Roman" w:eastAsia="方正仿宋_GBK"/>
          <w:sz w:val="32"/>
          <w:szCs w:val="32"/>
        </w:rPr>
        <w:t>此外，年初财政拨款结转和结余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179.60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与2023年度相比，增加10.73万元，增长6.4%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财拨医疗能力提升项目增加。</w:t>
      </w:r>
      <w:r>
        <w:rPr>
          <w:rFonts w:hint="default" w:ascii="Times New Roman" w:hAnsi="Times New Roman" w:eastAsia="方正仿宋_GBK"/>
          <w:sz w:val="32"/>
          <w:szCs w:val="32"/>
        </w:rPr>
        <w:t>较年初预算数增加23.87万元，增长15.3%</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医疗能力提升项目增加预算。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lang w:eastAsia="zh-CN"/>
        </w:rPr>
        <w:t>用途如下</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社会保障</w:t>
      </w:r>
      <w:r>
        <w:rPr>
          <w:rFonts w:hint="eastAsia" w:ascii="Times New Roman" w:hAnsi="Times New Roman" w:eastAsia="方正仿宋_GBK"/>
          <w:sz w:val="32"/>
          <w:szCs w:val="32"/>
          <w:lang w:eastAsia="zh-CN"/>
        </w:rPr>
        <w:t>和</w:t>
      </w:r>
      <w:r>
        <w:rPr>
          <w:rFonts w:ascii="Times New Roman" w:hAnsi="Times New Roman" w:eastAsia="方正仿宋_GBK"/>
          <w:sz w:val="32"/>
          <w:szCs w:val="32"/>
        </w:rPr>
        <w:t>就业支出</w:t>
      </w:r>
      <w:r>
        <w:rPr>
          <w:rFonts w:hint="default" w:ascii="Times New Roman" w:hAnsi="Times New Roman" w:eastAsia="方正仿宋_GBK"/>
          <w:sz w:val="32"/>
          <w:szCs w:val="32"/>
        </w:rPr>
        <w:t>0.69</w:t>
      </w:r>
      <w:r>
        <w:rPr>
          <w:rFonts w:ascii="Times New Roman" w:hAnsi="Times New Roman" w:eastAsia="方正仿宋_GBK"/>
          <w:sz w:val="32"/>
          <w:szCs w:val="32"/>
        </w:rPr>
        <w:t>万元，占</w:t>
      </w:r>
      <w:r>
        <w:rPr>
          <w:rFonts w:hint="default" w:ascii="Times New Roman" w:hAnsi="Times New Roman" w:eastAsia="方正仿宋_GBK"/>
          <w:sz w:val="32"/>
          <w:szCs w:val="32"/>
        </w:rPr>
        <w:t>0.4%</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较年初预算数增加0.69万元，增长100.0%</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在职人员调资增加。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w:t>
      </w:r>
      <w:r>
        <w:rPr>
          <w:rFonts w:hint="default" w:ascii="Times New Roman" w:hAnsi="Times New Roman" w:eastAsia="方正仿宋_GBK"/>
          <w:sz w:val="32"/>
          <w:szCs w:val="32"/>
        </w:rPr>
        <w:t>9</w:t>
      </w:r>
      <w:r>
        <w:rPr>
          <w:rFonts w:ascii="Times New Roman" w:hAnsi="Times New Roman" w:eastAsia="方正仿宋_GBK"/>
          <w:sz w:val="32"/>
          <w:szCs w:val="32"/>
        </w:rPr>
        <w:t>）卫生健康支出</w:t>
      </w:r>
      <w:r>
        <w:rPr>
          <w:rFonts w:hint="default" w:ascii="Times New Roman" w:hAnsi="Times New Roman" w:eastAsia="方正仿宋_GBK"/>
          <w:sz w:val="32"/>
          <w:szCs w:val="32"/>
        </w:rPr>
        <w:t>178.91</w:t>
      </w:r>
      <w:r>
        <w:rPr>
          <w:rFonts w:ascii="Times New Roman" w:hAnsi="Times New Roman" w:eastAsia="方正仿宋_GBK"/>
          <w:sz w:val="32"/>
          <w:szCs w:val="32"/>
        </w:rPr>
        <w:t>万元，占</w:t>
      </w:r>
      <w:r>
        <w:rPr>
          <w:rFonts w:hint="default" w:ascii="Times New Roman" w:hAnsi="Times New Roman" w:eastAsia="方正仿宋_GBK"/>
          <w:sz w:val="32"/>
          <w:szCs w:val="32"/>
        </w:rPr>
        <w:t>99.6%</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较年初预算数增加23.18万元，增长14.9%</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医疗能力提升项目增加预算。</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136.99</w:t>
      </w:r>
      <w:r>
        <w:rPr>
          <w:rFonts w:ascii="Times New Roman" w:hAnsi="Times New Roman" w:eastAsia="方正仿宋_GBK"/>
          <w:sz w:val="32"/>
          <w:szCs w:val="32"/>
        </w:rPr>
        <w:t>万元。其中：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129.79</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与2023年度相比，减少21.39万元，下降14.2%</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疫情结束后疫情补助减少。</w:t>
      </w:r>
      <w:r>
        <w:rPr>
          <w:rFonts w:ascii="Times New Roman" w:hAnsi="Times New Roman" w:eastAsia="方正仿宋_GBK"/>
          <w:sz w:val="32"/>
          <w:szCs w:val="32"/>
        </w:rPr>
        <w:t>人员经费用途主要包括</w:t>
      </w:r>
      <w:r>
        <w:rPr>
          <w:rFonts w:hint="default" w:ascii="Times New Roman" w:hAnsi="Times New Roman" w:eastAsia="方正仿宋_GBK"/>
          <w:sz w:val="32"/>
          <w:szCs w:val="32"/>
        </w:rPr>
        <w:t>基本工资30.02万元，津贴补贴2.98万元，</w:t>
      </w:r>
      <w:r>
        <w:rPr>
          <w:rFonts w:hint="eastAsia" w:ascii="Times New Roman" w:hAnsi="Times New Roman" w:eastAsia="方正仿宋_GBK"/>
          <w:sz w:val="32"/>
          <w:szCs w:val="32"/>
          <w:lang w:eastAsia="zh-CN"/>
        </w:rPr>
        <w:t>伙食补助费</w:t>
      </w:r>
      <w:r>
        <w:rPr>
          <w:rFonts w:hint="eastAsia" w:ascii="Times New Roman" w:hAnsi="Times New Roman" w:eastAsia="方正仿宋_GBK"/>
          <w:sz w:val="32"/>
          <w:szCs w:val="32"/>
          <w:lang w:val="en-US" w:eastAsia="zh-CN"/>
        </w:rPr>
        <w:t>0万元，</w:t>
      </w:r>
      <w:r>
        <w:rPr>
          <w:rFonts w:hint="default" w:ascii="Times New Roman" w:hAnsi="Times New Roman" w:eastAsia="方正仿宋_GBK"/>
          <w:sz w:val="32"/>
          <w:szCs w:val="32"/>
        </w:rPr>
        <w:t>绩效工资55.80万元，</w:t>
      </w:r>
      <w:r>
        <w:rPr>
          <w:rFonts w:hint="eastAsia" w:ascii="Times New Roman" w:hAnsi="Times New Roman" w:eastAsia="方正仿宋_GBK"/>
          <w:sz w:val="32"/>
          <w:szCs w:val="32"/>
          <w:lang w:eastAsia="zh-CN"/>
        </w:rPr>
        <w:t>养老保险14.53</w:t>
      </w:r>
      <w:r>
        <w:rPr>
          <w:rFonts w:hint="eastAsia" w:ascii="Times New Roman" w:hAnsi="Times New Roman" w:eastAsia="方正仿宋_GBK"/>
          <w:sz w:val="32"/>
          <w:szCs w:val="32"/>
          <w:lang w:val="en-US" w:eastAsia="zh-CN"/>
        </w:rPr>
        <w:t>万元，</w:t>
      </w:r>
      <w:r>
        <w:rPr>
          <w:rFonts w:hint="default" w:ascii="Times New Roman" w:hAnsi="Times New Roman" w:eastAsia="方正仿宋_GBK"/>
          <w:sz w:val="32"/>
          <w:szCs w:val="32"/>
        </w:rPr>
        <w:t>职业年金7.27万元，</w:t>
      </w:r>
      <w:r>
        <w:rPr>
          <w:rFonts w:hint="eastAsia" w:ascii="Times New Roman" w:hAnsi="Times New Roman" w:eastAsia="方正仿宋_GBK"/>
          <w:sz w:val="32"/>
          <w:szCs w:val="32"/>
          <w:lang w:eastAsia="zh-CN"/>
        </w:rPr>
        <w:t>医保10.31</w:t>
      </w:r>
      <w:r>
        <w:rPr>
          <w:rFonts w:hint="eastAsia" w:ascii="Times New Roman" w:hAnsi="Times New Roman" w:eastAsia="方正仿宋_GBK"/>
          <w:sz w:val="32"/>
          <w:szCs w:val="32"/>
          <w:lang w:val="en-US" w:eastAsia="zh-CN"/>
        </w:rPr>
        <w:t>万元，</w:t>
      </w:r>
      <w:r>
        <w:rPr>
          <w:rFonts w:hint="default" w:ascii="Times New Roman" w:hAnsi="Times New Roman" w:eastAsia="方正仿宋_GBK"/>
          <w:sz w:val="32"/>
          <w:szCs w:val="32"/>
        </w:rPr>
        <w:t>其它社保0.62万元、</w:t>
      </w:r>
      <w:r>
        <w:rPr>
          <w:rFonts w:hint="eastAsia" w:ascii="Times New Roman" w:hAnsi="Times New Roman" w:eastAsia="方正仿宋_GBK"/>
          <w:sz w:val="32"/>
          <w:szCs w:val="32"/>
          <w:lang w:eastAsia="zh-CN"/>
        </w:rPr>
        <w:t>公积金6.12</w:t>
      </w:r>
      <w:r>
        <w:rPr>
          <w:rFonts w:hint="eastAsia" w:ascii="Times New Roman" w:hAnsi="Times New Roman" w:eastAsia="方正仿宋_GBK"/>
          <w:sz w:val="32"/>
          <w:szCs w:val="32"/>
          <w:lang w:val="en-US" w:eastAsia="zh-CN"/>
        </w:rPr>
        <w:t>万元，医疗费1.44万元，</w:t>
      </w:r>
      <w:r>
        <w:rPr>
          <w:rFonts w:hint="default" w:ascii="Times New Roman" w:hAnsi="Times New Roman" w:eastAsia="方正仿宋_GBK"/>
          <w:sz w:val="32"/>
          <w:szCs w:val="32"/>
        </w:rPr>
        <w:t>其它工资福利支出</w:t>
      </w:r>
      <w:r>
        <w:rPr>
          <w:rFonts w:hint="eastAsia" w:ascii="Times New Roman" w:hAnsi="Times New Roman" w:eastAsia="方正仿宋_GBK"/>
          <w:sz w:val="32"/>
          <w:szCs w:val="32"/>
          <w:lang w:val="en-US" w:eastAsia="zh-CN"/>
        </w:rPr>
        <w:t>0</w:t>
      </w:r>
      <w:r>
        <w:rPr>
          <w:rFonts w:hint="default" w:ascii="Times New Roman" w:hAnsi="Times New Roman" w:eastAsia="方正仿宋_GBK"/>
          <w:sz w:val="32"/>
          <w:szCs w:val="32"/>
        </w:rPr>
        <w:t>万元，对个人及家庭补助0.69万元。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公用经费</w:t>
      </w:r>
      <w:r>
        <w:rPr>
          <w:rFonts w:hint="default" w:ascii="Times New Roman" w:hAnsi="Times New Roman" w:eastAsia="方正仿宋_GBK"/>
          <w:sz w:val="32"/>
          <w:szCs w:val="32"/>
        </w:rPr>
        <w:t>7.20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与2023年度相比，减少5.11万元，下降41.5%</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医疗收入下降相应成本减少。</w:t>
      </w:r>
      <w:r>
        <w:rPr>
          <w:rFonts w:ascii="Times New Roman" w:hAnsi="Times New Roman" w:eastAsia="方正仿宋_GBK"/>
          <w:sz w:val="32"/>
          <w:szCs w:val="32"/>
        </w:rPr>
        <w:t>公用经费用途主要包括</w:t>
      </w:r>
      <w:r>
        <w:rPr>
          <w:rFonts w:hint="default" w:ascii="Times New Roman" w:hAnsi="Times New Roman" w:eastAsia="方正仿宋_GBK"/>
          <w:sz w:val="32"/>
          <w:szCs w:val="32"/>
        </w:rPr>
        <w:t>电费1.96万元，邮电0.38万元</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差旅费0.50万元，</w:t>
      </w:r>
      <w:r>
        <w:rPr>
          <w:rFonts w:hint="eastAsia" w:ascii="Times New Roman" w:hAnsi="Times New Roman" w:eastAsia="方正仿宋_GBK"/>
          <w:sz w:val="32"/>
          <w:szCs w:val="32"/>
          <w:lang w:val="en-US" w:eastAsia="zh-CN"/>
        </w:rPr>
        <w:t>专用材料费0.50万元，委托业务费3.08万元，</w:t>
      </w:r>
      <w:r>
        <w:rPr>
          <w:rFonts w:hint="default" w:ascii="Times New Roman" w:hAnsi="Times New Roman" w:eastAsia="方正仿宋_GBK"/>
          <w:sz w:val="32"/>
          <w:szCs w:val="32"/>
        </w:rPr>
        <w:t xml:space="preserve">  其他商品和服务支出1.23</w:t>
      </w:r>
      <w:r>
        <w:rPr>
          <w:rFonts w:hint="eastAsia" w:ascii="Times New Roman" w:hAnsi="Times New Roman" w:eastAsia="方正仿宋_GBK"/>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年度无政府性基金预算财政拨款收支。</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年度无国有资本经营预算财政拨款支出。</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w:t>
      </w:r>
      <w:r>
        <w:rPr>
          <w:rFonts w:hint="eastAsia" w:ascii="方正黑体_GBK" w:hAnsi="方正黑体_GBK" w:eastAsia="方正黑体_GBK" w:cs="方正黑体_GBK"/>
          <w:b/>
          <w:bCs/>
          <w:sz w:val="32"/>
          <w:szCs w:val="32"/>
          <w:lang w:eastAsia="zh-CN"/>
        </w:rPr>
        <w:t>财政拨款</w:t>
      </w:r>
      <w:r>
        <w:rPr>
          <w:rFonts w:hint="eastAsia" w:ascii="方正黑体_GBK" w:hAnsi="方正黑体_GBK" w:eastAsia="方正黑体_GBK" w:cs="方正黑体_GBK"/>
          <w:b/>
          <w:bCs/>
          <w:sz w:val="32"/>
          <w:szCs w:val="32"/>
        </w:rPr>
        <w:t>“三公”经费情况说明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年度“三公”经费支出共计0万元，较年初预算数增加0万元，增长0.0%，较上年支出数增加0万元，增长0.0%，主要原因是“三公”经费本年支出和上年支出均为0。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我单位属于差额拨款事业单位，财政未保障我单位“三公”经费。</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年度未发生因公出国（境）费用，与年初预算数、上年决算数持平。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年度未发生公务车购置费，与年初预算数、上年决算数持平。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年度未发生公务车运行费，与年初预算数、上年决算数持平。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rPr>
        <w:t>年度未发生公务车接待费，与年初预算数、上年决算数持平。</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0</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0</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年本部门人均接待费</w:t>
      </w:r>
      <w:r>
        <w:rPr>
          <w:rFonts w:hint="default" w:ascii="Times New Roman" w:hAnsi="Times New Roman" w:eastAsia="方正仿宋_GBK"/>
          <w:sz w:val="32"/>
          <w:szCs w:val="32"/>
        </w:rPr>
        <w:t>0</w:t>
      </w:r>
      <w:r>
        <w:rPr>
          <w:rFonts w:ascii="Times New Roman" w:hAnsi="Times New Roman" w:eastAsia="方正仿宋_GBK"/>
          <w:sz w:val="32"/>
          <w:szCs w:val="32"/>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0</w:t>
      </w:r>
      <w:r>
        <w:rPr>
          <w:rFonts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本年度培训费支出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与2023年度相比，减少0.20万元，下降100.0%</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本年度财拨培训项目减少。</w:t>
      </w:r>
      <w:r>
        <w:rPr>
          <w:rFonts w:ascii="Times New Roman" w:hAnsi="Times New Roman" w:eastAsia="方正仿宋_GBK"/>
          <w:sz w:val="32"/>
          <w:szCs w:val="32"/>
        </w:rPr>
        <w:t>本年度差旅费支出</w:t>
      </w:r>
      <w:r>
        <w:rPr>
          <w:rFonts w:hint="default" w:ascii="Times New Roman" w:hAnsi="Times New Roman" w:eastAsia="方正仿宋_GBK"/>
          <w:sz w:val="32"/>
          <w:szCs w:val="32"/>
        </w:rPr>
        <w:t>0.50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与2023年度相比，减少0.43万元，下降46.2%</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财拨差旅费用减少。</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按照</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决算列报口径，我单位不在机关运行经费统计范围之内。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共有车辆</w:t>
      </w:r>
      <w:r>
        <w:rPr>
          <w:rFonts w:hint="default" w:ascii="Times New Roman" w:hAnsi="Times New Roman" w:eastAsia="方正仿宋_GBK"/>
          <w:sz w:val="32"/>
          <w:szCs w:val="32"/>
        </w:rPr>
        <w:t>1</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0</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1</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政府</w:t>
      </w:r>
      <w:bookmarkStart w:id="0" w:name="_GoBack"/>
      <w:bookmarkEnd w:id="0"/>
      <w:r>
        <w:rPr>
          <w:rFonts w:ascii="Times New Roman" w:hAnsi="Times New Roman" w:eastAsia="方正仿宋_GBK"/>
          <w:sz w:val="32"/>
          <w:szCs w:val="32"/>
        </w:rPr>
        <w:t>采购支出总额</w:t>
      </w:r>
      <w:r>
        <w:rPr>
          <w:rFonts w:hint="default" w:ascii="Times New Roman" w:hAnsi="Times New Roman" w:eastAsia="方正仿宋_GBK"/>
          <w:sz w:val="32"/>
          <w:szCs w:val="32"/>
        </w:rPr>
        <w:t>0.00</w:t>
      </w:r>
      <w:r>
        <w:rPr>
          <w:rFonts w:ascii="Times New Roman" w:hAnsi="Times New Roman" w:eastAsia="方正仿宋_GBK"/>
          <w:sz w:val="32"/>
          <w:szCs w:val="32"/>
        </w:rPr>
        <w:t>万元，其中：政府采购货物支出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万元、政府采购工程支出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万元、政府采购服务支出</w:t>
      </w:r>
      <w:r>
        <w:rPr>
          <w:rFonts w:hint="default" w:ascii="Times New Roman" w:hAnsi="Times New Roman" w:eastAsia="方正仿宋_GBK"/>
          <w:sz w:val="32"/>
          <w:szCs w:val="32"/>
        </w:rPr>
        <w:t>0.00</w:t>
      </w:r>
      <w:r>
        <w:rPr>
          <w:rFonts w:ascii="Times New Roman" w:hAnsi="Times New Roman" w:eastAsia="方正仿宋_GBK"/>
          <w:sz w:val="32"/>
          <w:szCs w:val="32"/>
        </w:rPr>
        <w:t>万元。授予中小企业合同金额</w:t>
      </w:r>
      <w:r>
        <w:rPr>
          <w:rFonts w:hint="default" w:ascii="Times New Roman" w:hAnsi="Times New Roman" w:eastAsia="方正仿宋_GBK"/>
          <w:sz w:val="32"/>
          <w:szCs w:val="32"/>
        </w:rPr>
        <w:t>0.00</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0%</w:t>
      </w:r>
      <w:r>
        <w:rPr>
          <w:rFonts w:ascii="Times New Roman" w:hAnsi="Times New Roman" w:eastAsia="方正仿宋_GBK"/>
          <w:sz w:val="32"/>
          <w:szCs w:val="32"/>
        </w:rPr>
        <w:t>，其中：授予小微企业合同金额</w:t>
      </w:r>
      <w:r>
        <w:rPr>
          <w:rFonts w:hint="default" w:ascii="Times New Roman" w:hAnsi="Times New Roman" w:eastAsia="方正仿宋_GBK"/>
          <w:sz w:val="32"/>
          <w:szCs w:val="32"/>
        </w:rPr>
        <w:t>0.00</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0 %</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default" w:ascii="Times New Roman" w:hAnsi="Times New Roman" w:eastAsia="方正黑体_GBK" w:cs="Times New Roman"/>
          <w:b/>
          <w:bCs/>
          <w:sz w:val="32"/>
          <w:szCs w:val="32"/>
          <w:lang w:val="en-US" w:eastAsia="zh-CN"/>
        </w:rPr>
        <w:t>2024</w:t>
      </w:r>
      <w:r>
        <w:rPr>
          <w:rFonts w:hint="eastAsia" w:ascii="方正黑体_GBK" w:hAnsi="方正黑体_GBK" w:eastAsia="方正黑体_GBK" w:cs="方正黑体_GBK"/>
          <w:b/>
          <w:bCs/>
          <w:sz w:val="32"/>
          <w:szCs w:val="32"/>
          <w:lang w:val="en-US" w:eastAsia="zh-CN"/>
        </w:rPr>
        <w:t>年度</w:t>
      </w:r>
      <w:r>
        <w:rPr>
          <w:rFonts w:hint="eastAsia" w:ascii="方正黑体_GBK" w:hAnsi="方正黑体_GBK" w:eastAsia="方正黑体_GBK" w:cs="方正黑体_GBK"/>
          <w:b/>
          <w:bCs/>
          <w:sz w:val="32"/>
          <w:szCs w:val="32"/>
        </w:rPr>
        <w:t>预算绩效管理情况说明</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（一）</w:t>
      </w:r>
      <w:r>
        <w:rPr>
          <w:rFonts w:hint="default" w:ascii="方正楷体_GBK" w:hAnsi="方正楷体_GBK" w:eastAsia="方正楷体_GBK" w:cs="方正楷体_GBK"/>
          <w:b/>
          <w:bCs/>
          <w:sz w:val="32"/>
          <w:szCs w:val="32"/>
        </w:rPr>
        <w:t>单位自评情况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eastAsia="zh-CN"/>
        </w:rPr>
      </w:pPr>
      <w:r>
        <w:rPr>
          <w:rFonts w:hint="default" w:ascii="Times New Roman" w:hAnsi="Times New Roman" w:eastAsia="方正仿宋_GBK"/>
          <w:sz w:val="32"/>
          <w:szCs w:val="32"/>
        </w:rPr>
        <w:t>根据预算绩效管理要求，我单位对</w:t>
      </w:r>
      <w:r>
        <w:rPr>
          <w:rFonts w:hint="eastAsia" w:ascii="Times New Roman" w:hAnsi="Times New Roman" w:eastAsia="方正仿宋_GBK"/>
          <w:sz w:val="32"/>
          <w:szCs w:val="32"/>
          <w:lang w:val="en-US" w:eastAsia="zh-CN"/>
        </w:rPr>
        <w:t>3</w:t>
      </w:r>
      <w:r>
        <w:rPr>
          <w:rFonts w:hint="default" w:ascii="Times New Roman" w:hAnsi="Times New Roman" w:eastAsia="方正仿宋_GBK"/>
          <w:sz w:val="32"/>
          <w:szCs w:val="32"/>
        </w:rPr>
        <w:t>个二级项目开展了绩效自评，涉及财政拨款项目支出资金</w:t>
      </w:r>
      <w:r>
        <w:rPr>
          <w:rFonts w:hint="eastAsia" w:ascii="Times New Roman" w:hAnsi="Times New Roman" w:eastAsia="方正仿宋_GBK"/>
          <w:sz w:val="32"/>
          <w:szCs w:val="32"/>
          <w:lang w:val="en-US" w:eastAsia="zh-CN"/>
        </w:rPr>
        <w:t>67.86</w:t>
      </w:r>
      <w:r>
        <w:rPr>
          <w:rFonts w:hint="default" w:ascii="Times New Roman" w:hAnsi="Times New Roman" w:eastAsia="方正仿宋_GBK"/>
          <w:sz w:val="32"/>
          <w:szCs w:val="32"/>
        </w:rPr>
        <w:t>万元</w:t>
      </w:r>
      <w:r>
        <w:rPr>
          <w:rFonts w:hint="default" w:ascii="Times New Roman" w:hAnsi="Times New Roman" w:eastAsia="方正仿宋_GBK"/>
          <w:sz w:val="32"/>
          <w:szCs w:val="32"/>
          <w:lang w:eastAsia="zh-CN"/>
        </w:rPr>
        <w:t>。（</w:t>
      </w:r>
      <w:r>
        <w:rPr>
          <w:rFonts w:hint="default" w:ascii="Times New Roman" w:hAnsi="Times New Roman" w:eastAsia="方正仿宋_GBK"/>
          <w:sz w:val="32"/>
          <w:szCs w:val="32"/>
          <w:lang w:val="en-US" w:eastAsia="zh-CN"/>
        </w:rPr>
        <w:t>具体项目绩效自评表如下</w:t>
      </w:r>
      <w:r>
        <w:rPr>
          <w:rFonts w:hint="default" w:ascii="Times New Roman" w:hAnsi="Times New Roman" w:eastAsia="方正仿宋_GBK"/>
          <w:sz w:val="32"/>
          <w:szCs w:val="32"/>
          <w:lang w:eastAsia="zh-CN"/>
        </w:rPr>
        <w:t>）</w:t>
      </w:r>
    </w:p>
    <w:p>
      <w:pPr>
        <w:pStyle w:val="14"/>
        <w:widowControl/>
        <w:numPr>
          <w:ilvl w:val="0"/>
          <w:numId w:val="0"/>
        </w:numPr>
        <w:wordWrap/>
        <w:autoSpaceDE w:val="0"/>
        <w:adjustRightInd/>
        <w:snapToGrid/>
        <w:spacing w:beforeAutospacing="0" w:afterAutospacing="0" w:line="594" w:lineRule="exact"/>
        <w:ind w:left="0" w:leftChars="0" w:right="0" w:firstLine="640" w:firstLineChars="200"/>
        <w:jc w:val="left"/>
        <w:textAlignment w:val="auto"/>
        <w:outlineLvl w:val="9"/>
        <w:rPr>
          <w:rFonts w:hint="eastAsia" w:ascii="Times New Roman" w:hAnsi="Times New Roman" w:eastAsia="方正仿宋_GBK" w:cs="Times New Roman"/>
          <w:color w:val="auto"/>
          <w:sz w:val="32"/>
          <w:szCs w:val="32"/>
          <w:highlight w:val="none"/>
          <w:shd w:val="clear" w:color="auto" w:fill="FFFFFF"/>
          <w:lang w:eastAsia="zh-CN"/>
        </w:rPr>
      </w:pPr>
      <w:r>
        <w:rPr>
          <w:rFonts w:hint="eastAsia" w:ascii="Times New Roman" w:hAnsi="Times New Roman" w:eastAsia="方正仿宋_GBK" w:cs="Times New Roman"/>
          <w:color w:val="auto"/>
          <w:sz w:val="32"/>
          <w:szCs w:val="32"/>
          <w:highlight w:val="none"/>
          <w:shd w:val="clear" w:color="auto" w:fill="FFFFFF"/>
          <w:lang w:eastAsia="zh-CN"/>
        </w:rPr>
        <w:t>自评表一</w:t>
      </w:r>
    </w:p>
    <w:tbl>
      <w:tblPr>
        <w:tblStyle w:val="11"/>
        <w:tblW w:w="95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324"/>
        <w:gridCol w:w="170"/>
        <w:gridCol w:w="370"/>
        <w:gridCol w:w="648"/>
        <w:gridCol w:w="216"/>
        <w:gridCol w:w="124"/>
        <w:gridCol w:w="453"/>
        <w:gridCol w:w="287"/>
        <w:gridCol w:w="108"/>
        <w:gridCol w:w="510"/>
        <w:gridCol w:w="246"/>
        <w:gridCol w:w="432"/>
        <w:gridCol w:w="432"/>
        <w:gridCol w:w="248"/>
        <w:gridCol w:w="508"/>
        <w:gridCol w:w="108"/>
        <w:gridCol w:w="290"/>
        <w:gridCol w:w="452"/>
        <w:gridCol w:w="122"/>
        <w:gridCol w:w="216"/>
        <w:gridCol w:w="648"/>
        <w:gridCol w:w="372"/>
        <w:gridCol w:w="168"/>
        <w:gridCol w:w="324"/>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9507"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321" w:firstLineChars="100"/>
              <w:jc w:val="center"/>
              <w:textAlignment w:val="center"/>
              <w:rPr>
                <w:rFonts w:cs="宋体"/>
                <w:color w:val="000000"/>
                <w:sz w:val="22"/>
                <w:szCs w:val="22"/>
                <w:lang w:bidi="ar"/>
              </w:rPr>
            </w:pPr>
            <w:r>
              <w:rPr>
                <w:rFonts w:hint="eastAsia" w:cs="宋体"/>
                <w:b/>
                <w:bCs/>
                <w:color w:val="000000"/>
                <w:sz w:val="32"/>
                <w:szCs w:val="32"/>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8" w:hRule="atLeast"/>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项目名称：</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2023年医疗服务与保障能力提升（医疗卫生机构能力建设）</w:t>
            </w:r>
          </w:p>
        </w:tc>
        <w:tc>
          <w:tcPr>
            <w:tcW w:w="11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项目编码：</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50023024T000004106190</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自评总分：</w:t>
            </w:r>
          </w:p>
        </w:tc>
        <w:tc>
          <w:tcPr>
            <w:tcW w:w="11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99.91</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项目主管部门：</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404-丰都县卫生健康委员会</w:t>
            </w:r>
          </w:p>
        </w:tc>
        <w:tc>
          <w:tcPr>
            <w:tcW w:w="11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财政归口处室：</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004-社保科</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部门联系人：</w:t>
            </w:r>
          </w:p>
        </w:tc>
        <w:tc>
          <w:tcPr>
            <w:tcW w:w="11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杨文松</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联系电话：</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173****8467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3" w:hRule="atLeast"/>
        </w:trPr>
        <w:tc>
          <w:tcPr>
            <w:tcW w:w="9507"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b/>
                <w:bCs/>
                <w:color w:val="000000"/>
                <w:sz w:val="22"/>
                <w:szCs w:val="22"/>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年初预算数</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全年（调整）预算数</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全年执行数</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执行率</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执行率权重</w:t>
            </w:r>
          </w:p>
        </w:tc>
        <w:tc>
          <w:tcPr>
            <w:tcW w:w="13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8" w:hRule="atLeast"/>
        </w:trPr>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年度总金额</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430,000.00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430,000.00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426,075.00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3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其中：财政拨款</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430,000.00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430,000.00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426,075.00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99.09</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10.00</w:t>
            </w:r>
          </w:p>
        </w:tc>
        <w:tc>
          <w:tcPr>
            <w:tcW w:w="13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8" w:hRule="atLeast"/>
        </w:trPr>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一般公共预算</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430,000.00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430,000.00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426,075.00 </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99.09</w:t>
            </w:r>
          </w:p>
        </w:tc>
        <w:tc>
          <w:tcPr>
            <w:tcW w:w="13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3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9507"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b/>
                <w:bCs/>
                <w:color w:val="000000"/>
                <w:sz w:val="22"/>
                <w:szCs w:val="22"/>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316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年初绩效目标</w:t>
            </w:r>
          </w:p>
        </w:tc>
        <w:tc>
          <w:tcPr>
            <w:tcW w:w="316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全年（调整）绩效目标</w:t>
            </w:r>
          </w:p>
        </w:tc>
        <w:tc>
          <w:tcPr>
            <w:tcW w:w="316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316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医疗与保障能力提升，购心电图机2台、彩超1台、除颤监护仪1台。</w:t>
            </w:r>
          </w:p>
        </w:tc>
        <w:tc>
          <w:tcPr>
            <w:tcW w:w="316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医疗与保障能力提升，购心电图机2台、彩超1台、除颤监护仪1台。</w:t>
            </w:r>
          </w:p>
        </w:tc>
        <w:tc>
          <w:tcPr>
            <w:tcW w:w="316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已完成购心电图机2台、彩超1台、除颤监护仪1台。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8" w:hRule="atLeast"/>
        </w:trPr>
        <w:tc>
          <w:tcPr>
            <w:tcW w:w="9507"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b/>
                <w:bCs/>
                <w:color w:val="000000"/>
                <w:sz w:val="22"/>
                <w:szCs w:val="22"/>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指标名称</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计量单位</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指标性质</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指标值</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全年完成值</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偏离度（%）</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得分系数（%）</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指标权重</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指标得分</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是否核心指标</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便携式彩超</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台</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是</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除颤监护仪</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台</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手术台</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张</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双摇病床及床头柜</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张</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20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20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心电图机</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台</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2</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2</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购买设备后老年人体检检查完整率</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定性</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良好</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购买设备后门诊人次数提高</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定性</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良好</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购买设备后住院人次数提高</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定性</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良好</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患者满意度</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95</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95</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5</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5</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医务人员满意度</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95</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95</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5</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5</w:t>
            </w:r>
          </w:p>
        </w:tc>
        <w:tc>
          <w:tcPr>
            <w:tcW w:w="8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bl>
    <w:p>
      <w:pPr>
        <w:pStyle w:val="14"/>
        <w:widowControl/>
        <w:numPr>
          <w:ilvl w:val="0"/>
          <w:numId w:val="0"/>
        </w:numPr>
        <w:wordWrap/>
        <w:autoSpaceDE w:val="0"/>
        <w:adjustRightInd/>
        <w:snapToGrid/>
        <w:spacing w:beforeAutospacing="0" w:afterAutospacing="0" w:line="594" w:lineRule="exact"/>
        <w:ind w:right="0"/>
        <w:jc w:val="left"/>
        <w:textAlignment w:val="auto"/>
        <w:outlineLvl w:val="9"/>
        <w:rPr>
          <w:rFonts w:hint="eastAsia" w:ascii="Times New Roman" w:hAnsi="Times New Roman" w:eastAsia="方正仿宋_GBK" w:cs="Times New Roman"/>
          <w:color w:val="auto"/>
          <w:sz w:val="32"/>
          <w:szCs w:val="32"/>
          <w:highlight w:val="none"/>
          <w:shd w:val="clear" w:color="auto" w:fill="FFFFFF"/>
          <w:lang w:eastAsia="zh-CN"/>
        </w:rPr>
      </w:pPr>
    </w:p>
    <w:p>
      <w:pPr>
        <w:pStyle w:val="14"/>
        <w:widowControl/>
        <w:numPr>
          <w:ilvl w:val="0"/>
          <w:numId w:val="0"/>
        </w:numPr>
        <w:wordWrap/>
        <w:autoSpaceDE w:val="0"/>
        <w:adjustRightInd/>
        <w:snapToGrid/>
        <w:spacing w:beforeAutospacing="0" w:afterAutospacing="0" w:line="594" w:lineRule="exact"/>
        <w:ind w:left="0" w:leftChars="0" w:right="0" w:firstLine="640" w:firstLineChars="200"/>
        <w:jc w:val="left"/>
        <w:textAlignment w:val="auto"/>
        <w:outlineLvl w:val="9"/>
        <w:rPr>
          <w:rFonts w:hint="eastAsia" w:ascii="Times New Roman" w:hAnsi="Times New Roman" w:eastAsia="方正仿宋_GBK" w:cs="Times New Roman"/>
          <w:color w:val="auto"/>
          <w:sz w:val="32"/>
          <w:szCs w:val="32"/>
          <w:highlight w:val="none"/>
          <w:shd w:val="clear" w:color="auto" w:fill="FFFFFF"/>
          <w:lang w:eastAsia="zh-CN"/>
        </w:rPr>
      </w:pPr>
      <w:r>
        <w:rPr>
          <w:rFonts w:hint="eastAsia" w:ascii="Times New Roman" w:hAnsi="Times New Roman" w:eastAsia="方正仿宋_GBK" w:cs="Times New Roman"/>
          <w:color w:val="auto"/>
          <w:sz w:val="32"/>
          <w:szCs w:val="32"/>
          <w:highlight w:val="none"/>
          <w:shd w:val="clear" w:color="auto" w:fill="FFFFFF"/>
          <w:lang w:eastAsia="zh-CN"/>
        </w:rPr>
        <w:t>自评表二</w:t>
      </w:r>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306"/>
        <w:gridCol w:w="161"/>
        <w:gridCol w:w="348"/>
        <w:gridCol w:w="612"/>
        <w:gridCol w:w="203"/>
        <w:gridCol w:w="119"/>
        <w:gridCol w:w="427"/>
        <w:gridCol w:w="269"/>
        <w:gridCol w:w="103"/>
        <w:gridCol w:w="483"/>
        <w:gridCol w:w="229"/>
        <w:gridCol w:w="409"/>
        <w:gridCol w:w="406"/>
        <w:gridCol w:w="238"/>
        <w:gridCol w:w="477"/>
        <w:gridCol w:w="100"/>
        <w:gridCol w:w="277"/>
        <w:gridCol w:w="428"/>
        <w:gridCol w:w="110"/>
        <w:gridCol w:w="206"/>
        <w:gridCol w:w="609"/>
        <w:gridCol w:w="357"/>
        <w:gridCol w:w="155"/>
        <w:gridCol w:w="303"/>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97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321" w:firstLineChars="100"/>
              <w:jc w:val="center"/>
              <w:textAlignment w:val="center"/>
              <w:rPr>
                <w:rFonts w:hint="eastAsia" w:cs="宋体"/>
                <w:color w:val="000000"/>
                <w:sz w:val="22"/>
                <w:szCs w:val="22"/>
                <w:lang w:val="en-US" w:eastAsia="zh-CN" w:bidi="ar"/>
              </w:rPr>
            </w:pPr>
            <w:r>
              <w:rPr>
                <w:rFonts w:hint="eastAsia" w:cs="宋体"/>
                <w:b/>
                <w:bCs/>
                <w:color w:val="000000"/>
                <w:sz w:val="32"/>
                <w:szCs w:val="32"/>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项目名称：</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2024年基本公共卫生服务项目</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项目编码：</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50023024T000004495082</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自评总分：</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项目主管部门：</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404-丰都县卫生健康委员会</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财政归口处室：</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004-社保科</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部门联系人：</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杨文松</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联系电话：</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173****8467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7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val="en-US" w:eastAsia="zh-CN" w:bidi="ar"/>
              </w:rPr>
            </w:pPr>
            <w:r>
              <w:rPr>
                <w:rFonts w:hint="eastAsia" w:cs="宋体"/>
                <w:b/>
                <w:bCs/>
                <w:color w:val="000000"/>
                <w:sz w:val="22"/>
                <w:szCs w:val="22"/>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年初预算数</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全年（调整）预算数</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全年执行数</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执行率</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执行率权重</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年度总金额</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0.00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244,953.00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244,953.00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其中：财政拨款</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0.00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244,953.00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244,953.00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10.00</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一般公共预算</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0.00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244,953.00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 xml:space="preserve">244,953.00 </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12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7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val="en-US" w:eastAsia="zh-CN" w:bidi="ar"/>
              </w:rPr>
            </w:pPr>
            <w:r>
              <w:rPr>
                <w:rFonts w:hint="eastAsia" w:cs="宋体"/>
                <w:b/>
                <w:bCs/>
                <w:color w:val="000000"/>
                <w:sz w:val="22"/>
                <w:szCs w:val="22"/>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年初绩效目标</w:t>
            </w:r>
          </w:p>
        </w:tc>
        <w:tc>
          <w:tcPr>
            <w:tcW w:w="299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全年（调整）绩效目标</w:t>
            </w:r>
          </w:p>
        </w:tc>
        <w:tc>
          <w:tcPr>
            <w:tcW w:w="299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9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2024年太平乡基本公卫项目</w:t>
            </w:r>
          </w:p>
        </w:tc>
        <w:tc>
          <w:tcPr>
            <w:tcW w:w="299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2024年太平乡基本公卫项目</w:t>
            </w:r>
          </w:p>
        </w:tc>
        <w:tc>
          <w:tcPr>
            <w:tcW w:w="299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为维护正常运行，保障基本公共卫生服务和基本医疗服务，辖区人民服务群众，提高患者满意度。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74"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val="en-US" w:eastAsia="zh-CN" w:bidi="ar"/>
              </w:rPr>
            </w:pPr>
            <w:r>
              <w:rPr>
                <w:rFonts w:hint="eastAsia" w:cs="宋体"/>
                <w:b/>
                <w:bCs/>
                <w:color w:val="000000"/>
                <w:sz w:val="22"/>
                <w:szCs w:val="22"/>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指标名称</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计量单位</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指标性质</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指标值</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全年完成值</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偏离度（%）</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得分系数（%）</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指标权重</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指标得分</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是否核心指标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0-6岁儿童眼保健和视力检查覆盖率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70</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2型糖尿病患者基层规范管理服务率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3岁以下儿童系统管理率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73</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73</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65岁及以上老年人城乡社区规范健康管理</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44</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44</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7岁以下儿童健康管理率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71</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71</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传染病和突发公共卫生事件报告率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73</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73</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地方病核心指标监测率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73</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73</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儿童中医药健康管理率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60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60</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肺结核患者管理率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70</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高血压患者基层规范管理服务率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46</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46</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居民规范化电子健康档案覆盖率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45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老年人中医药健康管理率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53</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53</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社区在册居家严重精神障碍患者健康管</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67</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67</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适龄儿童国家免疫规划疫苗接种率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71</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71</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孕产妇系统管理率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72</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72</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职业健康核心指标监测县区覆盖率</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71</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71</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3.75</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城乡居民公共卫生差距</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定性</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缩小</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基本公共卫生服务水平</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定性</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提高</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6</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6</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居民健康素养水平</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定性</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提高</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7</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城乡居民对基本本公共卫生服务满意度</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定性</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提高</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10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r>
              <w:rPr>
                <w:rFonts w:hint="eastAsia" w:cs="宋体"/>
                <w:color w:val="000000"/>
                <w:sz w:val="22"/>
                <w:szCs w:val="22"/>
                <w:lang w:val="en-US" w:eastAsia="zh-CN" w:bidi="ar"/>
              </w:rPr>
              <w:t>是</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val="en-US" w:eastAsia="zh-CN" w:bidi="ar"/>
              </w:rPr>
            </w:pPr>
          </w:p>
        </w:tc>
      </w:tr>
    </w:tbl>
    <w:p>
      <w:pPr>
        <w:pStyle w:val="14"/>
        <w:widowControl/>
        <w:numPr>
          <w:ilvl w:val="0"/>
          <w:numId w:val="0"/>
        </w:numPr>
        <w:wordWrap/>
        <w:autoSpaceDE w:val="0"/>
        <w:adjustRightInd/>
        <w:snapToGrid/>
        <w:spacing w:beforeAutospacing="0" w:afterAutospacing="0" w:line="594" w:lineRule="exact"/>
        <w:ind w:right="0"/>
        <w:jc w:val="left"/>
        <w:textAlignment w:val="auto"/>
        <w:outlineLvl w:val="9"/>
        <w:rPr>
          <w:rFonts w:hint="eastAsia" w:ascii="Times New Roman" w:hAnsi="Times New Roman" w:eastAsia="方正仿宋_GBK" w:cs="Times New Roman"/>
          <w:color w:val="auto"/>
          <w:sz w:val="32"/>
          <w:szCs w:val="32"/>
          <w:highlight w:val="none"/>
          <w:shd w:val="clear" w:color="auto" w:fill="FFFFFF"/>
          <w:lang w:eastAsia="zh-CN"/>
        </w:rPr>
      </w:pPr>
    </w:p>
    <w:p>
      <w:pPr>
        <w:pStyle w:val="14"/>
        <w:widowControl/>
        <w:numPr>
          <w:ilvl w:val="0"/>
          <w:numId w:val="0"/>
        </w:numPr>
        <w:wordWrap/>
        <w:autoSpaceDE w:val="0"/>
        <w:adjustRightInd/>
        <w:snapToGrid/>
        <w:spacing w:beforeAutospacing="0" w:afterAutospacing="0" w:line="594" w:lineRule="exact"/>
        <w:ind w:left="0" w:leftChars="0" w:right="0" w:firstLine="640" w:firstLineChars="200"/>
        <w:jc w:val="left"/>
        <w:textAlignment w:val="auto"/>
        <w:outlineLvl w:val="9"/>
        <w:rPr>
          <w:rFonts w:hint="eastAsia" w:ascii="Times New Roman" w:hAnsi="Times New Roman" w:eastAsia="方正仿宋_GBK" w:cs="Times New Roman"/>
          <w:color w:val="auto"/>
          <w:sz w:val="32"/>
          <w:szCs w:val="32"/>
          <w:highlight w:val="none"/>
          <w:shd w:val="clear" w:color="auto" w:fill="FFFFFF"/>
          <w:lang w:eastAsia="zh-CN"/>
        </w:rPr>
      </w:pPr>
      <w:r>
        <w:rPr>
          <w:rFonts w:hint="eastAsia" w:ascii="Times New Roman" w:hAnsi="Times New Roman" w:eastAsia="方正仿宋_GBK" w:cs="Times New Roman"/>
          <w:color w:val="auto"/>
          <w:sz w:val="32"/>
          <w:szCs w:val="32"/>
          <w:highlight w:val="none"/>
          <w:shd w:val="clear" w:color="auto" w:fill="FFFFFF"/>
          <w:lang w:eastAsia="zh-CN"/>
        </w:rPr>
        <w:t>自评表三</w:t>
      </w:r>
    </w:p>
    <w:tbl>
      <w:tblPr>
        <w:tblStyle w:val="11"/>
        <w:tblW w:w="91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311"/>
        <w:gridCol w:w="163"/>
        <w:gridCol w:w="356"/>
        <w:gridCol w:w="622"/>
        <w:gridCol w:w="208"/>
        <w:gridCol w:w="118"/>
        <w:gridCol w:w="436"/>
        <w:gridCol w:w="276"/>
        <w:gridCol w:w="103"/>
        <w:gridCol w:w="489"/>
        <w:gridCol w:w="238"/>
        <w:gridCol w:w="414"/>
        <w:gridCol w:w="416"/>
        <w:gridCol w:w="236"/>
        <w:gridCol w:w="489"/>
        <w:gridCol w:w="105"/>
        <w:gridCol w:w="278"/>
        <w:gridCol w:w="432"/>
        <w:gridCol w:w="120"/>
        <w:gridCol w:w="206"/>
        <w:gridCol w:w="624"/>
        <w:gridCol w:w="354"/>
        <w:gridCol w:w="163"/>
        <w:gridCol w:w="313"/>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trPr>
        <w:tc>
          <w:tcPr>
            <w:tcW w:w="913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321" w:firstLineChars="100"/>
              <w:jc w:val="center"/>
              <w:textAlignment w:val="center"/>
              <w:rPr>
                <w:rFonts w:cs="宋体"/>
                <w:color w:val="000000"/>
                <w:sz w:val="22"/>
                <w:szCs w:val="22"/>
                <w:lang w:bidi="ar"/>
              </w:rPr>
            </w:pPr>
            <w:r>
              <w:rPr>
                <w:rFonts w:hint="eastAsia" w:cs="宋体"/>
                <w:b/>
                <w:bCs/>
                <w:color w:val="000000"/>
                <w:sz w:val="32"/>
                <w:szCs w:val="32"/>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项目名称：</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2024年预算调整</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项目编码：</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50023025T000004647301</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自评总分：</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100.00</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项目主管部门：</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404-丰都县卫生健康委员会</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财政归口处室：</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004-社保科</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部门联系人：</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杨文松</w:t>
            </w:r>
          </w:p>
        </w:tc>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联系电话：</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173****8467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7" w:hRule="atLeast"/>
        </w:trPr>
        <w:tc>
          <w:tcPr>
            <w:tcW w:w="913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b/>
                <w:bCs/>
                <w:color w:val="000000"/>
                <w:sz w:val="22"/>
                <w:szCs w:val="22"/>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年初预算数</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全年（调整）预算数</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全年执行数</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执行率</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执行率权重</w:t>
            </w:r>
          </w:p>
        </w:tc>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年度总金额</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0.00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3,686.40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3,686.40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其中：财政拨款</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0.00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3,686.40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3,686.40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10.00</w:t>
            </w:r>
          </w:p>
        </w:tc>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1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一般公共预算</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0.00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3,686.40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 xml:space="preserve">3,686.40 </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1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7" w:hRule="atLeast"/>
        </w:trPr>
        <w:tc>
          <w:tcPr>
            <w:tcW w:w="913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b/>
                <w:bCs/>
                <w:color w:val="000000"/>
                <w:sz w:val="22"/>
                <w:szCs w:val="22"/>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0" w:hRule="atLeast"/>
        </w:trPr>
        <w:tc>
          <w:tcPr>
            <w:tcW w:w="30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年初绩效目标</w:t>
            </w:r>
          </w:p>
        </w:tc>
        <w:tc>
          <w:tcPr>
            <w:tcW w:w="304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全年（调整）绩效目标</w:t>
            </w:r>
          </w:p>
        </w:tc>
        <w:tc>
          <w:tcPr>
            <w:tcW w:w="30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7" w:hRule="atLeast"/>
        </w:trPr>
        <w:tc>
          <w:tcPr>
            <w:tcW w:w="30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保证资金发放到位</w:t>
            </w:r>
          </w:p>
        </w:tc>
        <w:tc>
          <w:tcPr>
            <w:tcW w:w="3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保证资金发放到位</w:t>
            </w:r>
          </w:p>
        </w:tc>
        <w:tc>
          <w:tcPr>
            <w:tcW w:w="30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center"/>
              <w:textAlignment w:val="center"/>
              <w:rPr>
                <w:rFonts w:hint="eastAsia" w:cs="宋体"/>
                <w:color w:val="000000"/>
                <w:sz w:val="22"/>
                <w:szCs w:val="22"/>
                <w:lang w:bidi="ar"/>
              </w:rPr>
            </w:pPr>
            <w:r>
              <w:rPr>
                <w:rFonts w:hint="eastAsia" w:cs="宋体"/>
                <w:color w:val="000000"/>
                <w:sz w:val="22"/>
                <w:szCs w:val="22"/>
                <w:lang w:val="en-US" w:eastAsia="zh-CN" w:bidi="ar"/>
              </w:rPr>
              <w:t>资金足额发放到位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5" w:hRule="atLeast"/>
        </w:trPr>
        <w:tc>
          <w:tcPr>
            <w:tcW w:w="9132" w:type="dxa"/>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cs="宋体"/>
                <w:color w:val="000000"/>
                <w:sz w:val="22"/>
                <w:szCs w:val="22"/>
                <w:lang w:bidi="ar"/>
              </w:rPr>
            </w:pPr>
            <w:r>
              <w:rPr>
                <w:rFonts w:hint="eastAsia" w:cs="宋体"/>
                <w:b/>
                <w:bCs/>
                <w:color w:val="000000"/>
                <w:sz w:val="22"/>
                <w:szCs w:val="22"/>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指标名称</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计量单位</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指标性质</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指标值</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全年完成值</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偏离度（%）</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得分系数（%）</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指标权重</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指标得分</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是否核心指标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资金发放到位率</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60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60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是</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促进医院长期发展</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定性</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长期</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20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20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职工满意度</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定性</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较上年提高</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10</w:t>
            </w:r>
          </w:p>
        </w:tc>
        <w:tc>
          <w:tcPr>
            <w:tcW w:w="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r>
              <w:rPr>
                <w:rFonts w:hint="eastAsia" w:cs="宋体"/>
                <w:color w:val="000000"/>
                <w:sz w:val="22"/>
                <w:szCs w:val="22"/>
                <w:lang w:val="en-US" w:eastAsia="zh-CN" w:bidi="ar"/>
              </w:rPr>
              <w:t>否</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cs="宋体"/>
                <w:color w:val="000000"/>
                <w:sz w:val="22"/>
                <w:szCs w:val="22"/>
                <w:lang w:bidi="ar"/>
              </w:rPr>
            </w:pPr>
          </w:p>
        </w:tc>
      </w:tr>
    </w:tbl>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（二）单位绩效评价情况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我单位未组织开展绩效评价。</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（三）财政绩效评价情况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lang w:val="en-US" w:eastAsia="zh-CN"/>
        </w:rPr>
        <w:t>县</w:t>
      </w:r>
      <w:r>
        <w:rPr>
          <w:rFonts w:hint="default" w:ascii="Times New Roman" w:hAnsi="Times New Roman" w:eastAsia="方正仿宋_GBK"/>
          <w:sz w:val="32"/>
          <w:szCs w:val="32"/>
        </w:rPr>
        <w:t>财政局未委托第三方对我单位开展绩效评价。</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黑体_GBK" w:hAnsi="方正黑体_GBK" w:eastAsia="方正黑体_GBK" w:cs="方正黑体_GBK"/>
          <w:b/>
          <w:bCs/>
          <w:sz w:val="32"/>
          <w:szCs w:val="32"/>
        </w:rPr>
      </w:pPr>
      <w:r>
        <w:rPr>
          <w:rFonts w:hint="default" w:ascii="方正黑体_GBK" w:hAnsi="方正黑体_GBK" w:eastAsia="方正黑体_GBK" w:cs="方正黑体_GBK"/>
          <w:b/>
          <w:bCs/>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（一）财政拨款收入：</w:t>
      </w:r>
      <w:r>
        <w:rPr>
          <w:rFonts w:hint="default" w:ascii="Times New Roman" w:hAnsi="Times New Roman" w:eastAsia="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（二）事业收入：</w:t>
      </w:r>
      <w:r>
        <w:rPr>
          <w:rFonts w:hint="default" w:ascii="Times New Roman" w:hAnsi="Times New Roman" w:eastAsia="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（三）经营收入：</w:t>
      </w:r>
      <w:r>
        <w:rPr>
          <w:rFonts w:hint="default" w:ascii="Times New Roman" w:hAnsi="Times New Roman" w:eastAsia="方正仿宋_GBK"/>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（四）其他收入：</w:t>
      </w:r>
      <w:r>
        <w:rPr>
          <w:rFonts w:hint="default"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（五）使用非财政拨款结余：</w:t>
      </w:r>
      <w:r>
        <w:rPr>
          <w:rFonts w:hint="default"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（六）年初结转和结余：</w:t>
      </w:r>
      <w:r>
        <w:rPr>
          <w:rFonts w:hint="default" w:ascii="Times New Roman" w:hAnsi="Times New Roman" w:eastAsia="方正仿宋_GBK"/>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（七）结余分配：</w:t>
      </w:r>
      <w:r>
        <w:rPr>
          <w:rFonts w:hint="default" w:ascii="Times New Roman" w:hAnsi="Times New Roman" w:eastAsia="方正仿宋_GBK"/>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（八）年末结转和结余：</w:t>
      </w:r>
      <w:r>
        <w:rPr>
          <w:rFonts w:hint="default" w:ascii="Times New Roman" w:hAnsi="Times New Roman" w:eastAsia="方正仿宋_GBK"/>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（九）基本支出：</w:t>
      </w:r>
      <w:r>
        <w:rPr>
          <w:rFonts w:hint="default"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（十）项目支出：</w:t>
      </w:r>
      <w:r>
        <w:rPr>
          <w:rFonts w:hint="default"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（十一）经营支出：</w:t>
      </w:r>
      <w:r>
        <w:rPr>
          <w:rFonts w:hint="default" w:ascii="Times New Roman" w:hAnsi="Times New Roman" w:eastAsia="方正仿宋_GBK"/>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（十二）“三公”经费：</w:t>
      </w:r>
      <w:r>
        <w:rPr>
          <w:rFonts w:hint="default"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（十三）机关运行经费：</w:t>
      </w:r>
      <w:r>
        <w:rPr>
          <w:rFonts w:hint="default"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（十四）工资福利支出（支出经济分类科目类级）：</w:t>
      </w:r>
      <w:r>
        <w:rPr>
          <w:rFonts w:hint="default" w:ascii="Times New Roman" w:hAnsi="Times New Roman" w:eastAsia="方正仿宋_GBK"/>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（十五）商品和服务支出（支出经济分类科目类级）：</w:t>
      </w:r>
      <w:r>
        <w:rPr>
          <w:rFonts w:hint="default" w:ascii="Times New Roman" w:hAnsi="Times New Roman" w:eastAsia="方正仿宋_GBK"/>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（十六）对个人和家庭的补助（支出经济分类科目类级）：</w:t>
      </w:r>
      <w:r>
        <w:rPr>
          <w:rFonts w:hint="default" w:ascii="Times New Roman" w:hAnsi="Times New Roman" w:eastAsia="方正仿宋_GBK"/>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sz w:val="32"/>
          <w:szCs w:val="32"/>
        </w:rPr>
      </w:pPr>
      <w:r>
        <w:rPr>
          <w:rFonts w:hint="default" w:ascii="方正楷体_GBK" w:hAnsi="方正楷体_GBK" w:eastAsia="方正楷体_GBK" w:cs="方正楷体_GBK"/>
          <w:b/>
          <w:bCs/>
          <w:sz w:val="32"/>
          <w:szCs w:val="32"/>
        </w:rPr>
        <w:t>（十七）其他资本性支出（支出经济分类科目类级）：</w:t>
      </w:r>
      <w:r>
        <w:rPr>
          <w:rFonts w:hint="default"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方正黑体_GBK" w:hAnsi="方正黑体_GBK" w:eastAsia="方正黑体_GBK" w:cs="方正黑体_GBK"/>
          <w:b/>
          <w:bCs/>
          <w:sz w:val="32"/>
          <w:szCs w:val="32"/>
        </w:rPr>
      </w:pPr>
      <w:r>
        <w:rPr>
          <w:rFonts w:hint="default" w:ascii="方正黑体_GBK" w:hAnsi="方正黑体_GBK" w:eastAsia="方正黑体_GBK" w:cs="方正黑体_GBK"/>
          <w:b/>
          <w:bCs/>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sz w:val="32"/>
          <w:szCs w:val="32"/>
          <w:lang w:eastAsia="zh-CN"/>
        </w:rPr>
        <w:t>杨文松</w:t>
      </w:r>
      <w:r>
        <w:rPr>
          <w:rFonts w:hint="eastAsia" w:ascii="Times New Roman" w:hAnsi="Times New Roman" w:eastAsia="方正仿宋_GBK"/>
          <w:sz w:val="32"/>
          <w:szCs w:val="32"/>
          <w:lang w:val="en-US" w:eastAsia="zh-CN"/>
        </w:rPr>
        <w:t xml:space="preserve">   023-70609023</w:t>
      </w: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丰都县太平坝乡卫生院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403.39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419.22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419.22</w:t>
            </w:r>
            <w:r>
              <w:rPr>
                <w:rFonts w:ascii="Times New Roman" w:hAnsi="Times New Roman"/>
                <w:color w:val="000000"/>
                <w:sz w:val="20"/>
                <w:u w:color="auto"/>
              </w:rPr>
              <w:t xml:space="preserve"> </w:t>
            </w:r>
          </w:p>
        </w:tc>
      </w:tr>
    </w:tbl>
    <w:p>
      <w:pPr>
        <w:ind w:left="240" w:leftChars="0" w:firstLine="0" w:firstLineChars="0"/>
        <w:rPr>
          <w:rFonts w:hint="default" w:cs="宋体"/>
          <w:sz w:val="21"/>
          <w:szCs w:val="21"/>
        </w:rPr>
      </w:pPr>
    </w:p>
    <w:p>
      <w:pPr>
        <w:spacing w:line="240" w:lineRule="exact"/>
        <w:ind w:left="240" w:leftChars="0" w:firstLine="0" w:firstLineChars="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丰都县太平坝乡卫生院</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403.39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179.60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223.76</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223.76</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223.76</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223.76</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丰都县太平坝乡卫生院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419.22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376.61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丰都县太平坝乡卫生院</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丰都县太平坝乡卫生院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丰都县太平坝乡卫生院</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129.79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丰都县太平坝乡卫生院</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丰都县太平坝乡卫生院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丰都县太平坝乡卫生院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pStyle w:val="14"/>
        <w:autoSpaceDE w:val="0"/>
        <w:ind w:firstLine="0" w:firstLineChars="0"/>
        <w:rPr>
          <w:rFonts w:hint="default" w:ascii="宋体" w:hAnsi="宋体" w:eastAsia="宋体" w:cs="宋体"/>
          <w:sz w:val="21"/>
          <w:szCs w:val="21"/>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9qwsYhwCAAAnBAAADgAAAAAAAAABACAAAAA1AQAAZHJzL2Uyb0RvYy54bWxQSwUG&#10;AAAAAAYABgBZAQAAww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4DVRU2AAAAAoBAAAPAAAAAAAAAAEAIAAAADgAAABkcnMvZG93bnJl&#10;di54bWxQSwECFAAUAAAACACHTuJAH4AXFyACAAAmBAAADgAAAAAAAAABACAAAAA9AQAAZHJzL2Uy&#10;b0RvYy54bWxQSwUGAAAAAAYABgBZAQAAzwUAAA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jU1NjY1YzU1MjUwMWZmZTVjZmVlZmZlNjc0N2MifQ=="/>
  </w:docVars>
  <w:rsids>
    <w:rsidRoot w:val="00B03CCD"/>
    <w:rsid w:val="000D7BCC"/>
    <w:rsid w:val="00550ABE"/>
    <w:rsid w:val="007B419D"/>
    <w:rsid w:val="009B67B8"/>
    <w:rsid w:val="00B03CCD"/>
    <w:rsid w:val="01474EBF"/>
    <w:rsid w:val="01F3521E"/>
    <w:rsid w:val="020B4BF3"/>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A62612"/>
    <w:rsid w:val="09B72B6E"/>
    <w:rsid w:val="0A0C7F04"/>
    <w:rsid w:val="0A227275"/>
    <w:rsid w:val="0A5C4B69"/>
    <w:rsid w:val="0B9335CE"/>
    <w:rsid w:val="0BA10C97"/>
    <w:rsid w:val="0C0143DE"/>
    <w:rsid w:val="0C554661"/>
    <w:rsid w:val="0C7927C4"/>
    <w:rsid w:val="0C9B098C"/>
    <w:rsid w:val="0CE80A8F"/>
    <w:rsid w:val="0D472B48"/>
    <w:rsid w:val="0D673E11"/>
    <w:rsid w:val="0DB50EFE"/>
    <w:rsid w:val="0DDA54E4"/>
    <w:rsid w:val="0E3A5F83"/>
    <w:rsid w:val="0E9478E1"/>
    <w:rsid w:val="0F5C0C13"/>
    <w:rsid w:val="0F836721"/>
    <w:rsid w:val="103645A3"/>
    <w:rsid w:val="105329F5"/>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749540B"/>
    <w:rsid w:val="187A1F7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902C6A"/>
    <w:rsid w:val="20C83310"/>
    <w:rsid w:val="20EC77A3"/>
    <w:rsid w:val="21556F04"/>
    <w:rsid w:val="22403BD3"/>
    <w:rsid w:val="233202B5"/>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E86D9F"/>
    <w:rsid w:val="2FE029D7"/>
    <w:rsid w:val="2FF06E00"/>
    <w:rsid w:val="315F0B22"/>
    <w:rsid w:val="31BE24D6"/>
    <w:rsid w:val="31D84415"/>
    <w:rsid w:val="31EB283A"/>
    <w:rsid w:val="321C402A"/>
    <w:rsid w:val="32285F6F"/>
    <w:rsid w:val="32770556"/>
    <w:rsid w:val="329C0913"/>
    <w:rsid w:val="32A21D4C"/>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DF31B27"/>
    <w:rsid w:val="3E1D0952"/>
    <w:rsid w:val="3E42660A"/>
    <w:rsid w:val="3E7555B1"/>
    <w:rsid w:val="3EA72472"/>
    <w:rsid w:val="3EDE1208"/>
    <w:rsid w:val="3F0527E5"/>
    <w:rsid w:val="3F16459E"/>
    <w:rsid w:val="3F207C08"/>
    <w:rsid w:val="4004000C"/>
    <w:rsid w:val="411B6CE5"/>
    <w:rsid w:val="412070D7"/>
    <w:rsid w:val="41314E40"/>
    <w:rsid w:val="415C674B"/>
    <w:rsid w:val="41C94A33"/>
    <w:rsid w:val="426C1EA8"/>
    <w:rsid w:val="42E86A87"/>
    <w:rsid w:val="43136432"/>
    <w:rsid w:val="443A3B12"/>
    <w:rsid w:val="44487B36"/>
    <w:rsid w:val="44EF6BE8"/>
    <w:rsid w:val="45A30364"/>
    <w:rsid w:val="465B470D"/>
    <w:rsid w:val="469D6AD4"/>
    <w:rsid w:val="47674801"/>
    <w:rsid w:val="481A7885"/>
    <w:rsid w:val="48225EF7"/>
    <w:rsid w:val="48A36D47"/>
    <w:rsid w:val="495C4A24"/>
    <w:rsid w:val="49A21DF3"/>
    <w:rsid w:val="49C811E4"/>
    <w:rsid w:val="4A216E30"/>
    <w:rsid w:val="4B7951CB"/>
    <w:rsid w:val="4B7C315C"/>
    <w:rsid w:val="4B9300D7"/>
    <w:rsid w:val="4BAB7F90"/>
    <w:rsid w:val="4BD53EDA"/>
    <w:rsid w:val="4BE11807"/>
    <w:rsid w:val="4C484CE5"/>
    <w:rsid w:val="4D400290"/>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9A60CF"/>
    <w:rsid w:val="55EF4EA6"/>
    <w:rsid w:val="56530F5D"/>
    <w:rsid w:val="565716B9"/>
    <w:rsid w:val="56EE372E"/>
    <w:rsid w:val="56F0004E"/>
    <w:rsid w:val="5842572D"/>
    <w:rsid w:val="598A28E2"/>
    <w:rsid w:val="5BA32C5F"/>
    <w:rsid w:val="5C1336B7"/>
    <w:rsid w:val="5C263CE4"/>
    <w:rsid w:val="5C5D2777"/>
    <w:rsid w:val="5C722D7F"/>
    <w:rsid w:val="5D290C69"/>
    <w:rsid w:val="5E194F28"/>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B251C8"/>
    <w:rsid w:val="64FB113D"/>
    <w:rsid w:val="65057338"/>
    <w:rsid w:val="6544377C"/>
    <w:rsid w:val="655F5939"/>
    <w:rsid w:val="656152C6"/>
    <w:rsid w:val="6587477F"/>
    <w:rsid w:val="658C3A08"/>
    <w:rsid w:val="65A30CA9"/>
    <w:rsid w:val="65C031CA"/>
    <w:rsid w:val="65CE6852"/>
    <w:rsid w:val="65F004F9"/>
    <w:rsid w:val="66267C04"/>
    <w:rsid w:val="663F505A"/>
    <w:rsid w:val="667F2393"/>
    <w:rsid w:val="66EE5541"/>
    <w:rsid w:val="67086152"/>
    <w:rsid w:val="687E45FE"/>
    <w:rsid w:val="692172FD"/>
    <w:rsid w:val="69C90237"/>
    <w:rsid w:val="6A3829EE"/>
    <w:rsid w:val="6A924CB7"/>
    <w:rsid w:val="6AE0292E"/>
    <w:rsid w:val="6B474EF5"/>
    <w:rsid w:val="6BC27679"/>
    <w:rsid w:val="6BC54EFE"/>
    <w:rsid w:val="6C560CAE"/>
    <w:rsid w:val="6CD15296"/>
    <w:rsid w:val="6D903FF5"/>
    <w:rsid w:val="6DA955B8"/>
    <w:rsid w:val="6DE346AB"/>
    <w:rsid w:val="6EE10614"/>
    <w:rsid w:val="6FFB2E76"/>
    <w:rsid w:val="70AB70D6"/>
    <w:rsid w:val="70DE5507"/>
    <w:rsid w:val="71C34D91"/>
    <w:rsid w:val="71ED38AA"/>
    <w:rsid w:val="72DB435C"/>
    <w:rsid w:val="74ED1B1B"/>
    <w:rsid w:val="750837F0"/>
    <w:rsid w:val="75553F05"/>
    <w:rsid w:val="762A73EF"/>
    <w:rsid w:val="7631412E"/>
    <w:rsid w:val="764F62AB"/>
    <w:rsid w:val="765C45EC"/>
    <w:rsid w:val="768A7619"/>
    <w:rsid w:val="7714640F"/>
    <w:rsid w:val="77EA362A"/>
    <w:rsid w:val="7875383E"/>
    <w:rsid w:val="796D60A4"/>
    <w:rsid w:val="79A031D5"/>
    <w:rsid w:val="79A52681"/>
    <w:rsid w:val="7A1525F7"/>
    <w:rsid w:val="7A3E6CB6"/>
    <w:rsid w:val="7A99799F"/>
    <w:rsid w:val="7B0C0AF4"/>
    <w:rsid w:val="7B420052"/>
    <w:rsid w:val="7B7D43A1"/>
    <w:rsid w:val="7BD06A28"/>
    <w:rsid w:val="7C1E4CD7"/>
    <w:rsid w:val="7C3A7C0B"/>
    <w:rsid w:val="7C5248E4"/>
    <w:rsid w:val="7C566698"/>
    <w:rsid w:val="7CE56AF6"/>
    <w:rsid w:val="7CF02E5B"/>
    <w:rsid w:val="7D213FB2"/>
    <w:rsid w:val="7D3B0D2B"/>
    <w:rsid w:val="7E31715C"/>
    <w:rsid w:val="7FF723E4"/>
    <w:rsid w:val="E7FBAF75"/>
    <w:rsid w:val="FDDFA347"/>
    <w:rsid w:val="FDFB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basedOn w:val="1"/>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3479</Words>
  <Characters>4150</Characters>
  <Lines>161</Lines>
  <Paragraphs>45</Paragraphs>
  <TotalTime>29</TotalTime>
  <ScaleCrop>false</ScaleCrop>
  <LinksUpToDate>false</LinksUpToDate>
  <CharactersWithSpaces>4163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卫健委机要秘书</cp:lastModifiedBy>
  <dcterms:modified xsi:type="dcterms:W3CDTF">2025-09-18T10:13:08Z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3CB690F5864840C293EE395D3B96B51B_13</vt:lpwstr>
  </property>
  <property fmtid="{D5CDD505-2E9C-101B-9397-08002B2CF9AE}" pid="4" name="KSOTemplateDocerSaveRecord">
    <vt:lpwstr>eyJoZGlkIjoiOTQxNzEzMTExNzZmYTRkMWUxMjM0YTE4YmNjZmFjNTYiLCJ1c2VySWQiOiIzNTg1ODI4NjMifQ==</vt:lpwstr>
  </property>
</Properties>
</file>