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黑体"/>
          <w:b/>
          <w:sz w:val="36"/>
          <w:szCs w:val="36"/>
        </w:rPr>
      </w:pPr>
      <w:r>
        <w:rPr>
          <w:rFonts w:hint="eastAsia" w:ascii="华文中宋" w:hAnsi="华文中宋" w:eastAsia="华文中宋" w:cs="黑体"/>
          <w:b/>
          <w:sz w:val="36"/>
          <w:szCs w:val="36"/>
        </w:rPr>
        <w:t>安全生产行政执法文书</w:t>
      </w:r>
    </w:p>
    <w:p>
      <w:pPr>
        <w:spacing w:line="600" w:lineRule="exact"/>
        <w:jc w:val="center"/>
        <w:rPr>
          <w:rFonts w:ascii="仿宋" w:hAnsi="仿宋" w:eastAsia="仿宋" w:cs="黑体"/>
          <w:b/>
          <w:sz w:val="36"/>
          <w:szCs w:val="36"/>
        </w:rPr>
      </w:pPr>
      <w:r>
        <w:rPr>
          <w:rFonts w:ascii="华文中宋" w:hAnsi="华文中宋" w:eastAsia="华文中宋"/>
          <w:sz w:val="36"/>
          <w:szCs w:val="36"/>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33020</wp:posOffset>
                </wp:positionV>
                <wp:extent cx="5253355" cy="0"/>
                <wp:effectExtent l="0" t="19050" r="4445" b="19050"/>
                <wp:wrapNone/>
                <wp:docPr id="2" name="直接连接符 56"/>
                <wp:cNvGraphicFramePr/>
                <a:graphic xmlns:a="http://schemas.openxmlformats.org/drawingml/2006/main">
                  <a:graphicData uri="http://schemas.microsoft.com/office/word/2010/wordprocessingShape">
                    <wps:wsp>
                      <wps:cNvCnPr>
                        <a:cxnSpLocks noChangeShapeType="true"/>
                      </wps:cNvCnPr>
                      <wps:spPr bwMode="auto">
                        <a:xfrm>
                          <a:off x="0" y="0"/>
                          <a:ext cx="5253487" cy="0"/>
                        </a:xfrm>
                        <a:prstGeom prst="line">
                          <a:avLst/>
                        </a:prstGeom>
                        <a:noFill/>
                        <a:ln w="38100" cmpd="dbl">
                          <a:solidFill>
                            <a:srgbClr val="000000"/>
                          </a:solidFill>
                          <a:round/>
                        </a:ln>
                        <a:effectLst/>
                      </wps:spPr>
                      <wps:bodyPr/>
                    </wps:wsp>
                  </a:graphicData>
                </a:graphic>
              </wp:anchor>
            </w:drawing>
          </mc:Choice>
          <mc:Fallback>
            <w:pict>
              <v:line id="直接连接符 56" o:spid="_x0000_s1026" o:spt="20" style="position:absolute;left:0pt;margin-left:3.05pt;margin-top:2.6pt;height:0pt;width:413.65pt;z-index:251659264;mso-width-relative:page;mso-height-relative:page;" filled="f" stroked="t" coordsize="21600,21600" o:gfxdata="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X7&#10;f0/TAAAABQEAAA8AAAAAAAAAAQAgAAAAOAAAAGRycy9kb3ducmV2LnhtbFBLAQIUABQAAAAIAIdO&#10;4kBY4dUX2QEAAHoDAAAOAAAAAAAAAAEAIAAAADg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36"/>
          <w:szCs w:val="36"/>
        </w:rPr>
        <w:t>行政（当场）处罚决定书（单位）</w:t>
      </w:r>
    </w:p>
    <w:p>
      <w:pPr>
        <w:spacing w:line="600" w:lineRule="exact"/>
        <w:jc w:val="center"/>
        <w:rPr>
          <w:rFonts w:hint="default" w:ascii="Times New Roman" w:hAnsi="Times New Roman" w:eastAsia="方正仿宋_GBK" w:cs="Times New Roman"/>
          <w:sz w:val="28"/>
          <w:szCs w:val="28"/>
        </w:rPr>
      </w:pPr>
      <w:bookmarkStart w:id="0" w:name="_GoBack"/>
      <w:bookmarkEnd w:id="0"/>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丰都</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应急危化罚当〔202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号</w:t>
      </w:r>
    </w:p>
    <w:p>
      <w:pPr>
        <w:spacing w:line="400" w:lineRule="exact"/>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被处罚单位：</w:t>
      </w:r>
      <w:r>
        <w:rPr>
          <w:rFonts w:hint="eastAsia" w:asciiTheme="minorEastAsia" w:hAnsiTheme="minorEastAsia" w:eastAsiaTheme="minorEastAsia" w:cstheme="minorEastAsia"/>
          <w:sz w:val="21"/>
          <w:szCs w:val="21"/>
          <w:u w:val="single"/>
        </w:rPr>
        <w:t xml:space="preserve"> 陈</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rPr>
        <w:t>烟花爆竹经营（零售）点（统一社会信用代码：9500230</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rPr>
        <w:t xml:space="preserve">UPHPXH </w:t>
      </w:r>
      <w:r>
        <w:rPr>
          <w:rFonts w:hint="eastAsia" w:asciiTheme="minorEastAsia" w:hAnsiTheme="minorEastAsia" w:eastAsiaTheme="minorEastAsia" w:cstheme="minor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sz w:val="21"/>
          <w:szCs w:val="21"/>
          <w:u w:val="single"/>
        </w:rPr>
        <w:t xml:space="preserve">  重庆市丰都县高家镇祥和路6组号   </w:t>
      </w:r>
      <w:r>
        <w:rPr>
          <w:rFonts w:hint="eastAsia" w:asciiTheme="minorEastAsia" w:hAnsiTheme="minorEastAsia" w:eastAsiaTheme="minorEastAsia" w:cstheme="minorEastAsia"/>
          <w:sz w:val="21"/>
          <w:szCs w:val="21"/>
        </w:rPr>
        <w:t>邮政编码：</w:t>
      </w:r>
      <w:r>
        <w:rPr>
          <w:rFonts w:hint="eastAsia" w:asciiTheme="minorEastAsia" w:hAnsiTheme="minorEastAsia" w:eastAsiaTheme="minorEastAsia" w:cstheme="minorEastAsia"/>
          <w:sz w:val="21"/>
          <w:szCs w:val="21"/>
          <w:u w:val="single"/>
        </w:rPr>
        <w:t xml:space="preserve">      408200                    </w:t>
      </w:r>
      <w:r>
        <w:rPr>
          <w:rFonts w:hint="eastAsia" w:asciiTheme="minorEastAsia" w:hAnsiTheme="minorEastAsia" w:eastAsiaTheme="minorEastAsia" w:cstheme="minor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法定代表人（负责人）：</w:t>
      </w:r>
      <w:r>
        <w:rPr>
          <w:rFonts w:hint="eastAsia" w:asciiTheme="minorEastAsia" w:hAnsiTheme="minorEastAsia" w:eastAsiaTheme="minorEastAsia" w:cstheme="minorEastAsia"/>
          <w:sz w:val="21"/>
          <w:szCs w:val="21"/>
          <w:u w:val="single"/>
        </w:rPr>
        <w:t xml:space="preserve"> 陈</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w:t>
      </w:r>
      <w:r>
        <w:rPr>
          <w:rFonts w:hint="eastAsia" w:asciiTheme="minorEastAsia" w:hAnsiTheme="minorEastAsia" w:eastAsiaTheme="minorEastAsia" w:cstheme="minorEastAsia"/>
          <w:sz w:val="21"/>
          <w:szCs w:val="21"/>
          <w:u w:val="single"/>
        </w:rPr>
        <w:t xml:space="preserve">  法定代表人  </w:t>
      </w:r>
      <w:r>
        <w:rPr>
          <w:rFonts w:hint="eastAsia" w:asciiTheme="minorEastAsia" w:hAnsiTheme="minorEastAsia" w:eastAsiaTheme="minorEastAsia" w:cstheme="minorEastAsia"/>
          <w:sz w:val="21"/>
          <w:szCs w:val="21"/>
        </w:rPr>
        <w:t xml:space="preserve"> 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150</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rPr>
        <w:t>8600</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u w:val="single"/>
          <w:lang w:val="en-US"/>
        </w:rPr>
      </w:pPr>
      <w:r>
        <w:rPr>
          <w:rFonts w:hint="eastAsia" w:asciiTheme="minorEastAsia" w:hAnsiTheme="minorEastAsia" w:eastAsiaTheme="minorEastAsia" w:cstheme="minorEastAsia"/>
          <w:sz w:val="21"/>
          <w:szCs w:val="21"/>
        </w:rPr>
        <w:t>违法事实及证据：</w:t>
      </w:r>
      <w:r>
        <w:rPr>
          <w:rFonts w:hint="eastAsia" w:asciiTheme="minorEastAsia" w:hAnsiTheme="minorEastAsia" w:eastAsiaTheme="minorEastAsia" w:cstheme="minorEastAsia"/>
          <w:sz w:val="21"/>
          <w:szCs w:val="21"/>
          <w:u w:val="single"/>
        </w:rPr>
        <w:t xml:space="preserve">  202</w:t>
      </w:r>
      <w:r>
        <w:rPr>
          <w:rFonts w:hint="eastAsia" w:asciiTheme="minorEastAsia" w:hAnsiTheme="minorEastAsia" w:eastAsiaTheme="minorEastAsia" w:cstheme="minorEastAsia"/>
          <w:sz w:val="21"/>
          <w:szCs w:val="21"/>
          <w:u w:val="single"/>
          <w:lang w:val="en-US" w:eastAsia="zh-CN"/>
        </w:rPr>
        <w:t>4</w:t>
      </w:r>
      <w:r>
        <w:rPr>
          <w:rFonts w:hint="eastAsia" w:asciiTheme="minorEastAsia" w:hAnsiTheme="minorEastAsia" w:eastAsiaTheme="minorEastAsia" w:cstheme="minorEastAsia"/>
          <w:sz w:val="21"/>
          <w:szCs w:val="21"/>
          <w:u w:val="single"/>
        </w:rPr>
        <w:t>年</w:t>
      </w:r>
      <w:r>
        <w:rPr>
          <w:rFonts w:hint="eastAsia" w:asciiTheme="minorEastAsia" w:hAnsiTheme="minorEastAsia" w:eastAsiaTheme="minorEastAsia" w:cstheme="minorEastAsia"/>
          <w:sz w:val="21"/>
          <w:szCs w:val="21"/>
          <w:u w:val="single"/>
          <w:lang w:val="en-US" w:eastAsia="zh-CN"/>
        </w:rPr>
        <w:t>11</w:t>
      </w:r>
      <w:r>
        <w:rPr>
          <w:rFonts w:hint="eastAsia" w:asciiTheme="minorEastAsia" w:hAnsiTheme="minorEastAsia" w:eastAsiaTheme="minorEastAsia" w:cstheme="minorEastAsia"/>
          <w:sz w:val="21"/>
          <w:szCs w:val="21"/>
          <w:u w:val="single"/>
        </w:rPr>
        <w:t>月</w:t>
      </w:r>
      <w:r>
        <w:rPr>
          <w:rFonts w:hint="eastAsia" w:asciiTheme="minorEastAsia" w:hAnsiTheme="minorEastAsia" w:eastAsiaTheme="minorEastAsia" w:cstheme="minorEastAsia"/>
          <w:sz w:val="21"/>
          <w:szCs w:val="21"/>
          <w:u w:val="single"/>
          <w:lang w:val="en-US" w:eastAsia="zh-CN"/>
        </w:rPr>
        <w:t>8</w:t>
      </w:r>
      <w:r>
        <w:rPr>
          <w:rFonts w:hint="eastAsia" w:asciiTheme="minorEastAsia" w:hAnsiTheme="minorEastAsia" w:eastAsiaTheme="minorEastAsia" w:cstheme="minorEastAsia"/>
          <w:sz w:val="21"/>
          <w:szCs w:val="21"/>
          <w:u w:val="single"/>
        </w:rPr>
        <w:t>日</w:t>
      </w:r>
      <w:r>
        <w:rPr>
          <w:rFonts w:hint="eastAsia" w:asciiTheme="minorEastAsia" w:hAnsiTheme="minorEastAsia" w:eastAsiaTheme="minorEastAsia" w:cstheme="minorEastAsia"/>
          <w:sz w:val="21"/>
          <w:szCs w:val="21"/>
          <w:u w:val="single"/>
          <w:lang w:val="en-US" w:eastAsia="zh-CN"/>
        </w:rPr>
        <w:t>11</w:t>
      </w:r>
      <w:r>
        <w:rPr>
          <w:rFonts w:hint="eastAsia" w:asciiTheme="minorEastAsia" w:hAnsiTheme="minorEastAsia" w:eastAsiaTheme="minorEastAsia" w:cstheme="minorEastAsia"/>
          <w:sz w:val="21"/>
          <w:szCs w:val="21"/>
          <w:u w:val="single"/>
        </w:rPr>
        <w:t>时</w:t>
      </w:r>
      <w:r>
        <w:rPr>
          <w:rFonts w:hint="eastAsia" w:asciiTheme="minorEastAsia" w:hAnsiTheme="minorEastAsia" w:eastAsiaTheme="minorEastAsia" w:cstheme="minorEastAsia"/>
          <w:sz w:val="21"/>
          <w:szCs w:val="21"/>
          <w:u w:val="single"/>
          <w:lang w:val="en-US" w:eastAsia="zh-CN"/>
        </w:rPr>
        <w:t>10分</w:t>
      </w:r>
      <w:r>
        <w:rPr>
          <w:rFonts w:hint="eastAsia" w:asciiTheme="minorEastAsia" w:hAnsiTheme="minorEastAsia" w:eastAsiaTheme="minorEastAsia" w:cstheme="minorEastAsia"/>
          <w:sz w:val="21"/>
          <w:szCs w:val="21"/>
          <w:u w:val="single"/>
        </w:rPr>
        <w:t>，我局执法人员</w:t>
      </w:r>
      <w:r>
        <w:rPr>
          <w:rFonts w:hint="eastAsia" w:asciiTheme="minorEastAsia" w:hAnsiTheme="minorEastAsia" w:eastAsiaTheme="minorEastAsia" w:cstheme="minorEastAsia"/>
          <w:sz w:val="21"/>
          <w:szCs w:val="21"/>
          <w:u w:val="single"/>
          <w:lang w:eastAsia="zh-CN"/>
        </w:rPr>
        <w:t>在进行监督检查时，</w:t>
      </w:r>
      <w:r>
        <w:rPr>
          <w:rFonts w:hint="eastAsia" w:asciiTheme="minorEastAsia" w:hAnsiTheme="minorEastAsia" w:eastAsiaTheme="minorEastAsia" w:cstheme="minorEastAsia"/>
          <w:sz w:val="21"/>
          <w:szCs w:val="21"/>
          <w:u w:val="single"/>
        </w:rPr>
        <w:t>在重庆市丰都县高家镇祥和路6组陈</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烟花爆竹零售店</w:t>
      </w:r>
      <w:r>
        <w:rPr>
          <w:rFonts w:hint="eastAsia" w:asciiTheme="minorEastAsia" w:hAnsiTheme="minorEastAsia" w:eastAsiaTheme="minorEastAsia" w:cstheme="minorEastAsia"/>
          <w:sz w:val="21"/>
          <w:szCs w:val="21"/>
          <w:u w:val="single"/>
          <w:lang w:val="en-US" w:eastAsia="zh-CN"/>
        </w:rPr>
        <w:t>，发现</w:t>
      </w:r>
      <w:r>
        <w:rPr>
          <w:rFonts w:hint="eastAsia" w:asciiTheme="minorEastAsia" w:hAnsiTheme="minorEastAsia" w:eastAsiaTheme="minorEastAsia" w:cstheme="minorEastAsia"/>
          <w:sz w:val="21"/>
          <w:szCs w:val="21"/>
          <w:u w:val="single"/>
        </w:rPr>
        <w:t>陈</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烟花爆竹零售店，醒目的位置缺少“易燃易爆”安全警示标志（附现场检查照片</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rPr>
        <w:t>陈</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烟花爆竹零售店</w:t>
      </w:r>
      <w:r>
        <w:rPr>
          <w:rFonts w:hint="eastAsia" w:asciiTheme="minorEastAsia" w:hAnsiTheme="minorEastAsia" w:eastAsiaTheme="minorEastAsia" w:cstheme="minorEastAsia"/>
          <w:sz w:val="21"/>
          <w:szCs w:val="21"/>
          <w:u w:val="single"/>
          <w:lang w:val="en-US" w:eastAsia="zh-CN"/>
        </w:rPr>
        <w:t xml:space="preserve">现场积极消除违法隐患(当场张贴了警示标志），未发生较大的危害后果，应当依法减轻行政处罚。以上违法事实有现场检查记录、门店外面现场照片等证据为证。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以上事实违反了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中华人民共和国安全生产法</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color w:val="000000" w:themeColor="text1"/>
          <w:sz w:val="21"/>
          <w:szCs w:val="21"/>
          <w:u w:val="single"/>
          <w:shd w:val="clear" w:color="auto" w:fill="FFFFFF"/>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u w:val="single"/>
          <w:shd w:val="clear" w:color="auto" w:fill="FFFFFF"/>
          <w:lang w:eastAsia="zh-CN"/>
          <w14:textFill>
            <w14:solidFill>
              <w14:schemeClr w14:val="tx1"/>
            </w14:solidFill>
          </w14:textFill>
        </w:rPr>
        <w:t>三十五条：</w:t>
      </w:r>
      <w:r>
        <w:rPr>
          <w:rFonts w:hint="eastAsia" w:asciiTheme="minorEastAsia" w:hAnsiTheme="minorEastAsia" w:eastAsiaTheme="minorEastAsia" w:cstheme="minorEastAsia"/>
          <w:color w:val="000000" w:themeColor="text1"/>
          <w:sz w:val="21"/>
          <w:szCs w:val="21"/>
          <w:u w:val="single"/>
          <w:shd w:val="clear" w:color="auto" w:fill="FFFFFF"/>
          <w14:textFill>
            <w14:solidFill>
              <w14:schemeClr w14:val="tx1"/>
            </w14:solidFill>
          </w14:textFill>
        </w:rPr>
        <w:t>生产经营单位</w:t>
      </w:r>
      <w:r>
        <w:rPr>
          <w:rFonts w:hint="eastAsia" w:asciiTheme="minorEastAsia" w:hAnsiTheme="minorEastAsia" w:eastAsiaTheme="minorEastAsia" w:cstheme="minorEastAsia"/>
          <w:color w:val="000000" w:themeColor="text1"/>
          <w:sz w:val="21"/>
          <w:szCs w:val="21"/>
          <w:u w:val="single"/>
          <w:shd w:val="clear" w:color="auto" w:fill="FFFFFF"/>
          <w:lang w:eastAsia="zh-CN"/>
          <w14:textFill>
            <w14:solidFill>
              <w14:schemeClr w14:val="tx1"/>
            </w14:solidFill>
          </w14:textFill>
        </w:rPr>
        <w:t>应当在较大危险因素的生产经营场所和有关设施、设备上，设置明显的安全警示标志规定。</w:t>
      </w:r>
      <w:r>
        <w:rPr>
          <w:rFonts w:hint="eastAsia" w:asciiTheme="minorEastAsia" w:hAnsiTheme="minorEastAsia" w:eastAsiaTheme="minorEastAsia" w:cstheme="minorEastAsia"/>
          <w:sz w:val="21"/>
          <w:szCs w:val="21"/>
        </w:rPr>
        <w:t xml:space="preserve">依据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中华人民共和国安全生产法</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color w:val="000000" w:themeColor="text1"/>
          <w:sz w:val="21"/>
          <w:szCs w:val="21"/>
          <w:u w:val="single"/>
          <w:shd w:val="clear" w:color="auto" w:fill="FFFFFF"/>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u w:val="single"/>
          <w:shd w:val="clear" w:color="auto" w:fill="FFFFFF"/>
          <w:lang w:eastAsia="zh-CN"/>
          <w14:textFill>
            <w14:solidFill>
              <w14:schemeClr w14:val="tx1"/>
            </w14:solidFill>
          </w14:textFill>
        </w:rPr>
        <w:t>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依据《重庆市烟花爆竹零售店（点）安全监督检查清单</w:t>
      </w:r>
      <w:r>
        <w:rPr>
          <w:rFonts w:hint="eastAsia" w:asciiTheme="minorEastAsia" w:hAnsiTheme="minorEastAsia" w:eastAsiaTheme="minorEastAsia" w:cstheme="minorEastAsia"/>
          <w:sz w:val="21"/>
          <w:szCs w:val="21"/>
          <w:lang w:val="en-US" w:eastAsia="zh-CN"/>
        </w:rPr>
        <w:t>(试行）》</w:t>
      </w:r>
      <w:r>
        <w:rPr>
          <w:rFonts w:hint="eastAsia" w:asciiTheme="minorEastAsia" w:hAnsiTheme="minorEastAsia" w:eastAsiaTheme="minorEastAsia" w:cstheme="minorEastAsia"/>
          <w:sz w:val="21"/>
          <w:szCs w:val="21"/>
        </w:rPr>
        <w:t>决定给予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rPr>
        <w:t>陈协力烟花爆竹经营</w:t>
      </w:r>
      <w:r>
        <w:rPr>
          <w:rFonts w:hint="eastAsia" w:asciiTheme="minorEastAsia" w:hAnsiTheme="minorEastAsia" w:eastAsiaTheme="minorEastAsia" w:cstheme="minorEastAsia"/>
          <w:sz w:val="21"/>
          <w:szCs w:val="21"/>
          <w:u w:val="single"/>
          <w:lang w:eastAsia="zh-CN"/>
        </w:rPr>
        <w:t>店</w:t>
      </w:r>
      <w:r>
        <w:rPr>
          <w:rFonts w:hint="eastAsia" w:asciiTheme="minorEastAsia" w:hAnsiTheme="minorEastAsia" w:eastAsiaTheme="minorEastAsia" w:cstheme="minorEastAsia"/>
          <w:sz w:val="21"/>
          <w:szCs w:val="21"/>
          <w:u w:val="single"/>
        </w:rPr>
        <w:t>罚款人民币</w:t>
      </w:r>
      <w:r>
        <w:rPr>
          <w:rFonts w:hint="eastAsia" w:asciiTheme="minorEastAsia" w:hAnsiTheme="minorEastAsia" w:eastAsiaTheme="minorEastAsia" w:cstheme="minorEastAsia"/>
          <w:sz w:val="21"/>
          <w:szCs w:val="21"/>
          <w:u w:val="single"/>
          <w:lang w:val="en-US" w:eastAsia="zh-CN"/>
        </w:rPr>
        <w:t>1000</w:t>
      </w:r>
      <w:r>
        <w:rPr>
          <w:rFonts w:hint="eastAsia" w:asciiTheme="minorEastAsia" w:hAnsiTheme="minorEastAsia" w:eastAsiaTheme="minorEastAsia" w:cstheme="minorEastAsia"/>
          <w:sz w:val="21"/>
          <w:szCs w:val="21"/>
          <w:u w:val="single"/>
        </w:rPr>
        <w:t>元（大写：</w:t>
      </w:r>
      <w:r>
        <w:rPr>
          <w:rFonts w:hint="eastAsia" w:asciiTheme="minorEastAsia" w:hAnsiTheme="minorEastAsia" w:eastAsiaTheme="minorEastAsia" w:cstheme="minorEastAsia"/>
          <w:sz w:val="21"/>
          <w:szCs w:val="21"/>
          <w:u w:val="single"/>
          <w:lang w:eastAsia="zh-CN"/>
        </w:rPr>
        <w:t>壹仟</w:t>
      </w:r>
      <w:r>
        <w:rPr>
          <w:rFonts w:hint="eastAsia" w:asciiTheme="minorEastAsia" w:hAnsiTheme="minorEastAsia" w:eastAsiaTheme="minorEastAsia" w:cstheme="minorEastAsia"/>
          <w:sz w:val="21"/>
          <w:szCs w:val="21"/>
          <w:u w:val="single"/>
        </w:rPr>
        <w:t xml:space="preserve">圆整）  </w:t>
      </w:r>
      <w:r>
        <w:rPr>
          <w:rFonts w:hint="eastAsia" w:asciiTheme="minorEastAsia" w:hAnsiTheme="minorEastAsia" w:eastAsiaTheme="minorEastAsia" w:cstheme="minorEastAsia"/>
          <w:sz w:val="21"/>
          <w:szCs w:val="21"/>
        </w:rPr>
        <w:t>的行政处罚。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罚款的履行方式和期限（见打√处）：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当场缴纳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自收到本决定书之日起15日内缴至</w:t>
      </w:r>
      <w:r>
        <w:rPr>
          <w:rFonts w:hint="eastAsia" w:asciiTheme="minorEastAsia" w:hAnsiTheme="minorEastAsia" w:eastAsiaTheme="minorEastAsia" w:cstheme="minorEastAsia"/>
          <w:sz w:val="21"/>
          <w:szCs w:val="21"/>
          <w:u w:val="single"/>
        </w:rPr>
        <w:t xml:space="preserve"> 丰都县财政局（非税收入征缴专户） </w:t>
      </w:r>
      <w:r>
        <w:rPr>
          <w:rFonts w:hint="eastAsia" w:asciiTheme="minorEastAsia" w:hAnsiTheme="minorEastAsia" w:eastAsiaTheme="minorEastAsia" w:cstheme="minorEastAsia"/>
          <w:sz w:val="21"/>
          <w:szCs w:val="21"/>
        </w:rPr>
        <w:t>，账号</w:t>
      </w:r>
      <w:r>
        <w:rPr>
          <w:rFonts w:hint="eastAsia" w:asciiTheme="minorEastAsia" w:hAnsiTheme="minorEastAsia" w:eastAsiaTheme="minorEastAsia" w:cstheme="minorEastAsia"/>
          <w:sz w:val="21"/>
          <w:szCs w:val="21"/>
          <w:u w:val="single"/>
        </w:rPr>
        <w:t xml:space="preserve"> 3100 0151 2920 0001 344 </w:t>
      </w:r>
      <w:r>
        <w:rPr>
          <w:rFonts w:hint="eastAsia" w:asciiTheme="minorEastAsia" w:hAnsiTheme="minorEastAsia" w:eastAsiaTheme="minorEastAsia" w:cstheme="minorEastAsia"/>
          <w:sz w:val="21"/>
          <w:szCs w:val="21"/>
        </w:rPr>
        <w:t>，开户行</w:t>
      </w:r>
      <w:r>
        <w:rPr>
          <w:rFonts w:hint="eastAsia" w:asciiTheme="minorEastAsia" w:hAnsiTheme="minorEastAsia" w:eastAsiaTheme="minorEastAsia" w:cstheme="minorEastAsia"/>
          <w:sz w:val="21"/>
          <w:szCs w:val="21"/>
          <w:u w:val="single"/>
        </w:rPr>
        <w:t xml:space="preserve"> 中国工商银行 </w:t>
      </w:r>
      <w:r>
        <w:rPr>
          <w:rFonts w:hint="eastAsia" w:asciiTheme="minorEastAsia" w:hAnsiTheme="minorEastAsia" w:eastAsiaTheme="minorEastAsia" w:cstheme="minorEastAsia"/>
          <w:sz w:val="21"/>
          <w:szCs w:val="21"/>
        </w:rPr>
        <w:t xml:space="preserve"> ，到期不缴每日按罚款数额的3%加处罚款。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如果不服本处罚决定，可以依法在60日内向 </w:t>
      </w:r>
      <w:r>
        <w:rPr>
          <w:rFonts w:hint="eastAsia" w:asciiTheme="minorEastAsia" w:hAnsiTheme="minorEastAsia" w:eastAsiaTheme="minorEastAsia" w:cstheme="minorEastAsia"/>
          <w:sz w:val="21"/>
          <w:szCs w:val="21"/>
          <w:u w:val="single"/>
        </w:rPr>
        <w:t xml:space="preserve"> 丰都县 </w:t>
      </w:r>
      <w:r>
        <w:rPr>
          <w:rFonts w:hint="eastAsia" w:asciiTheme="minorEastAsia" w:hAnsiTheme="minorEastAsia" w:eastAsiaTheme="minorEastAsia" w:cstheme="minorEastAsia"/>
          <w:sz w:val="21"/>
          <w:szCs w:val="21"/>
        </w:rPr>
        <w:t xml:space="preserve"> 人民政府申请行政复议，或者在6个月内依法向</w:t>
      </w:r>
      <w:r>
        <w:rPr>
          <w:rFonts w:hint="eastAsia" w:asciiTheme="minorEastAsia" w:hAnsiTheme="minorEastAsia" w:eastAsiaTheme="minorEastAsia" w:cstheme="minorEastAsia"/>
          <w:sz w:val="21"/>
          <w:szCs w:val="21"/>
          <w:u w:val="single"/>
        </w:rPr>
        <w:t xml:space="preserve"> 涪陵区 </w:t>
      </w:r>
      <w:r>
        <w:rPr>
          <w:rFonts w:hint="eastAsia" w:asciiTheme="minorEastAsia" w:hAnsiTheme="minorEastAsia" w:eastAsiaTheme="minorEastAsia" w:cstheme="minorEastAsia"/>
          <w:sz w:val="21"/>
          <w:szCs w:val="21"/>
        </w:rPr>
        <w:t>人民法院提起行政诉讼，但本决定不停止执行，法律另有规定的除外。逾期不申请行政复议、不提起行政诉讼又不履行的，本机关将依法申请人民法院强制执行或者依照有关规定强制执行。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widowControl w:val="0"/>
        <w:kinsoku/>
        <w:wordWrap/>
        <w:overflowPunct/>
        <w:topLinePunct w:val="0"/>
        <w:autoSpaceDE/>
        <w:autoSpaceDN/>
        <w:bidi w:val="0"/>
        <w:adjustRightInd/>
        <w:snapToGrid/>
        <w:spacing w:line="400" w:lineRule="exact"/>
        <w:ind w:firstLine="6090" w:firstLineChars="29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丰都县应急管理局</w:t>
      </w:r>
    </w:p>
    <w:p>
      <w:pPr>
        <w:keepNext w:val="0"/>
        <w:keepLines w:val="0"/>
        <w:pageBreakBefore w:val="0"/>
        <w:widowControl w:val="0"/>
        <w:kinsoku/>
        <w:wordWrap/>
        <w:overflowPunct/>
        <w:topLinePunct w:val="0"/>
        <w:autoSpaceDE/>
        <w:autoSpaceDN/>
        <w:bidi w:val="0"/>
        <w:adjustRightInd/>
        <w:snapToGrid/>
        <w:spacing w:line="400" w:lineRule="exact"/>
        <w:ind w:firstLine="6090" w:firstLineChars="29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6350</wp:posOffset>
                </wp:positionV>
                <wp:extent cx="5296535" cy="0"/>
                <wp:effectExtent l="0" t="9525" r="18415" b="9525"/>
                <wp:wrapNone/>
                <wp:docPr id="1" name="直接连接符 55"/>
                <wp:cNvGraphicFramePr/>
                <a:graphic xmlns:a="http://schemas.openxmlformats.org/drawingml/2006/main">
                  <a:graphicData uri="http://schemas.microsoft.com/office/word/2010/wordprocessingShape">
                    <wps:wsp>
                      <wps:cNvCnPr>
                        <a:cxnSpLocks noChangeShapeType="true"/>
                      </wps:cNvCnPr>
                      <wps:spPr bwMode="auto">
                        <a:xfrm>
                          <a:off x="0" y="0"/>
                          <a:ext cx="5296487" cy="0"/>
                        </a:xfrm>
                        <a:prstGeom prst="line">
                          <a:avLst/>
                        </a:prstGeom>
                        <a:noFill/>
                        <a:ln w="19050">
                          <a:solidFill>
                            <a:srgbClr val="000000"/>
                          </a:solidFill>
                          <a:round/>
                        </a:ln>
                        <a:effectLst/>
                      </wps:spPr>
                      <wps:bodyPr/>
                    </wps:wsp>
                  </a:graphicData>
                </a:graphic>
              </wp:anchor>
            </w:drawing>
          </mc:Choice>
          <mc:Fallback>
            <w:pict>
              <v:line id="直接连接符 55" o:spid="_x0000_s1026" o:spt="20" style="position:absolute;left:0pt;margin-left:-0.3pt;margin-top:0.5pt;height:0pt;width:417.05pt;z-index:251660288;mso-width-relative:page;mso-height-relative:page;" filled="f" stroked="t" coordsize="21600,21600" o:gfxdata="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IL7JhvSAAAABQEA&#10;AA8AAAAAAAAAAQAgAAAAOAAAAGRycy9kb3ducmV2LnhtbFBLAQIUABQAAAAIAIdO4kAqo2yN0QEA&#10;AG8DAAAOAAAAAAAAAAEAIAAAADcBAABkcnMvZTJvRG9jLnhtbFBLBQYAAAAABgAGAFkBAAB6BQAA&#10;AAA=&#10;">
                <v:fill on="f" focussize="0,0"/>
                <v:stroke weight="1.5pt" color="#000000" joinstyle="round"/>
                <v:imagedata o:title=""/>
                <o:lock v:ext="edit" aspectratio="f"/>
              </v:line>
            </w:pict>
          </mc:Fallback>
        </mc:AlternateContent>
      </w:r>
      <w:r>
        <w:rPr>
          <w:rFonts w:hint="eastAsia" w:asciiTheme="minorEastAsia" w:hAnsiTheme="minorEastAsia" w:eastAsiaTheme="minorEastAsia" w:cstheme="minorEastAsia"/>
          <w:sz w:val="21"/>
          <w:szCs w:val="21"/>
        </w:rPr>
        <w:t>本文书一式两份：一份由安全生产监督管理部门备案，一份交被处罚单位。</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5219A"/>
    <w:rsid w:val="06C81FF2"/>
    <w:rsid w:val="139A6892"/>
    <w:rsid w:val="14E5219A"/>
    <w:rsid w:val="333D779D"/>
    <w:rsid w:val="5FE6266C"/>
    <w:rsid w:val="FF49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854</Words>
  <Characters>923</Characters>
  <Lines>0</Lines>
  <Paragraphs>0</Paragraphs>
  <TotalTime>0</TotalTime>
  <ScaleCrop>false</ScaleCrop>
  <LinksUpToDate>false</LinksUpToDate>
  <CharactersWithSpaces>1046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2024-12-18T10:11:00Z</dcterms:created>
  <dc:creator>再见，不负遇见。</dc:creator>
  <cp:lastModifiedBy>fengdu</cp:lastModifiedBy>
  <cp:lastPrinted>2024-12-18T10:28:00Z</cp:lastPrinted>
  <dcterms:modified xsi:type="dcterms:W3CDTF">2024-12-18T15:29:15Z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67CFB81F76C94061B5D4CC2EEA49F47F_11</vt:lpwstr>
  </property>
</Properties>
</file>