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丰都县应急管理局（本级）</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2024年度决算公开说明</w:t>
      </w:r>
    </w:p>
    <w:p>
      <w:pPr>
        <w:pStyle w:val="10"/>
        <w:spacing w:before="0" w:beforeAutospacing="0" w:after="0" w:afterAutospacing="0" w:line="596" w:lineRule="exact"/>
        <w:ind w:firstLine="880" w:firstLineChars="200"/>
        <w:jc w:val="both"/>
        <w:rPr>
          <w:rFonts w:ascii="方正小标宋_GBK" w:hAnsi="方正小标宋_GBK" w:eastAsia="方正小标宋_GBK" w:cs="方正小标宋_GBK"/>
          <w:sz w:val="44"/>
          <w:szCs w:val="44"/>
          <w:shd w:val="clear" w:color="auto" w:fill="FFFFFF"/>
        </w:rPr>
      </w:pPr>
    </w:p>
    <w:p>
      <w:pPr>
        <w:pStyle w:val="10"/>
        <w:spacing w:before="0" w:beforeAutospacing="0" w:after="0" w:afterAutospacing="0" w:line="596" w:lineRule="exact"/>
        <w:ind w:firstLine="640" w:firstLineChars="200"/>
        <w:jc w:val="both"/>
        <w:rPr>
          <w:rStyle w:val="14"/>
          <w:rFonts w:hint="default" w:ascii="Times New Roman" w:hAnsi="Times New Roman" w:eastAsia="方正黑体_GBK" w:cs="Times New Roman"/>
          <w:b w:val="0"/>
          <w:bCs/>
          <w:sz w:val="32"/>
          <w:szCs w:val="32"/>
          <w:shd w:val="clear" w:color="auto" w:fill="FFFFFF"/>
        </w:rPr>
      </w:pPr>
      <w:r>
        <w:rPr>
          <w:rStyle w:val="14"/>
          <w:rFonts w:hint="default" w:ascii="Times New Roman" w:hAnsi="Times New Roman" w:eastAsia="方正黑体_GBK" w:cs="Times New Roman"/>
          <w:b w:val="0"/>
          <w:bCs/>
          <w:sz w:val="32"/>
          <w:szCs w:val="32"/>
          <w:shd w:val="clear" w:color="auto" w:fill="FFFFFF"/>
        </w:rPr>
        <w:t>一、单位基本情况</w:t>
      </w:r>
    </w:p>
    <w:p>
      <w:pPr>
        <w:snapToGrid w:val="0"/>
        <w:spacing w:line="49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1．主要职能</w:t>
      </w:r>
    </w:p>
    <w:p>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1.负责应急管理工作，指导各级各部门应对安全生产类、自然灾害类突发事件和综合防灾减灾救灾工作。负责安全生产综合监督管理和工矿商贸行业安全生产综合监督管理工作。 </w:t>
      </w:r>
    </w:p>
    <w:p>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2.组织编制全县应急体系建设、安全生产和综合防灾减灾规划，监督实施相关规程和地方标准。</w:t>
      </w:r>
    </w:p>
    <w:p>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3.指导应急预案体系建设，建立完善事故灾难和自然灾害分级应对制度，组织编制全县总体应急预案和安全生产类、自然灾害类专项预案，综合协调应急预案衔接工作，组织开展预案演练，推动应急避难设施建设。 </w:t>
      </w:r>
    </w:p>
    <w:p>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4.牵头建立全县统一的应急管理信息系统，负责信息传输渠道的规划和布局，建立监测预警和灾情报告制度，健全自然灾害信息资源获取和共享机制，依法统一发布灾情。</w:t>
      </w:r>
    </w:p>
    <w:p>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5.组织指导协调安全生产类、自然灾害类突发事件的应急救援，承担县政府自然灾害应急指挥部日常工作，综合研判突发事件发展态势并提出应对建议，协助县委、县政府指定的负责同志组织安全生产类、自然灾害类突发事件应急处置工作。</w:t>
      </w:r>
    </w:p>
    <w:p>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6.统一协调指挥全县各类应急专业队伍，建立应急协调联动机制，推进指挥平台对接；衔接驻丰武警部队和人民武装部组织参与应急救援工作。 </w:t>
      </w:r>
    </w:p>
    <w:p>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7.统筹应急救援力量建设，负责消防、森林和草原火灾扑救、抗洪抢险、地震和地质灾害救援、生产安全事故救援等专业应急救援力量建设，负责县级综合性应急救援队伍及业务建设的指导和管理的协调组织，指导乡镇（街道）及社会应急救援力量建设。 </w:t>
      </w:r>
    </w:p>
    <w:p>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8.负责消防工作，指导消防监督、火灾预防、火灾扑救等工作。</w:t>
      </w:r>
    </w:p>
    <w:p>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9.指导协调森林和草原火灾、水旱灾害、地震和地质灾害的防治工作、负责自然灾害综合监测预警工作，指导开展自然灾害综合风险评估工作。</w:t>
      </w:r>
    </w:p>
    <w:p>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10.组织协调灾害救助工作，组织指导灾情核查、损失评估、救灾捐赠工作，管理、分配上级下拨及县级救灾款物并监督使用。</w:t>
      </w:r>
    </w:p>
    <w:p>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11.依法行使全县安全生产综合监督管理职权，指导协调、监督检查县政府有关部门（单位）和乡镇（街道）、工业园区、旅管委安全生产工作，组织开展安全生产巡查、考核工作。承担县人民政府安全生产委员会日常工作。</w:t>
      </w:r>
    </w:p>
    <w:p>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12.按照分级、属地原则，依法监督检查工矿商贸生产经营单位贯彻执行安全生产法律法规、规章、标准和规程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13.依法组织开展生产安全事故调查处理，监督事故查处和责任追究落实情况。组织开展自然灾害类突发事件的调查评估工作。</w:t>
      </w:r>
    </w:p>
    <w:p>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14.开展应急管理方面的对外交流与合作，组织参与安全生产类、自然灾害类突发事件的跨区域救援工作。</w:t>
      </w:r>
    </w:p>
    <w:p>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15.提出县级救灾物资、安全生产应急救援物资的储备需求和动用决策，组织编制县级救灾物资、安全生产应急救援物资储备规划、品种目录和标准，会同县发展改革委员会等部门确定年度购置计划，根据需要下达动用指令；负责事故灾害救援装备的收储、轮换和日常管理，根据需要下达动用指令。</w:t>
      </w:r>
    </w:p>
    <w:p>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16.负责应急管理、安全生产宣传教育和培训工作，组织指导应急管理、安全生产的科学技术推广应用和信息化建设工作。</w:t>
      </w:r>
    </w:p>
    <w:p>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17.组织编制和实施全县防震减灾规划和年度计划，监督检查防震减灾工作，监督管理本县地震安全性评价、地震灾害预测工作；负责制定本县地震监测预报方案，对地震监测机构和群测群防工作进行行业管理；组织开展防震减灾知识普及工作等职责。</w:t>
      </w:r>
    </w:p>
    <w:p>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18.负责局机关和所属单位的信访稳定工作。</w:t>
      </w:r>
    </w:p>
    <w:p>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19.完成县委、县政府交办的其他任务。</w:t>
      </w:r>
    </w:p>
    <w:p>
      <w:pPr>
        <w:widowControl w:val="0"/>
        <w:spacing w:line="490" w:lineRule="exact"/>
        <w:ind w:firstLine="640" w:firstLineChars="200"/>
        <w:rPr>
          <w:rFonts w:hint="default" w:ascii="Times New Roman" w:hAnsi="Times New Roman" w:eastAsia="方正楷体_GBK" w:cs="Times New Roman"/>
          <w:b w:val="0"/>
          <w:bCs/>
          <w:sz w:val="32"/>
          <w:szCs w:val="32"/>
        </w:rPr>
      </w:pPr>
      <w:r>
        <w:rPr>
          <w:rStyle w:val="14"/>
          <w:rFonts w:hint="default" w:ascii="Times New Roman" w:hAnsi="Times New Roman" w:eastAsia="方正楷体_GBK" w:cs="Times New Roman"/>
          <w:b w:val="0"/>
          <w:bCs/>
          <w:sz w:val="32"/>
          <w:szCs w:val="32"/>
          <w:shd w:val="clear" w:color="auto" w:fill="FFFFFF"/>
        </w:rPr>
        <w:t>（二）机构设置</w:t>
      </w:r>
    </w:p>
    <w:p>
      <w:pPr>
        <w:widowControl w:val="0"/>
        <w:spacing w:line="4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应急管理局（本级）为独立核算的二级预算单位，丰都县应急管理局（本级）设下列7个内设机构：办公室、应急综合管理科、安全生产综合监管科、危险化学品安全监督管理科、非煤矿山安全监督管理科、工贸安全监督管理科、宣教法规科（行政审批服务科），与丰都县应急管理综合行政执法支队合署办公，合并做账，与上年无变动。</w:t>
      </w:r>
    </w:p>
    <w:p>
      <w:pPr>
        <w:widowControl w:val="0"/>
        <w:spacing w:line="490" w:lineRule="exact"/>
        <w:ind w:firstLine="640" w:firstLineChars="200"/>
        <w:rPr>
          <w:rStyle w:val="14"/>
          <w:rFonts w:hint="default" w:ascii="Times New Roman" w:hAnsi="Times New Roman" w:eastAsia="方正黑体_GBK" w:cs="Times New Roman"/>
          <w:b w:val="0"/>
          <w:bCs/>
          <w:sz w:val="32"/>
          <w:szCs w:val="32"/>
          <w:shd w:val="clear" w:color="auto" w:fill="FFFFFF"/>
        </w:rPr>
      </w:pPr>
      <w:r>
        <w:rPr>
          <w:rStyle w:val="14"/>
          <w:rFonts w:hint="default" w:ascii="Times New Roman" w:hAnsi="Times New Roman" w:eastAsia="方正黑体_GBK" w:cs="Times New Roman"/>
          <w:b w:val="0"/>
          <w:bCs/>
          <w:sz w:val="32"/>
          <w:szCs w:val="32"/>
          <w:shd w:val="clear" w:color="auto" w:fill="FFFFFF"/>
        </w:rPr>
        <w:t>二、单位决算收支情况说明</w:t>
      </w:r>
    </w:p>
    <w:p>
      <w:pPr>
        <w:pStyle w:val="15"/>
        <w:autoSpaceDE w:val="0"/>
        <w:spacing w:line="596" w:lineRule="exact"/>
        <w:ind w:firstLine="643"/>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（一）收入支出决算总体情况说明</w:t>
      </w:r>
    </w:p>
    <w:p>
      <w:pPr>
        <w:widowControl w:val="0"/>
        <w:spacing w:line="4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2024年度收、支总计均为2328.12万元。收、支与2023年度相比，增加206.18万元，增长9.7%，主要原因是</w:t>
      </w:r>
      <w:bookmarkStart w:id="0" w:name="OLE_LINK6"/>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人员增加7人，人员经费和公用经费增加。</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每年五险一金基数调整，导致人员经费增加。</w:t>
      </w:r>
    </w:p>
    <w:bookmarkEnd w:id="0"/>
    <w:p>
      <w:pPr>
        <w:widowControl w:val="0"/>
        <w:spacing w:line="490" w:lineRule="exact"/>
        <w:ind w:firstLine="642" w:firstLineChars="200"/>
        <w:rPr>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2024年度收入合计2303.57万元，与2023年度相比，增加534.29万元，增长30.2%，主要原因是</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人员增加7人，人员经费和公用经费增加。</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每年五险一金基数调整，导致人员经费增加。三是其他应急管理支出和地质灾害防治等项目增加19个项目。</w:t>
      </w:r>
      <w:r>
        <w:rPr>
          <w:rFonts w:hint="default" w:ascii="Times New Roman" w:hAnsi="Times New Roman" w:eastAsia="方正仿宋_GBK" w:cs="Times New Roman"/>
          <w:sz w:val="32"/>
          <w:szCs w:val="32"/>
          <w:shd w:val="clear" w:color="auto" w:fill="FFFFFF"/>
        </w:rPr>
        <w:t>其中：财政拨款收入2303.57万元，占100.0%；事业收入0.00万元，占0.0%；经营收入0.00万元，占0.0%；其他收入0.00万元，占0.0%。此外，使用非财政拨款结余（含专用结余）0.00万元，年初结转和结余24.55万元。</w:t>
      </w:r>
    </w:p>
    <w:p>
      <w:pPr>
        <w:widowControl w:val="0"/>
        <w:spacing w:line="490" w:lineRule="exact"/>
        <w:ind w:firstLine="642" w:firstLineChars="200"/>
        <w:rPr>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2024年度支出合计2328.12万元，与2023年度相比，增加208.99万元，增长9.9%，主要原因是</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人员增加7人，人员经费和公用经费增加。</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每年五险一金基数调整，导致人员经费增加。</w:t>
      </w:r>
      <w:r>
        <w:rPr>
          <w:rFonts w:hint="default" w:ascii="Times New Roman" w:hAnsi="Times New Roman" w:eastAsia="方正仿宋_GBK" w:cs="Times New Roman"/>
          <w:sz w:val="32"/>
          <w:szCs w:val="32"/>
          <w:shd w:val="clear" w:color="auto" w:fill="FFFFFF"/>
        </w:rPr>
        <w:t>其中：基本支出945.22万元，占40.6%；项目支出1382.90万元，占59.4%；经营支出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pPr>
        <w:pStyle w:val="10"/>
        <w:snapToGrid w:val="0"/>
        <w:spacing w:before="0" w:beforeAutospacing="0" w:after="0" w:afterAutospacing="0" w:line="490" w:lineRule="exact"/>
        <w:ind w:firstLine="642" w:firstLineChars="200"/>
        <w:jc w:val="both"/>
        <w:rPr>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2024年度年末结转和结余0.00万元，与2023年度相比，减少2.80万元，下降100.0%，主要原因是本年所有经费均使用完毕，未产生结转结余。</w:t>
      </w:r>
    </w:p>
    <w:p>
      <w:pPr>
        <w:pStyle w:val="15"/>
        <w:autoSpaceDE w:val="0"/>
        <w:spacing w:line="490" w:lineRule="exact"/>
        <w:ind w:firstLine="640"/>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（二）财政拨款收入支出决算总体情况说明</w:t>
      </w:r>
    </w:p>
    <w:p>
      <w:pPr>
        <w:widowControl w:val="0"/>
        <w:spacing w:line="4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2024年度财政拨款收、支总计均为2328.12万元。与2023年度相比，财政拨款收、支总计各增加206.18万元，增长9.7%。主要原因是</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人员增加7人，人员经费和公用经费增加。</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每年五险一金基数调整，导致人员经费增加。</w:t>
      </w:r>
    </w:p>
    <w:p>
      <w:pPr>
        <w:pStyle w:val="15"/>
        <w:autoSpaceDE w:val="0"/>
        <w:spacing w:line="490" w:lineRule="exact"/>
        <w:ind w:firstLine="640"/>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（三）一般公共预算财政拨款收入支出决算情况说明</w:t>
      </w:r>
    </w:p>
    <w:p>
      <w:pPr>
        <w:widowControl w:val="0"/>
        <w:spacing w:line="490" w:lineRule="exact"/>
        <w:ind w:firstLine="642" w:firstLineChars="200"/>
        <w:rPr>
          <w:rFonts w:hint="default" w:ascii="Times New Roman" w:hAnsi="Times New Roman" w:eastAsia="方正仿宋_GBK" w:cs="Times New Roman"/>
          <w:sz w:val="32"/>
          <w:szCs w:val="32"/>
          <w:shd w:val="clear" w:color="auto" w:fill="FFFFFF"/>
        </w:rPr>
      </w:pPr>
      <w:r>
        <w:rPr>
          <w:rStyle w:val="14"/>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2303.57万元，与2023年度相比，增加534.29万元，增长30.2%。主要原因一是人员增加7人，人员经费和公用经费增加。二是每年五险一金基数调整，导致人员经费增加。三是防灭火物资采购项目等项目增加。较年初预算数增加960.29万元，增长71.5%。主要原因是人员增加7人，及其他应急管理支出和地质灾害防治等项目增加19个项目。此外，年初财政拨款结转和结余24.55万元。</w:t>
      </w:r>
    </w:p>
    <w:p>
      <w:pPr>
        <w:widowControl w:val="0"/>
        <w:spacing w:line="490" w:lineRule="exact"/>
        <w:ind w:firstLine="642" w:firstLineChars="200"/>
        <w:rPr>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2024年度一般公共预算财政拨款支出2328.12万元，与2023年度相比，增加208.99万元，增长9.9%。主要原因</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人员增加7人，人员经费和公用经费增加。</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每年五险一金基数调整，导致人员经费增加。</w:t>
      </w:r>
      <w:r>
        <w:rPr>
          <w:rFonts w:hint="default" w:ascii="Times New Roman" w:hAnsi="Times New Roman" w:eastAsia="方正仿宋_GBK" w:cs="Times New Roman"/>
          <w:sz w:val="32"/>
          <w:szCs w:val="32"/>
          <w:shd w:val="clear" w:color="auto" w:fill="FFFFFF"/>
        </w:rPr>
        <w:t>较年初预算数增加984.84万元，增长73.3%。主要原因是</w:t>
      </w:r>
      <w:r>
        <w:rPr>
          <w:rFonts w:hint="default" w:ascii="Times New Roman" w:hAnsi="Times New Roman" w:eastAsia="方正仿宋_GBK" w:cs="Times New Roman"/>
          <w:sz w:val="32"/>
          <w:szCs w:val="32"/>
        </w:rPr>
        <w:t>其他应急管理支出和地质灾害防治等19个项目增加。</w:t>
      </w:r>
    </w:p>
    <w:p>
      <w:pPr>
        <w:widowControl w:val="0"/>
        <w:spacing w:line="49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一般公共预算财政拨款支出主要用途如下：</w:t>
      </w:r>
    </w:p>
    <w:p>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（1）社会保障和就业支出131.30万元，占5.6%，较年初预算数增加22.43万元，增长20.6%，主要原因是新招录公务员3人及调入人员4人，人员经费增加。</w:t>
      </w:r>
    </w:p>
    <w:p>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（2）卫生健康支出45.52万元，占2.0%，较年初预算数增加1.89万元，增长4.3%，主要原因是新招录公务员3人及调入人员4人，人员经费增加。</w:t>
      </w:r>
    </w:p>
    <w:p>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（3）节能环保支出54.00万元，占2.3%，较年初预算数增加54.00万元，增长100.0%，主要原因是解决历史遗留项目丰都县去产能中央梯级奖补助资金54万元。</w:t>
      </w:r>
    </w:p>
    <w:p>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49.77万元，占2.1%，较年初预算数增加1.64万元，增长3.4%，主要原因是新招录公务员3人及调入人员4人，人员经费增加。</w:t>
      </w:r>
    </w:p>
    <w:p>
      <w:pPr>
        <w:widowControl w:val="0"/>
        <w:spacing w:line="4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rPr>
        <w:t>灾害防治及应急管理支出</w:t>
      </w:r>
      <w:r>
        <w:rPr>
          <w:rFonts w:hint="default" w:ascii="Times New Roman" w:hAnsi="Times New Roman" w:eastAsia="方正仿宋_GBK" w:cs="Times New Roman"/>
          <w:sz w:val="32"/>
          <w:szCs w:val="32"/>
          <w:shd w:val="clear" w:color="auto" w:fill="FFFFFF"/>
        </w:rPr>
        <w:t>2047.53万元，占88.0%，较年初预算数增加904.88万元，增长79.2%，主要原因</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人员增加7人，人员经费和公用经费增加。</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每年五险一金基数调整，导致人员经费增加。</w:t>
      </w:r>
      <w:r>
        <w:rPr>
          <w:rFonts w:hint="default" w:ascii="Times New Roman" w:hAnsi="Times New Roman" w:eastAsia="方正仿宋_GBK" w:cs="Times New Roman"/>
          <w:sz w:val="32"/>
          <w:szCs w:val="32"/>
          <w:shd w:val="clear" w:color="auto" w:fill="FFFFFF"/>
        </w:rPr>
        <w:t>三是</w:t>
      </w:r>
      <w:r>
        <w:rPr>
          <w:rFonts w:hint="default" w:ascii="Times New Roman" w:hAnsi="Times New Roman" w:eastAsia="方正仿宋_GBK" w:cs="Times New Roman"/>
          <w:sz w:val="32"/>
          <w:szCs w:val="32"/>
        </w:rPr>
        <w:t>其他应急管理支出和地质灾害防治等19个项目增加。</w:t>
      </w:r>
    </w:p>
    <w:p>
      <w:pPr>
        <w:pStyle w:val="10"/>
        <w:snapToGrid w:val="0"/>
        <w:spacing w:before="0" w:beforeAutospacing="0" w:after="0" w:afterAutospacing="0" w:line="490" w:lineRule="exact"/>
        <w:ind w:firstLine="642" w:firstLineChars="200"/>
        <w:jc w:val="both"/>
        <w:rPr>
          <w:rFonts w:hint="default" w:ascii="Times New Roman" w:hAnsi="Times New Roman" w:eastAsia="方正仿宋_GBK" w:cs="Times New Roman"/>
          <w:sz w:val="32"/>
          <w:szCs w:val="32"/>
          <w:shd w:val="clear" w:color="auto" w:fill="FFFFFF"/>
        </w:rPr>
      </w:pPr>
      <w:r>
        <w:rPr>
          <w:rStyle w:val="14"/>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2024年度年末一般公共预算财政拨款结转和结余0.00万元，与2023年度相比，减少2.80万元，下降100.0%，主要原因是本年所有经费均使用完毕，未产生结转结余。</w:t>
      </w:r>
    </w:p>
    <w:p>
      <w:pPr>
        <w:pStyle w:val="10"/>
        <w:snapToGrid w:val="0"/>
        <w:spacing w:before="0" w:beforeAutospacing="0" w:after="0" w:afterAutospacing="0" w:line="490" w:lineRule="exact"/>
        <w:ind w:firstLine="640" w:firstLineChars="200"/>
        <w:jc w:val="both"/>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（四）一般公共预算财政拨款基本支出决算情况说明</w:t>
      </w:r>
    </w:p>
    <w:p>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2024年度一般公共财政拨款基本支出945.22万元。</w:t>
      </w:r>
    </w:p>
    <w:p>
      <w:pPr>
        <w:pStyle w:val="10"/>
        <w:snapToGrid w:val="0"/>
        <w:spacing w:before="0" w:beforeAutospacing="0" w:after="0" w:afterAutospacing="0" w:line="490" w:lineRule="exact"/>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人员经费679.95万元，与2023年度相比，增加9.87万元，增长1.5%，主要原因是新招录公务员3人及调入人员4人，人员经费增加。人员经费用途主要包括基本工资、津贴补贴、机关事业单位基本养老保险缴费、职业年金缴费、住房公积金等。</w:t>
      </w:r>
    </w:p>
    <w:p>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265.27万元，与2023年度相比，增加147.15万元，增长124.6%，主要原因一是人员增加，二是将编外人员经费136.8万元纳入公用经费统计。公用经费用途主要包括水费、电费、办公费、会议费、培训费、公务接待费、差旅费等日常经费。</w:t>
      </w:r>
    </w:p>
    <w:p>
      <w:pPr>
        <w:pStyle w:val="10"/>
        <w:snapToGrid w:val="0"/>
        <w:spacing w:before="0" w:beforeAutospacing="0" w:after="0" w:afterAutospacing="0" w:line="490" w:lineRule="exact"/>
        <w:ind w:firstLine="640" w:firstLineChars="200"/>
        <w:jc w:val="both"/>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（五）政府性基金预算收支决算情况说明</w:t>
      </w:r>
    </w:p>
    <w:p>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本单位2024年度无政府性基金预算财政拨款收支。</w:t>
      </w:r>
    </w:p>
    <w:p>
      <w:pPr>
        <w:pStyle w:val="15"/>
        <w:autoSpaceDE w:val="0"/>
        <w:spacing w:line="490" w:lineRule="exact"/>
        <w:ind w:firstLine="640"/>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（六）国有资本经营预算财政拨款支出决算情况说明</w:t>
      </w:r>
    </w:p>
    <w:p>
      <w:pPr>
        <w:pStyle w:val="15"/>
        <w:autoSpaceDE w:val="0"/>
        <w:spacing w:line="490"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本单位2024年度无国有资本经营预算财政拨款支出。</w:t>
      </w:r>
    </w:p>
    <w:p>
      <w:pPr>
        <w:pStyle w:val="15"/>
        <w:autoSpaceDE w:val="0"/>
        <w:spacing w:line="490" w:lineRule="exact"/>
        <w:ind w:firstLine="640"/>
        <w:rPr>
          <w:rStyle w:val="14"/>
          <w:rFonts w:hint="default" w:ascii="Times New Roman" w:hAnsi="Times New Roman" w:eastAsia="方正黑体_GBK" w:cs="Times New Roman"/>
          <w:b w:val="0"/>
          <w:bCs/>
          <w:sz w:val="32"/>
          <w:szCs w:val="32"/>
          <w:shd w:val="clear" w:color="auto" w:fill="FFFFFF"/>
        </w:rPr>
      </w:pPr>
      <w:r>
        <w:rPr>
          <w:rStyle w:val="14"/>
          <w:rFonts w:hint="default" w:ascii="Times New Roman" w:hAnsi="Times New Roman" w:eastAsia="方正黑体_GBK" w:cs="Times New Roman"/>
          <w:b w:val="0"/>
          <w:bCs/>
          <w:sz w:val="32"/>
          <w:szCs w:val="32"/>
          <w:shd w:val="clear" w:color="auto" w:fill="FFFFFF"/>
        </w:rPr>
        <w:t>三、财政拨款“三公”经费情况说明</w:t>
      </w:r>
    </w:p>
    <w:p>
      <w:pPr>
        <w:pStyle w:val="15"/>
        <w:autoSpaceDE w:val="0"/>
        <w:spacing w:line="596" w:lineRule="exact"/>
        <w:ind w:firstLine="643"/>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（一）“三公”经费支出总体情况说明</w:t>
      </w:r>
    </w:p>
    <w:p>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2024年度“三公”经费支出共计116.50万元，较年初预算数增加82.30万元，增长240.6%，主要原因是</w:t>
      </w:r>
      <w:r>
        <w:rPr>
          <w:rFonts w:hint="default" w:ascii="Times New Roman" w:hAnsi="Times New Roman" w:eastAsia="方正仿宋_GBK" w:cs="Times New Roman"/>
          <w:sz w:val="32"/>
          <w:szCs w:val="32"/>
        </w:rPr>
        <w:t>2024年购换置4台公务用车99.53万元</w:t>
      </w:r>
      <w:r>
        <w:rPr>
          <w:rFonts w:hint="default" w:ascii="Times New Roman" w:hAnsi="Times New Roman" w:eastAsia="方正仿宋_GBK" w:cs="Times New Roman"/>
          <w:sz w:val="32"/>
          <w:szCs w:val="32"/>
          <w:shd w:val="clear" w:color="auto" w:fill="FFFFFF"/>
        </w:rPr>
        <w:t>。较上年支出数增加99.42万元，增长582.1%，主要原因是</w:t>
      </w:r>
      <w:r>
        <w:rPr>
          <w:rFonts w:hint="default" w:ascii="Times New Roman" w:hAnsi="Times New Roman" w:eastAsia="方正仿宋_GBK" w:cs="Times New Roman"/>
          <w:sz w:val="32"/>
          <w:szCs w:val="32"/>
        </w:rPr>
        <w:t>2024年购换置4台公务用车99.53万元</w:t>
      </w:r>
      <w:r>
        <w:rPr>
          <w:rFonts w:hint="default" w:ascii="Times New Roman" w:hAnsi="Times New Roman" w:eastAsia="方正仿宋_GBK" w:cs="Times New Roman"/>
          <w:sz w:val="32"/>
          <w:szCs w:val="32"/>
          <w:shd w:val="clear" w:color="auto" w:fill="FFFFFF"/>
        </w:rPr>
        <w:t>。</w:t>
      </w:r>
    </w:p>
    <w:p>
      <w:pPr>
        <w:pStyle w:val="10"/>
        <w:snapToGrid w:val="0"/>
        <w:spacing w:before="0" w:beforeAutospacing="0" w:after="0" w:afterAutospacing="0" w:line="490" w:lineRule="exact"/>
        <w:ind w:firstLine="640" w:firstLineChars="200"/>
        <w:jc w:val="both"/>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（二）“三公”经费分项支出情况</w:t>
      </w:r>
    </w:p>
    <w:p>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2024年度本单位因公出国（境）费用0.00万元，费用支出较年初预算数无增减，较上年支出数无增减。</w:t>
      </w:r>
    </w:p>
    <w:p>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公务用车购置费99.53万元，主要用于因原有4台公务用车不能再使用达到报废条件，重新</w:t>
      </w:r>
      <w:r>
        <w:rPr>
          <w:rFonts w:hint="default" w:ascii="Times New Roman" w:hAnsi="Times New Roman" w:eastAsia="方正仿宋_GBK" w:cs="Times New Roman"/>
          <w:sz w:val="32"/>
          <w:szCs w:val="32"/>
        </w:rPr>
        <w:t>购置4台公务用车，用于应急抢险、应急处置、安全检查等公务活动</w:t>
      </w:r>
      <w:r>
        <w:rPr>
          <w:rFonts w:hint="default" w:ascii="Times New Roman" w:hAnsi="Times New Roman" w:eastAsia="方正仿宋_GBK" w:cs="Times New Roman"/>
          <w:sz w:val="32"/>
          <w:szCs w:val="32"/>
          <w:shd w:val="clear" w:color="auto" w:fill="FFFFFF"/>
        </w:rPr>
        <w:t>。费用支出较年初预算数增加99.53万元，增长100.0%，主要原因是</w:t>
      </w:r>
      <w:r>
        <w:rPr>
          <w:rFonts w:hint="default" w:ascii="Times New Roman" w:hAnsi="Times New Roman" w:eastAsia="方正仿宋_GBK" w:cs="Times New Roman"/>
          <w:sz w:val="32"/>
          <w:szCs w:val="32"/>
        </w:rPr>
        <w:t>2024年购换置4台公务用车99.53万元</w:t>
      </w:r>
      <w:r>
        <w:rPr>
          <w:rFonts w:hint="default" w:ascii="Times New Roman" w:hAnsi="Times New Roman" w:eastAsia="方正仿宋_GBK" w:cs="Times New Roman"/>
          <w:sz w:val="32"/>
          <w:szCs w:val="32"/>
          <w:shd w:val="clear" w:color="auto" w:fill="FFFFFF"/>
        </w:rPr>
        <w:t>。较上年支出数增加99.53万元，增长100.0%，主要原因是</w:t>
      </w:r>
      <w:r>
        <w:rPr>
          <w:rFonts w:hint="default" w:ascii="Times New Roman" w:hAnsi="Times New Roman" w:eastAsia="方正仿宋_GBK" w:cs="Times New Roman"/>
          <w:sz w:val="32"/>
          <w:szCs w:val="32"/>
        </w:rPr>
        <w:t>2024年购换置4台公务用车99.53万元</w:t>
      </w:r>
      <w:r>
        <w:rPr>
          <w:rFonts w:hint="default" w:ascii="Times New Roman" w:hAnsi="Times New Roman" w:eastAsia="方正仿宋_GBK" w:cs="Times New Roman"/>
          <w:sz w:val="32"/>
          <w:szCs w:val="32"/>
          <w:shd w:val="clear" w:color="auto" w:fill="FFFFFF"/>
        </w:rPr>
        <w:t>。</w:t>
      </w:r>
    </w:p>
    <w:p>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公务用车运行维护费9.55万元，主要用于</w:t>
      </w:r>
      <w:r>
        <w:rPr>
          <w:rFonts w:hint="default" w:ascii="Times New Roman" w:hAnsi="Times New Roman" w:eastAsia="方正仿宋_GBK" w:cs="Times New Roman"/>
          <w:sz w:val="32"/>
          <w:szCs w:val="32"/>
        </w:rPr>
        <w:t>应急抢险、应急处置、安全检查等</w:t>
      </w:r>
      <w:r>
        <w:rPr>
          <w:rFonts w:hint="default" w:ascii="Times New Roman" w:hAnsi="Times New Roman" w:eastAsia="方正仿宋_GBK" w:cs="Times New Roman"/>
          <w:sz w:val="32"/>
          <w:szCs w:val="32"/>
          <w:shd w:val="clear" w:color="auto" w:fill="FFFFFF"/>
        </w:rPr>
        <w:t>公务用车的加油、维修保养、保险等日常开支，费用支出较年初预算数减少6.65万元，下降41.1%，主要原因是</w:t>
      </w:r>
      <w:r>
        <w:rPr>
          <w:rFonts w:hint="default" w:ascii="Times New Roman" w:hAnsi="Times New Roman" w:eastAsia="方正仿宋_GBK" w:cs="Times New Roman"/>
          <w:sz w:val="32"/>
          <w:szCs w:val="32"/>
        </w:rPr>
        <w:t>厉行过紧日子要求，节省压缩开支。</w:t>
      </w:r>
      <w:r>
        <w:rPr>
          <w:rFonts w:hint="default" w:ascii="Times New Roman" w:hAnsi="Times New Roman" w:eastAsia="方正仿宋_GBK" w:cs="Times New Roman"/>
          <w:sz w:val="32"/>
          <w:szCs w:val="32"/>
          <w:shd w:val="clear" w:color="auto" w:fill="FFFFFF"/>
        </w:rPr>
        <w:t>较上年支出数减少0.10万元，下降1.0%，主要原因是</w:t>
      </w:r>
      <w:r>
        <w:rPr>
          <w:rFonts w:hint="default" w:ascii="Times New Roman" w:hAnsi="Times New Roman" w:eastAsia="方正仿宋_GBK" w:cs="Times New Roman"/>
          <w:sz w:val="32"/>
          <w:szCs w:val="32"/>
        </w:rPr>
        <w:t>厉行过紧日子要求，节省压缩开支。</w:t>
      </w:r>
    </w:p>
    <w:p>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公务接待费7.42万元，主要用于接待市应急管理局等部门来督导安全生产、自然灾害、事故调查等公务活动的公务接待，费用支出较年初预算数减少10.58万元，下降58.8%，主要原因是</w:t>
      </w:r>
      <w:r>
        <w:rPr>
          <w:rFonts w:hint="default" w:ascii="Times New Roman" w:hAnsi="Times New Roman" w:eastAsia="方正仿宋_GBK" w:cs="Times New Roman"/>
          <w:sz w:val="32"/>
          <w:szCs w:val="32"/>
        </w:rPr>
        <w:t>厉行过紧日子要求，节省压缩开支。</w:t>
      </w:r>
      <w:r>
        <w:rPr>
          <w:rFonts w:hint="default" w:ascii="Times New Roman" w:hAnsi="Times New Roman" w:eastAsia="方正仿宋_GBK" w:cs="Times New Roman"/>
          <w:sz w:val="32"/>
          <w:szCs w:val="32"/>
          <w:shd w:val="clear" w:color="auto" w:fill="FFFFFF"/>
        </w:rPr>
        <w:t>较上年支出数减少0.01万元，下降0.1%，主要原因是</w:t>
      </w:r>
      <w:r>
        <w:rPr>
          <w:rFonts w:hint="default" w:ascii="Times New Roman" w:hAnsi="Times New Roman" w:eastAsia="方正仿宋_GBK" w:cs="Times New Roman"/>
          <w:sz w:val="32"/>
          <w:szCs w:val="32"/>
        </w:rPr>
        <w:t>厉行过紧日子要求，节省压缩开支。</w:t>
      </w:r>
    </w:p>
    <w:p>
      <w:pPr>
        <w:pStyle w:val="10"/>
        <w:snapToGrid w:val="0"/>
        <w:spacing w:before="0" w:beforeAutospacing="0" w:after="0" w:afterAutospacing="0" w:line="490" w:lineRule="exact"/>
        <w:ind w:firstLine="640" w:firstLineChars="200"/>
        <w:jc w:val="both"/>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（三）“三公”经费实物量情况</w:t>
      </w:r>
    </w:p>
    <w:p>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因公出国（境）共计0个团组，0人；公务用车购置4辆，公务车保有量为6辆；国内公务接待28批次787人，其中：国内外事接待0批次，0人；国（境）外公务接待0批次，0人。2024年本单位人均接待费94.33元，车均购置费24.88万元，车均维护费1.59万元。</w:t>
      </w:r>
    </w:p>
    <w:p>
      <w:pPr>
        <w:pStyle w:val="10"/>
        <w:snapToGrid w:val="0"/>
        <w:spacing w:before="0" w:beforeAutospacing="0" w:after="0" w:afterAutospacing="0" w:line="490" w:lineRule="exact"/>
        <w:ind w:firstLine="640" w:firstLineChars="200"/>
        <w:jc w:val="both"/>
        <w:rPr>
          <w:rStyle w:val="14"/>
          <w:rFonts w:hint="default" w:ascii="Times New Roman" w:hAnsi="Times New Roman" w:eastAsia="方正黑体_GBK" w:cs="Times New Roman"/>
          <w:b w:val="0"/>
          <w:bCs/>
          <w:sz w:val="32"/>
          <w:szCs w:val="32"/>
          <w:shd w:val="clear" w:color="auto" w:fill="FFFFFF"/>
        </w:rPr>
      </w:pPr>
      <w:r>
        <w:rPr>
          <w:rStyle w:val="14"/>
          <w:rFonts w:hint="default" w:ascii="Times New Roman" w:hAnsi="Times New Roman" w:eastAsia="方正黑体_GBK" w:cs="Times New Roman"/>
          <w:b w:val="0"/>
          <w:bCs/>
          <w:sz w:val="32"/>
          <w:szCs w:val="32"/>
          <w:shd w:val="clear" w:color="auto" w:fill="FFFFFF"/>
        </w:rPr>
        <w:t>四、其他需要说明的事项</w:t>
      </w:r>
    </w:p>
    <w:p>
      <w:pPr>
        <w:pStyle w:val="10"/>
        <w:snapToGrid w:val="0"/>
        <w:spacing w:before="0" w:beforeAutospacing="0" w:after="0" w:afterAutospacing="0" w:line="490" w:lineRule="exact"/>
        <w:ind w:firstLine="640" w:firstLineChars="200"/>
        <w:jc w:val="both"/>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（一）财政拨款会议费、培训费和差旅费情况说明</w:t>
      </w:r>
    </w:p>
    <w:p>
      <w:pPr>
        <w:snapToGrid w:val="0"/>
        <w:spacing w:line="4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shd w:val="clear" w:color="auto" w:fill="FFFFFF"/>
        </w:rPr>
        <w:t>本年度会议费支出2.50万元，与2023年度相比，增加0.02万元，增长0.8%，主要原因是2024年特大暴雨，召开会议较多。本年度培训费支出3.63万元，与2023年度相比，减少1.02万元，下降21.9%，主要原因是</w:t>
      </w:r>
      <w:r>
        <w:rPr>
          <w:rFonts w:hint="default" w:ascii="Times New Roman" w:hAnsi="Times New Roman" w:eastAsia="方正仿宋_GBK" w:cs="Times New Roman"/>
          <w:sz w:val="32"/>
          <w:szCs w:val="32"/>
        </w:rPr>
        <w:t>厉行过紧日子要求，节省压缩开支。</w:t>
      </w:r>
      <w:r>
        <w:rPr>
          <w:rFonts w:hint="default" w:ascii="Times New Roman" w:hAnsi="Times New Roman" w:eastAsia="方正仿宋_GBK" w:cs="Times New Roman"/>
          <w:sz w:val="32"/>
          <w:szCs w:val="32"/>
          <w:shd w:val="clear" w:color="auto" w:fill="FFFFFF"/>
        </w:rPr>
        <w:t>本年度差旅费支出18.98</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与2023年度相比，减少14.22万元，下降42.8%，主要原因是</w:t>
      </w:r>
      <w:r>
        <w:rPr>
          <w:rFonts w:hint="default" w:ascii="Times New Roman" w:hAnsi="Times New Roman" w:eastAsia="方正仿宋_GBK" w:cs="Times New Roman"/>
          <w:sz w:val="32"/>
          <w:szCs w:val="32"/>
        </w:rPr>
        <w:t>严格落实差旅费报销最新要求，按照一餐一补县内差旅费要求，大大降低了差旅费报销费用。</w:t>
      </w:r>
    </w:p>
    <w:p>
      <w:pPr>
        <w:pStyle w:val="15"/>
        <w:autoSpaceDE w:val="0"/>
        <w:spacing w:line="490" w:lineRule="exact"/>
        <w:ind w:firstLine="640"/>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（二）机关运行经费情况说明</w:t>
      </w:r>
    </w:p>
    <w:p>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机关运行经费支出265.27万元，机关运行经费主要用于开支水费、电费、办公费、会议费、培训费、公务接待费、差旅费等日常运行经费。机关运行经费较上年支出数增加147.15万元，增长124.6%，主要原因是一是人员增加，二是将编外人员经费136.8万元纳入公用经费统计。</w:t>
      </w:r>
    </w:p>
    <w:p>
      <w:pPr>
        <w:pStyle w:val="10"/>
        <w:snapToGrid w:val="0"/>
        <w:spacing w:before="0" w:beforeAutospacing="0" w:after="0" w:afterAutospacing="0" w:line="490" w:lineRule="exact"/>
        <w:ind w:firstLine="640" w:firstLineChars="200"/>
        <w:jc w:val="both"/>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（三）国有资产占用情况说明</w:t>
      </w:r>
    </w:p>
    <w:p>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6辆，其中，副部（省）级及以上领导用车0辆、领导干部用车0辆、机要通信用车0辆、应急保障用车3辆、执法执勤用车0辆，特种专业技术用车3辆，离退休干部用车0辆。单价100万元（含）以上设备（不含车辆）0台（套）。</w:t>
      </w:r>
    </w:p>
    <w:p>
      <w:pPr>
        <w:pStyle w:val="15"/>
        <w:autoSpaceDE w:val="0"/>
        <w:spacing w:line="490" w:lineRule="exact"/>
        <w:ind w:firstLine="640"/>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（四）政府采购支出情况说明</w:t>
      </w:r>
    </w:p>
    <w:p>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2024年度本单位政府采购支出总额99.81万元，其中：政府采购货物支出99.81万元、政府采购工程支出0.00万元、政府采购服务支出0.00万元。授予中小企业合同金额0.28</w:t>
      </w:r>
      <w:r>
        <w:rPr>
          <w:rFonts w:hint="default" w:ascii="Times New Roman" w:hAnsi="Times New Roman" w:eastAsia="方正仿宋_GBK" w:cs="Times New Roman"/>
          <w:sz w:val="32"/>
          <w:szCs w:val="32"/>
        </w:rPr>
        <w:t>万</w:t>
      </w:r>
      <w:r>
        <w:rPr>
          <w:rFonts w:hint="default" w:ascii="Times New Roman" w:hAnsi="Times New Roman" w:eastAsia="方正仿宋_GBK" w:cs="Times New Roman"/>
          <w:sz w:val="32"/>
          <w:szCs w:val="32"/>
          <w:shd w:val="clear" w:color="auto" w:fill="FFFFFF"/>
        </w:rPr>
        <w:t>元，占政府采购支出总额的0.3%，其中：授予小微企业合同金额0.28万元，占政府采购支出总额的0.3 %。主要用于采购4台公务用车及A4打印纸。</w:t>
      </w:r>
    </w:p>
    <w:p>
      <w:pPr>
        <w:pStyle w:val="16"/>
        <w:spacing w:before="0" w:beforeAutospacing="0" w:after="0" w:afterAutospacing="0" w:line="596" w:lineRule="exact"/>
        <w:ind w:firstLine="640" w:firstLineChars="200"/>
        <w:rPr>
          <w:rStyle w:val="14"/>
          <w:rFonts w:hint="default" w:ascii="Times New Roman" w:hAnsi="Times New Roman" w:eastAsia="方正黑体_GBK" w:cs="Times New Roman"/>
          <w:b w:val="0"/>
          <w:bCs/>
          <w:sz w:val="32"/>
          <w:szCs w:val="32"/>
          <w:shd w:val="clear" w:color="auto" w:fill="FFFFFF"/>
        </w:rPr>
      </w:pPr>
      <w:r>
        <w:rPr>
          <w:rStyle w:val="14"/>
          <w:rFonts w:hint="default" w:ascii="Times New Roman" w:hAnsi="Times New Roman" w:eastAsia="方正黑体_GBK" w:cs="Times New Roman"/>
          <w:b w:val="0"/>
          <w:bCs/>
          <w:sz w:val="32"/>
          <w:szCs w:val="32"/>
          <w:shd w:val="clear" w:color="auto" w:fill="FFFFFF"/>
        </w:rPr>
        <w:t>五、2024年度预算绩效管理情况说明</w:t>
      </w:r>
    </w:p>
    <w:p>
      <w:pPr>
        <w:pStyle w:val="16"/>
        <w:autoSpaceDE w:val="0"/>
        <w:spacing w:before="0" w:beforeAutospacing="0" w:after="0" w:afterAutospacing="0" w:line="596" w:lineRule="exact"/>
        <w:ind w:firstLine="640" w:firstLineChars="200"/>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（一）单位自评情况</w:t>
      </w:r>
    </w:p>
    <w:p>
      <w:pPr>
        <w:pStyle w:val="16"/>
        <w:autoSpaceDE w:val="0"/>
        <w:spacing w:before="0" w:beforeAutospacing="0" w:after="0" w:afterAutospacing="0" w:line="596"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根据预算绩效管理要求，我单位对2</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个二级项目开展了绩效自评，涉及财政拨款项目支出资金1</w:t>
      </w:r>
      <w:r>
        <w:rPr>
          <w:rFonts w:hint="default" w:ascii="Times New Roman" w:hAnsi="Times New Roman" w:eastAsia="方正仿宋_GBK" w:cs="Times New Roman"/>
          <w:sz w:val="32"/>
          <w:szCs w:val="32"/>
          <w:shd w:val="clear" w:color="auto" w:fill="FFFFFF"/>
          <w:lang w:val="en-US" w:eastAsia="zh-CN"/>
        </w:rPr>
        <w:t>857.27</w:t>
      </w:r>
      <w:r>
        <w:rPr>
          <w:rFonts w:hint="default" w:ascii="Times New Roman" w:hAnsi="Times New Roman" w:eastAsia="方正仿宋_GBK" w:cs="Times New Roman"/>
          <w:sz w:val="32"/>
          <w:szCs w:val="32"/>
          <w:shd w:val="clear" w:color="auto" w:fill="FFFFFF"/>
        </w:rPr>
        <w:t>万元。</w:t>
      </w:r>
    </w:p>
    <w:p>
      <w:pPr>
        <w:pStyle w:val="16"/>
        <w:autoSpaceDE w:val="0"/>
        <w:spacing w:before="0" w:beforeAutospacing="0" w:after="0" w:afterAutospacing="0" w:line="596"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2024年度绩效自评表见附件</w:t>
      </w:r>
    </w:p>
    <w:p>
      <w:pPr>
        <w:pStyle w:val="16"/>
        <w:autoSpaceDE w:val="0"/>
        <w:spacing w:before="0" w:beforeAutospacing="0" w:after="0" w:afterAutospacing="0" w:line="596" w:lineRule="exact"/>
        <w:ind w:firstLine="640" w:firstLineChars="200"/>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（二）单位绩效评价情况</w:t>
      </w:r>
    </w:p>
    <w:p>
      <w:pPr>
        <w:pStyle w:val="20"/>
        <w:autoSpaceDE w:val="0"/>
        <w:spacing w:line="596"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pPr>
        <w:pStyle w:val="20"/>
        <w:autoSpaceDE w:val="0"/>
        <w:spacing w:line="596" w:lineRule="exact"/>
        <w:ind w:firstLine="640"/>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（三）财政绩效评价情况</w:t>
      </w:r>
    </w:p>
    <w:p>
      <w:pPr>
        <w:pStyle w:val="20"/>
        <w:autoSpaceDE w:val="0"/>
        <w:spacing w:line="596"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pPr>
        <w:pStyle w:val="16"/>
        <w:autoSpaceDE w:val="0"/>
        <w:spacing w:before="0" w:beforeAutospacing="0" w:after="0" w:afterAutospacing="0" w:line="596" w:lineRule="exact"/>
        <w:rPr>
          <w:rFonts w:hint="default" w:ascii="Times New Roman" w:hAnsi="Times New Roman" w:eastAsia="方正仿宋_GBK" w:cs="Times New Roman"/>
          <w:sz w:val="32"/>
          <w:szCs w:val="32"/>
        </w:rPr>
      </w:pPr>
      <w:r>
        <w:rPr>
          <w:rStyle w:val="17"/>
          <w:rFonts w:hint="default" w:ascii="Times New Roman" w:hAnsi="Times New Roman" w:eastAsia="方正仿宋_GBK" w:cs="Times New Roman"/>
          <w:sz w:val="32"/>
          <w:szCs w:val="32"/>
          <w:shd w:val="clear" w:color="auto" w:fill="FFFFFF"/>
        </w:rPr>
        <w:t xml:space="preserve">   </w:t>
      </w:r>
      <w:r>
        <w:rPr>
          <w:rStyle w:val="14"/>
          <w:rFonts w:hint="default" w:ascii="Times New Roman" w:hAnsi="Times New Roman" w:eastAsia="黑体" w:cs="Times New Roman"/>
          <w:sz w:val="32"/>
          <w:szCs w:val="32"/>
          <w:shd w:val="clear" w:color="auto" w:fill="FFFFFF"/>
        </w:rPr>
        <w:t xml:space="preserve"> </w:t>
      </w:r>
      <w:r>
        <w:rPr>
          <w:rStyle w:val="14"/>
          <w:rFonts w:hint="default" w:ascii="Times New Roman" w:hAnsi="Times New Roman" w:eastAsia="方正黑体_GBK" w:cs="Times New Roman"/>
          <w:b w:val="0"/>
          <w:bCs/>
          <w:sz w:val="32"/>
          <w:szCs w:val="32"/>
          <w:shd w:val="clear" w:color="auto" w:fill="FFFFFF"/>
        </w:rPr>
        <w:t>六、专业名词解释</w:t>
      </w:r>
    </w:p>
    <w:p>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（五）使用非财政拨款结余（含专用结余）：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   和应急储备支出）。</w:t>
      </w:r>
    </w:p>
    <w:p>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6"/>
        <w:spacing w:before="0" w:beforeAutospacing="0" w:after="0" w:afterAutospacing="0" w:line="596" w:lineRule="exact"/>
        <w:ind w:firstLine="640" w:firstLineChars="200"/>
        <w:rPr>
          <w:rFonts w:hint="default" w:ascii="Times New Roman" w:hAnsi="Times New Roman" w:eastAsia="方正黑体_GBK" w:cs="Times New Roman"/>
          <w:b w:val="0"/>
          <w:bCs/>
          <w:sz w:val="32"/>
          <w:szCs w:val="32"/>
        </w:rPr>
      </w:pPr>
      <w:r>
        <w:rPr>
          <w:rStyle w:val="14"/>
          <w:rFonts w:hint="default" w:ascii="Times New Roman" w:hAnsi="Times New Roman" w:eastAsia="方正黑体_GBK" w:cs="Times New Roman"/>
          <w:b w:val="0"/>
          <w:bCs/>
          <w:sz w:val="32"/>
          <w:szCs w:val="32"/>
          <w:shd w:val="clear" w:color="auto" w:fill="FFFFFF"/>
        </w:rPr>
        <w:t>七、决算公开联系方式及信息反馈渠道</w:t>
      </w:r>
    </w:p>
    <w:p>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本单位决算公开信息反馈和联系方式：</w:t>
      </w:r>
    </w:p>
    <w:p>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张莎莎   023-70759567  </w:t>
      </w:r>
    </w:p>
    <w:p>
      <w:pPr>
        <w:pStyle w:val="16"/>
        <w:spacing w:before="0" w:beforeAutospacing="0" w:after="0" w:afterAutospacing="0" w:line="596" w:lineRule="exact"/>
        <w:rPr>
          <w:rFonts w:hint="default" w:ascii="Times New Roman" w:hAnsi="Times New Roman" w:eastAsia="方正仿宋_GBK" w:cs="Times New Roman"/>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val="en-US" w:eastAsia="zh-CN"/>
        </w:rPr>
        <w:t>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.中央自然灾害救灾资金项目绩效自评表</w:t>
      </w:r>
    </w:p>
    <w:p>
      <w:pPr>
        <w:keepNext w:val="0"/>
        <w:keepLines w:val="0"/>
        <w:pageBreakBefore w:val="0"/>
        <w:widowControl w:val="0"/>
        <w:tabs>
          <w:tab w:val="left" w:pos="697"/>
        </w:tabs>
        <w:kinsoku/>
        <w:wordWrap/>
        <w:overflowPunct/>
        <w:topLinePunct w:val="0"/>
        <w:autoSpaceDE/>
        <w:autoSpaceDN/>
        <w:bidi w:val="0"/>
        <w:adjustRightInd/>
        <w:snapToGrid/>
        <w:spacing w:line="560" w:lineRule="exact"/>
        <w:ind w:left="1596" w:leftChars="665"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丰都县重点非煤矿山重大灾害风险防控</w:t>
      </w:r>
      <w:r>
        <w:rPr>
          <w:rFonts w:hint="default" w:ascii="Times New Roman" w:hAnsi="Times New Roman" w:eastAsia="方正仿宋_GBK" w:cs="Times New Roman"/>
          <w:sz w:val="32"/>
          <w:szCs w:val="32"/>
        </w:rPr>
        <w:t>项目绩效自评表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3.安全生产举报奖励资金项目绩效自评表</w:t>
      </w:r>
    </w:p>
    <w:p>
      <w:pPr>
        <w:keepNext w:val="0"/>
        <w:keepLines w:val="0"/>
        <w:pageBreakBefore w:val="0"/>
        <w:widowControl w:val="0"/>
        <w:tabs>
          <w:tab w:val="left" w:pos="830"/>
        </w:tabs>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4.2024年倒房重建救助资金项目绩效自评表</w:t>
      </w:r>
    </w:p>
    <w:p>
      <w:pPr>
        <w:keepNext w:val="0"/>
        <w:keepLines w:val="0"/>
        <w:pageBreakBefore w:val="0"/>
        <w:widowControl w:val="0"/>
        <w:tabs>
          <w:tab w:val="left" w:pos="830"/>
        </w:tabs>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5.2023年中央自然灾害救助（洪涝）项目绩效自评表</w:t>
      </w:r>
    </w:p>
    <w:p>
      <w:pPr>
        <w:keepNext w:val="0"/>
        <w:keepLines w:val="0"/>
        <w:pageBreakBefore w:val="0"/>
        <w:widowControl w:val="0"/>
        <w:tabs>
          <w:tab w:val="left" w:pos="830"/>
        </w:tabs>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pacing w:val="-6"/>
          <w:sz w:val="32"/>
          <w:szCs w:val="32"/>
          <w:lang w:val="en-US" w:eastAsia="zh-CN"/>
        </w:rPr>
        <w:t>丰都县去产能中央梯级奖补助资金项目绩效自评表</w:t>
      </w:r>
    </w:p>
    <w:p>
      <w:pPr>
        <w:keepNext w:val="0"/>
        <w:keepLines w:val="0"/>
        <w:pageBreakBefore w:val="0"/>
        <w:widowControl w:val="0"/>
        <w:tabs>
          <w:tab w:val="left" w:pos="830"/>
        </w:tabs>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7.丰都县森林草原防灭火物资购买项目绩效自评表</w:t>
      </w:r>
    </w:p>
    <w:p>
      <w:pPr>
        <w:keepNext w:val="0"/>
        <w:keepLines w:val="0"/>
        <w:pageBreakBefore w:val="0"/>
        <w:widowControl w:val="0"/>
        <w:tabs>
          <w:tab w:val="left" w:pos="830"/>
        </w:tabs>
        <w:kinsoku/>
        <w:wordWrap/>
        <w:overflowPunct/>
        <w:topLinePunct w:val="0"/>
        <w:autoSpaceDE/>
        <w:autoSpaceDN/>
        <w:bidi w:val="0"/>
        <w:adjustRightInd/>
        <w:snapToGrid/>
        <w:spacing w:line="560" w:lineRule="exact"/>
        <w:ind w:left="1596" w:leftChars="665"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8.应急局2023年中央自然灾害救灾资金（洪涝）项目绩效自评表</w:t>
      </w:r>
    </w:p>
    <w:p>
      <w:pPr>
        <w:keepNext w:val="0"/>
        <w:keepLines w:val="0"/>
        <w:pageBreakBefore w:val="0"/>
        <w:widowControl w:val="0"/>
        <w:tabs>
          <w:tab w:val="left" w:pos="830"/>
        </w:tabs>
        <w:kinsoku/>
        <w:wordWrap/>
        <w:overflowPunct/>
        <w:topLinePunct w:val="0"/>
        <w:autoSpaceDE/>
        <w:autoSpaceDN/>
        <w:bidi w:val="0"/>
        <w:adjustRightInd/>
        <w:snapToGrid/>
        <w:spacing w:line="560" w:lineRule="exact"/>
        <w:ind w:left="1596" w:leftChars="665"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9.丰都县应急救援支队过渡性营房及临时库房项目绩效自评表</w:t>
      </w:r>
    </w:p>
    <w:p>
      <w:pPr>
        <w:keepNext w:val="0"/>
        <w:keepLines w:val="0"/>
        <w:pageBreakBefore w:val="0"/>
        <w:widowControl w:val="0"/>
        <w:tabs>
          <w:tab w:val="left" w:pos="830"/>
        </w:tabs>
        <w:kinsoku/>
        <w:wordWrap/>
        <w:overflowPunct/>
        <w:topLinePunct w:val="0"/>
        <w:autoSpaceDE/>
        <w:autoSpaceDN/>
        <w:bidi w:val="0"/>
        <w:adjustRightInd/>
        <w:snapToGrid/>
        <w:spacing w:line="560" w:lineRule="exact"/>
        <w:ind w:left="1596" w:leftChars="665" w:firstLine="0" w:firstLineChars="0"/>
        <w:jc w:val="left"/>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pacing w:val="0"/>
          <w:sz w:val="32"/>
          <w:szCs w:val="32"/>
          <w:lang w:val="en-US" w:eastAsia="zh-CN"/>
        </w:rPr>
        <w:t>丰都县森林草原防灭火物资购买资金项目绩效自评表</w:t>
      </w:r>
    </w:p>
    <w:p>
      <w:pPr>
        <w:keepNext w:val="0"/>
        <w:keepLines w:val="0"/>
        <w:pageBreakBefore w:val="0"/>
        <w:widowControl w:val="0"/>
        <w:tabs>
          <w:tab w:val="left" w:pos="830"/>
        </w:tabs>
        <w:kinsoku/>
        <w:wordWrap/>
        <w:overflowPunct/>
        <w:topLinePunct w:val="0"/>
        <w:autoSpaceDE/>
        <w:autoSpaceDN/>
        <w:bidi w:val="0"/>
        <w:adjustRightInd/>
        <w:snapToGrid/>
        <w:spacing w:line="560" w:lineRule="exact"/>
        <w:ind w:left="1596" w:leftChars="665"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11.应急局2023年中央自然灾害救灾资金（地灾）项目绩效自评表</w:t>
      </w:r>
    </w:p>
    <w:p>
      <w:pPr>
        <w:keepNext w:val="0"/>
        <w:keepLines w:val="0"/>
        <w:pageBreakBefore w:val="0"/>
        <w:widowControl w:val="0"/>
        <w:tabs>
          <w:tab w:val="left" w:pos="830"/>
        </w:tabs>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pacing w:val="-6"/>
          <w:sz w:val="32"/>
          <w:szCs w:val="32"/>
          <w:lang w:val="en-US" w:eastAsia="zh-CN"/>
        </w:rPr>
        <w:t>2024年市级自然灾害救灾补助资金项目绩效自评表</w:t>
      </w:r>
    </w:p>
    <w:p>
      <w:pPr>
        <w:keepNext w:val="0"/>
        <w:keepLines w:val="0"/>
        <w:pageBreakBefore w:val="0"/>
        <w:widowControl w:val="0"/>
        <w:tabs>
          <w:tab w:val="left" w:pos="830"/>
        </w:tabs>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pacing w:val="-6"/>
          <w:sz w:val="32"/>
          <w:szCs w:val="32"/>
          <w:lang w:val="en-US" w:eastAsia="zh-CN"/>
        </w:rPr>
        <w:t>安全生产监管及应急处置工作经费项目绩效自评表</w:t>
      </w:r>
    </w:p>
    <w:p>
      <w:pPr>
        <w:keepNext w:val="0"/>
        <w:keepLines w:val="0"/>
        <w:pageBreakBefore w:val="0"/>
        <w:widowControl w:val="0"/>
        <w:tabs>
          <w:tab w:val="left" w:pos="830"/>
        </w:tabs>
        <w:kinsoku/>
        <w:wordWrap/>
        <w:overflowPunct/>
        <w:topLinePunct w:val="0"/>
        <w:autoSpaceDE/>
        <w:autoSpaceDN/>
        <w:bidi w:val="0"/>
        <w:adjustRightInd/>
        <w:snapToGrid/>
        <w:spacing w:line="560" w:lineRule="exact"/>
        <w:ind w:left="1596" w:leftChars="665" w:firstLine="0" w:firstLineChars="0"/>
        <w:jc w:val="left"/>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pacing w:val="0"/>
          <w:sz w:val="32"/>
          <w:szCs w:val="32"/>
          <w:lang w:val="en-US" w:eastAsia="zh-CN"/>
        </w:rPr>
        <w:t>特铝新材料循环经济产业园项目工作经费绩效自评表</w:t>
      </w:r>
    </w:p>
    <w:p>
      <w:pPr>
        <w:keepNext w:val="0"/>
        <w:keepLines w:val="0"/>
        <w:pageBreakBefore w:val="0"/>
        <w:widowControl w:val="0"/>
        <w:tabs>
          <w:tab w:val="left" w:pos="697"/>
        </w:tabs>
        <w:kinsoku/>
        <w:wordWrap/>
        <w:overflowPunct/>
        <w:topLinePunct w:val="0"/>
        <w:autoSpaceDE/>
        <w:autoSpaceDN/>
        <w:bidi w:val="0"/>
        <w:adjustRightInd/>
        <w:snapToGrid/>
        <w:spacing w:line="560" w:lineRule="exact"/>
        <w:ind w:left="1596" w:leftChars="665"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15.丰都县应急管理局</w:t>
      </w:r>
      <w:r>
        <w:rPr>
          <w:rFonts w:hint="default" w:ascii="Times New Roman" w:hAnsi="Times New Roman" w:eastAsia="方正仿宋_GBK" w:cs="Times New Roman"/>
          <w:sz w:val="32"/>
          <w:szCs w:val="32"/>
        </w:rPr>
        <w:t>驻村</w:t>
      </w:r>
      <w:r>
        <w:rPr>
          <w:rFonts w:hint="default" w:ascii="Times New Roman" w:hAnsi="Times New Roman" w:eastAsia="方正仿宋_GBK" w:cs="Times New Roman"/>
          <w:sz w:val="32"/>
          <w:szCs w:val="32"/>
          <w:lang w:val="en-US" w:eastAsia="zh-CN"/>
        </w:rPr>
        <w:t>驻乡</w:t>
      </w:r>
      <w:r>
        <w:rPr>
          <w:rFonts w:hint="default" w:ascii="Times New Roman" w:hAnsi="Times New Roman" w:eastAsia="方正仿宋_GBK" w:cs="Times New Roman"/>
          <w:sz w:val="32"/>
          <w:szCs w:val="32"/>
        </w:rPr>
        <w:t>人员</w:t>
      </w:r>
      <w:r>
        <w:rPr>
          <w:rFonts w:hint="default" w:ascii="Times New Roman" w:hAnsi="Times New Roman" w:eastAsia="方正仿宋_GBK" w:cs="Times New Roman"/>
          <w:sz w:val="32"/>
          <w:szCs w:val="32"/>
          <w:lang w:val="en-US" w:eastAsia="zh-CN"/>
        </w:rPr>
        <w:t>补贴支出</w:t>
      </w:r>
      <w:r>
        <w:rPr>
          <w:rFonts w:hint="default" w:ascii="Times New Roman" w:hAnsi="Times New Roman" w:eastAsia="方正仿宋_GBK" w:cs="Times New Roman"/>
          <w:sz w:val="32"/>
          <w:szCs w:val="32"/>
        </w:rPr>
        <w:t>项目绩效自评表</w:t>
      </w:r>
    </w:p>
    <w:p>
      <w:pPr>
        <w:keepNext w:val="0"/>
        <w:keepLines w:val="0"/>
        <w:pageBreakBefore w:val="0"/>
        <w:widowControl w:val="0"/>
        <w:tabs>
          <w:tab w:val="left" w:pos="830"/>
        </w:tabs>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16.2023年-2024年冬春救助资金</w:t>
      </w:r>
      <w:bookmarkStart w:id="1" w:name="OLE_LINK1"/>
      <w:r>
        <w:rPr>
          <w:rFonts w:hint="default" w:ascii="Times New Roman" w:hAnsi="Times New Roman" w:eastAsia="方正仿宋_GBK" w:cs="Times New Roman"/>
          <w:sz w:val="32"/>
          <w:szCs w:val="32"/>
          <w:lang w:val="en-US" w:eastAsia="zh-CN"/>
        </w:rPr>
        <w:t>项目绩效自评表</w:t>
      </w:r>
      <w:bookmarkEnd w:id="1"/>
    </w:p>
    <w:p>
      <w:pPr>
        <w:keepNext w:val="0"/>
        <w:keepLines w:val="0"/>
        <w:pageBreakBefore w:val="0"/>
        <w:widowControl w:val="0"/>
        <w:tabs>
          <w:tab w:val="left" w:pos="830"/>
        </w:tabs>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z w:val="32"/>
          <w:szCs w:val="32"/>
          <w:lang w:val="en-US" w:eastAsia="zh-CN"/>
        </w:rPr>
        <w:t>17.</w:t>
      </w:r>
      <w:bookmarkStart w:id="2" w:name="OLE_LINK2"/>
      <w:r>
        <w:rPr>
          <w:rFonts w:hint="default" w:ascii="Times New Roman" w:hAnsi="Times New Roman" w:eastAsia="方正仿宋_GBK" w:cs="Times New Roman"/>
          <w:spacing w:val="-6"/>
          <w:sz w:val="32"/>
          <w:szCs w:val="32"/>
          <w:lang w:val="en-US" w:eastAsia="zh-CN"/>
        </w:rPr>
        <w:t>2023年中央自然灾害救助（地灾）项目绩效自评表</w:t>
      </w:r>
    </w:p>
    <w:bookmarkEnd w:id="2"/>
    <w:p>
      <w:pPr>
        <w:keepNext w:val="0"/>
        <w:keepLines w:val="0"/>
        <w:pageBreakBefore w:val="0"/>
        <w:widowControl w:val="0"/>
        <w:tabs>
          <w:tab w:val="left" w:pos="830"/>
        </w:tabs>
        <w:kinsoku/>
        <w:wordWrap/>
        <w:overflowPunct/>
        <w:topLinePunct w:val="0"/>
        <w:autoSpaceDE/>
        <w:autoSpaceDN/>
        <w:bidi w:val="0"/>
        <w:adjustRightInd/>
        <w:snapToGrid/>
        <w:spacing w:line="560" w:lineRule="exact"/>
        <w:ind w:left="1596" w:leftChars="665"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18.2023年中央自然灾害救助（洪涝救助）</w:t>
      </w:r>
      <w:bookmarkStart w:id="3" w:name="OLE_LINK3"/>
      <w:r>
        <w:rPr>
          <w:rFonts w:hint="default" w:ascii="Times New Roman" w:hAnsi="Times New Roman" w:eastAsia="方正仿宋_GBK" w:cs="Times New Roman"/>
          <w:sz w:val="32"/>
          <w:szCs w:val="32"/>
          <w:lang w:val="en-US" w:eastAsia="zh-CN"/>
        </w:rPr>
        <w:t>项目绩效自评表</w:t>
      </w:r>
    </w:p>
    <w:bookmarkEnd w:id="3"/>
    <w:p>
      <w:pPr>
        <w:keepNext w:val="0"/>
        <w:keepLines w:val="0"/>
        <w:pageBreakBefore w:val="0"/>
        <w:widowControl w:val="0"/>
        <w:tabs>
          <w:tab w:val="left" w:pos="830"/>
        </w:tabs>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19.2023倒房重建资金项目绩效自评表</w:t>
      </w:r>
    </w:p>
    <w:p>
      <w:pPr>
        <w:keepNext w:val="0"/>
        <w:keepLines w:val="0"/>
        <w:pageBreakBefore w:val="0"/>
        <w:widowControl w:val="0"/>
        <w:tabs>
          <w:tab w:val="left" w:pos="830"/>
        </w:tabs>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20.丰都县应急局采购救灾救助资金</w:t>
      </w:r>
      <w:bookmarkStart w:id="4" w:name="OLE_LINK4"/>
      <w:r>
        <w:rPr>
          <w:rFonts w:hint="default" w:ascii="Times New Roman" w:hAnsi="Times New Roman" w:eastAsia="方正仿宋_GBK" w:cs="Times New Roman"/>
          <w:sz w:val="32"/>
          <w:szCs w:val="32"/>
          <w:lang w:val="en-US" w:eastAsia="zh-CN"/>
        </w:rPr>
        <w:t>项目绩效自评表</w:t>
      </w:r>
      <w:bookmarkEnd w:id="4"/>
    </w:p>
    <w:p>
      <w:pPr>
        <w:keepNext w:val="0"/>
        <w:keepLines w:val="0"/>
        <w:pageBreakBefore w:val="0"/>
        <w:widowControl w:val="0"/>
        <w:tabs>
          <w:tab w:val="left" w:pos="830"/>
        </w:tabs>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21.退役军人再就业补助</w:t>
      </w:r>
      <w:bookmarkStart w:id="5" w:name="OLE_LINK5"/>
      <w:r>
        <w:rPr>
          <w:rFonts w:hint="default" w:ascii="Times New Roman" w:hAnsi="Times New Roman" w:eastAsia="方正仿宋_GBK" w:cs="Times New Roman"/>
          <w:sz w:val="32"/>
          <w:szCs w:val="32"/>
          <w:lang w:val="en-US" w:eastAsia="zh-CN"/>
        </w:rPr>
        <w:t>项目绩效自评表</w:t>
      </w:r>
    </w:p>
    <w:bookmarkEnd w:id="5"/>
    <w:p>
      <w:pPr>
        <w:keepNext w:val="0"/>
        <w:keepLines w:val="0"/>
        <w:pageBreakBefore w:val="0"/>
        <w:widowControl w:val="0"/>
        <w:tabs>
          <w:tab w:val="left" w:pos="830"/>
        </w:tabs>
        <w:kinsoku/>
        <w:wordWrap/>
        <w:overflowPunct/>
        <w:topLinePunct w:val="0"/>
        <w:autoSpaceDE/>
        <w:autoSpaceDN/>
        <w:bidi w:val="0"/>
        <w:adjustRightInd/>
        <w:snapToGrid/>
        <w:spacing w:line="560" w:lineRule="exact"/>
        <w:ind w:left="1596" w:leftChars="665"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22.丰都县应急管理综合行政执法装备资金项目绩效自评表</w:t>
      </w:r>
    </w:p>
    <w:p>
      <w:pPr>
        <w:keepNext w:val="0"/>
        <w:keepLines w:val="0"/>
        <w:pageBreakBefore w:val="0"/>
        <w:widowControl w:val="0"/>
        <w:tabs>
          <w:tab w:val="left" w:pos="830"/>
        </w:tabs>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23.编外人员劳务工资支出项目绩效自评表</w:t>
      </w:r>
    </w:p>
    <w:p>
      <w:pPr>
        <w:keepNext w:val="0"/>
        <w:keepLines w:val="0"/>
        <w:pageBreakBefore w:val="0"/>
        <w:widowControl w:val="0"/>
        <w:tabs>
          <w:tab w:val="left" w:pos="830"/>
        </w:tabs>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24.丰都县蓝天救援队工作经费项目绩效自评表</w:t>
      </w:r>
    </w:p>
    <w:p>
      <w:pPr>
        <w:keepNext w:val="0"/>
        <w:keepLines w:val="0"/>
        <w:pageBreakBefore w:val="0"/>
        <w:widowControl w:val="0"/>
        <w:tabs>
          <w:tab w:val="left" w:pos="830"/>
        </w:tabs>
        <w:kinsoku/>
        <w:wordWrap/>
        <w:overflowPunct/>
        <w:topLinePunct w:val="0"/>
        <w:autoSpaceDE/>
        <w:autoSpaceDN/>
        <w:bidi w:val="0"/>
        <w:adjustRightInd/>
        <w:snapToGrid/>
        <w:spacing w:line="560" w:lineRule="exact"/>
        <w:ind w:left="1596" w:leftChars="665" w:firstLine="0" w:firstLineChars="0"/>
        <w:jc w:val="left"/>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pacing w:val="0"/>
          <w:sz w:val="32"/>
          <w:szCs w:val="32"/>
          <w:lang w:val="en-US" w:eastAsia="zh-CN"/>
        </w:rPr>
        <w:t>丰都县应急管理局公务用车购买项目项目绩效自评表</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32"/>
          <w:szCs w:val="32"/>
        </w:rPr>
      </w:pPr>
    </w:p>
    <w:p>
      <w:pPr>
        <w:pStyle w:val="16"/>
        <w:spacing w:before="0" w:beforeAutospacing="0" w:after="0" w:afterAutospacing="0" w:line="596" w:lineRule="exact"/>
        <w:ind w:firstLine="640" w:firstLineChars="200"/>
        <w:rPr>
          <w:rFonts w:hint="eastAsia" w:ascii="方正仿宋_GBK" w:hAnsi="方正仿宋_GBK" w:eastAsia="方正仿宋_GBK" w:cs="方正仿宋_GBK"/>
          <w:sz w:val="32"/>
          <w:szCs w:val="32"/>
          <w:shd w:val="clear" w:color="auto" w:fill="FFFFFF"/>
          <w:lang w:val="en-US" w:eastAsia="zh-CN"/>
        </w:rPr>
      </w:pPr>
    </w:p>
    <w:p>
      <w:pPr>
        <w:pStyle w:val="16"/>
        <w:spacing w:before="0" w:beforeAutospacing="0" w:after="0" w:afterAutospacing="0" w:line="596" w:lineRule="exact"/>
        <w:ind w:firstLine="640" w:firstLineChars="200"/>
        <w:rPr>
          <w:rFonts w:hint="eastAsia" w:ascii="方正仿宋_GBK" w:hAnsi="方正仿宋_GBK" w:eastAsia="方正仿宋_GBK" w:cs="方正仿宋_GBK"/>
          <w:sz w:val="32"/>
          <w:szCs w:val="32"/>
        </w:rPr>
      </w:pPr>
    </w:p>
    <w:p>
      <w:pPr>
        <w:pStyle w:val="15"/>
        <w:autoSpaceDE w:val="0"/>
        <w:spacing w:line="596" w:lineRule="exact"/>
        <w:ind w:firstLine="643"/>
        <w:jc w:val="both"/>
        <w:rPr>
          <w:rStyle w:val="14"/>
          <w:rFonts w:hint="eastAsia" w:ascii="方正仿宋_GBK" w:hAnsi="方正仿宋_GBK" w:eastAsia="方正仿宋_GBK" w:cs="方正仿宋_GBK"/>
          <w:sz w:val="32"/>
          <w:szCs w:val="32"/>
          <w:shd w:val="clear" w:color="auto" w:fill="FFFF00"/>
        </w:rPr>
        <w:sectPr>
          <w:footerReference r:id="rId3" w:type="default"/>
          <w:pgSz w:w="11915" w:h="16840"/>
          <w:pgMar w:top="2098" w:right="1531" w:bottom="1984" w:left="1531" w:header="851" w:footer="1474" w:gutter="0"/>
          <w:pgNumType w:fmt="numberInDash"/>
          <w:cols w:space="720" w:num="1"/>
          <w:docGrid w:type="lines" w:linePitch="312" w:charSpace="0"/>
        </w:sectPr>
      </w:pPr>
      <w:bookmarkStart w:id="6" w:name="_GoBack"/>
      <w:bookmarkEnd w:id="6"/>
    </w:p>
    <w:tbl>
      <w:tblPr>
        <w:tblStyle w:val="11"/>
        <w:tblpPr w:leftFromText="180" w:rightFromText="180" w:vertAnchor="text" w:horzAnchor="page" w:tblpX="1058" w:tblpY="22"/>
        <w:tblOverlap w:val="never"/>
        <w:tblW w:w="5277" w:type="pct"/>
        <w:tblInd w:w="0" w:type="dxa"/>
        <w:tblLayout w:type="autofit"/>
        <w:tblCellMar>
          <w:top w:w="0" w:type="dxa"/>
          <w:left w:w="0" w:type="dxa"/>
          <w:bottom w:w="0" w:type="dxa"/>
          <w:right w:w="0" w:type="dxa"/>
        </w:tblCellMar>
      </w:tblPr>
      <w:tblGrid>
        <w:gridCol w:w="3852"/>
        <w:gridCol w:w="3193"/>
        <w:gridCol w:w="3628"/>
        <w:gridCol w:w="384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32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099"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25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3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427"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丰都县应急指挥中心</w:t>
            </w:r>
          </w:p>
        </w:tc>
        <w:tc>
          <w:tcPr>
            <w:tcW w:w="125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3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4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572"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418.56</w:t>
            </w: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left"/>
              <w:textAlignment w:val="center"/>
              <w:rPr>
                <w:rFonts w:hint="default" w:cs="宋体"/>
                <w:b/>
                <w:bCs/>
                <w:color w:val="000000"/>
                <w:sz w:val="20"/>
                <w:szCs w:val="20"/>
              </w:rPr>
            </w:pPr>
            <w:r>
              <w:rPr>
                <w:rFonts w:cs="宋体"/>
                <w:b/>
                <w:bCs/>
                <w:color w:val="000000"/>
                <w:sz w:val="20"/>
                <w:szCs w:val="20"/>
              </w:rPr>
              <w:t>一、一般公共服务支出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left"/>
              <w:textAlignment w:val="center"/>
              <w:rPr>
                <w:rFonts w:hint="default" w:cs="宋体"/>
                <w:b/>
                <w:bCs/>
                <w:color w:val="000000"/>
                <w:sz w:val="20"/>
                <w:szCs w:val="20"/>
              </w:rPr>
            </w:pPr>
            <w:r>
              <w:rPr>
                <w:rFonts w:cs="宋体"/>
                <w:b/>
                <w:bCs/>
                <w:color w:val="000000"/>
                <w:sz w:val="20"/>
                <w:szCs w:val="20"/>
              </w:rPr>
              <w:t>二、外交支出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left"/>
              <w:textAlignment w:val="center"/>
              <w:rPr>
                <w:rFonts w:hint="default" w:cs="宋体"/>
                <w:b/>
                <w:bCs/>
                <w:color w:val="000000"/>
                <w:sz w:val="20"/>
                <w:szCs w:val="20"/>
              </w:rPr>
            </w:pPr>
            <w:r>
              <w:rPr>
                <w:rFonts w:cs="宋体"/>
                <w:b/>
                <w:bCs/>
                <w:color w:val="000000"/>
                <w:sz w:val="20"/>
                <w:szCs w:val="20"/>
              </w:rPr>
              <w:t>三、国防支出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left"/>
              <w:textAlignment w:val="center"/>
              <w:rPr>
                <w:rFonts w:hint="default" w:cs="宋体"/>
                <w:b/>
                <w:bCs/>
                <w:color w:val="000000"/>
                <w:sz w:val="20"/>
                <w:szCs w:val="20"/>
              </w:rPr>
            </w:pPr>
            <w:r>
              <w:rPr>
                <w:rFonts w:cs="宋体"/>
                <w:b/>
                <w:bCs/>
                <w:color w:val="000000"/>
                <w:sz w:val="20"/>
                <w:szCs w:val="20"/>
              </w:rPr>
              <w:t>四、公共安全支出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left"/>
              <w:textAlignment w:val="center"/>
              <w:rPr>
                <w:rFonts w:hint="default" w:cs="宋体"/>
                <w:b/>
                <w:bCs/>
                <w:color w:val="000000"/>
                <w:sz w:val="20"/>
                <w:szCs w:val="20"/>
              </w:rPr>
            </w:pPr>
            <w:r>
              <w:rPr>
                <w:rFonts w:cs="宋体"/>
                <w:b/>
                <w:bCs/>
                <w:color w:val="000000"/>
                <w:sz w:val="20"/>
                <w:szCs w:val="20"/>
              </w:rPr>
              <w:t>五、教育支出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left"/>
              <w:textAlignment w:val="center"/>
              <w:rPr>
                <w:rFonts w:hint="default" w:cs="宋体"/>
                <w:b/>
                <w:bCs/>
                <w:color w:val="000000"/>
                <w:sz w:val="20"/>
                <w:szCs w:val="20"/>
              </w:rPr>
            </w:pPr>
            <w:r>
              <w:rPr>
                <w:rFonts w:cs="宋体"/>
                <w:b/>
                <w:bCs/>
                <w:color w:val="000000"/>
                <w:sz w:val="20"/>
                <w:szCs w:val="20"/>
              </w:rPr>
              <w:t>六、科学技术支出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cs="宋体"/>
                <w:b/>
                <w:bCs/>
                <w:color w:val="000000"/>
                <w:sz w:val="20"/>
                <w:szCs w:val="20"/>
              </w:rPr>
            </w:pPr>
            <w:r>
              <w:rPr>
                <w:rFonts w:cs="宋体"/>
                <w:b/>
                <w:bCs/>
                <w:color w:val="000000"/>
                <w:sz w:val="20"/>
                <w:szCs w:val="20"/>
              </w:rPr>
              <w:t>七、附属单位上缴收入</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left"/>
              <w:textAlignment w:val="center"/>
              <w:rPr>
                <w:rFonts w:hint="default" w:cs="宋体"/>
                <w:b/>
                <w:bCs/>
                <w:color w:val="000000"/>
                <w:sz w:val="20"/>
                <w:szCs w:val="20"/>
              </w:rPr>
            </w:pPr>
            <w:r>
              <w:rPr>
                <w:rFonts w:cs="宋体"/>
                <w:b/>
                <w:bCs/>
                <w:color w:val="000000"/>
                <w:sz w:val="20"/>
                <w:szCs w:val="20"/>
              </w:rPr>
              <w:t>七、文化旅游体育与传媒支出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cs="宋体"/>
                <w:b/>
                <w:bCs/>
                <w:color w:val="000000"/>
                <w:sz w:val="20"/>
                <w:szCs w:val="20"/>
              </w:rPr>
            </w:pPr>
            <w:r>
              <w:rPr>
                <w:rFonts w:cs="宋体"/>
                <w:b/>
                <w:bCs/>
                <w:color w:val="000000"/>
                <w:sz w:val="20"/>
                <w:szCs w:val="20"/>
              </w:rPr>
              <w:t>八、其他收入</w:t>
            </w:r>
          </w:p>
        </w:tc>
        <w:tc>
          <w:tcPr>
            <w:tcW w:w="1099"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left"/>
              <w:textAlignment w:val="center"/>
              <w:rPr>
                <w:rFonts w:hint="default" w:cs="宋体"/>
                <w:b/>
                <w:bCs/>
                <w:color w:val="000000"/>
                <w:sz w:val="20"/>
                <w:szCs w:val="20"/>
              </w:rPr>
            </w:pPr>
            <w:r>
              <w:rPr>
                <w:rFonts w:cs="宋体"/>
                <w:b/>
                <w:bCs/>
                <w:color w:val="000000"/>
                <w:sz w:val="20"/>
                <w:szCs w:val="20"/>
              </w:rPr>
              <w:t>八、社会保障和就业支出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58.75</w:t>
            </w:r>
          </w:p>
        </w:tc>
      </w:tr>
      <w:tr>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left"/>
              <w:textAlignment w:val="center"/>
              <w:rPr>
                <w:rFonts w:hint="default" w:cs="宋体"/>
                <w:b/>
                <w:bCs/>
                <w:color w:val="000000"/>
                <w:sz w:val="20"/>
                <w:szCs w:val="20"/>
              </w:rPr>
            </w:pPr>
            <w:r>
              <w:rPr>
                <w:rFonts w:cs="宋体"/>
                <w:b/>
                <w:bCs/>
                <w:color w:val="000000"/>
                <w:sz w:val="20"/>
                <w:szCs w:val="20"/>
              </w:rPr>
              <w:t>九、卫生健康支出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17.92</w:t>
            </w:r>
          </w:p>
        </w:tc>
      </w:tr>
      <w:tr>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left"/>
              <w:textAlignment w:val="center"/>
              <w:rPr>
                <w:rFonts w:hint="default" w:cs="宋体"/>
                <w:b/>
                <w:bCs/>
                <w:color w:val="000000"/>
                <w:sz w:val="20"/>
                <w:szCs w:val="20"/>
              </w:rPr>
            </w:pPr>
            <w:r>
              <w:rPr>
                <w:rFonts w:cs="宋体"/>
                <w:b/>
                <w:bCs/>
                <w:color w:val="000000"/>
                <w:sz w:val="20"/>
                <w:szCs w:val="20"/>
              </w:rPr>
              <w:t>十、节能环保支出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left"/>
              <w:textAlignment w:val="center"/>
              <w:rPr>
                <w:rFonts w:hint="default" w:cs="宋体"/>
                <w:b/>
                <w:bCs/>
                <w:color w:val="000000"/>
                <w:sz w:val="20"/>
                <w:szCs w:val="20"/>
              </w:rPr>
            </w:pPr>
            <w:r>
              <w:rPr>
                <w:rFonts w:cs="宋体"/>
                <w:b/>
                <w:bCs/>
                <w:color w:val="000000"/>
                <w:sz w:val="20"/>
                <w:szCs w:val="20"/>
              </w:rPr>
              <w:t>十一、城乡社区支出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left"/>
              <w:textAlignment w:val="center"/>
              <w:rPr>
                <w:rFonts w:hint="default" w:cs="宋体"/>
                <w:b/>
                <w:bCs/>
                <w:color w:val="000000"/>
                <w:sz w:val="20"/>
                <w:szCs w:val="20"/>
              </w:rPr>
            </w:pPr>
            <w:r>
              <w:rPr>
                <w:rFonts w:cs="宋体"/>
                <w:b/>
                <w:bCs/>
                <w:color w:val="000000"/>
                <w:sz w:val="20"/>
                <w:szCs w:val="20"/>
              </w:rPr>
              <w:t>十二、农林水支出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left"/>
              <w:textAlignment w:val="center"/>
              <w:rPr>
                <w:rFonts w:hint="default" w:cs="宋体"/>
                <w:b/>
                <w:bCs/>
                <w:color w:val="000000"/>
                <w:sz w:val="20"/>
                <w:szCs w:val="20"/>
              </w:rPr>
            </w:pPr>
            <w:r>
              <w:rPr>
                <w:rFonts w:cs="宋体"/>
                <w:b/>
                <w:bCs/>
                <w:color w:val="000000"/>
                <w:sz w:val="20"/>
                <w:szCs w:val="20"/>
              </w:rPr>
              <w:t>十三、交通运输支出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left"/>
              <w:textAlignment w:val="center"/>
              <w:rPr>
                <w:rFonts w:hint="default" w:cs="宋体"/>
                <w:b/>
                <w:bCs/>
                <w:color w:val="000000"/>
                <w:sz w:val="20"/>
                <w:szCs w:val="20"/>
              </w:rPr>
            </w:pPr>
            <w:r>
              <w:rPr>
                <w:rFonts w:cs="宋体"/>
                <w:b/>
                <w:bCs/>
                <w:color w:val="000000"/>
                <w:sz w:val="20"/>
                <w:szCs w:val="20"/>
              </w:rPr>
              <w:t>十四、资源勘探工业信息等支出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left"/>
              <w:textAlignment w:val="center"/>
              <w:rPr>
                <w:rFonts w:hint="default" w:cs="宋体"/>
                <w:b/>
                <w:bCs/>
                <w:color w:val="000000"/>
                <w:sz w:val="20"/>
                <w:szCs w:val="20"/>
              </w:rPr>
            </w:pPr>
            <w:r>
              <w:rPr>
                <w:rFonts w:cs="宋体"/>
                <w:b/>
                <w:bCs/>
                <w:color w:val="000000"/>
                <w:sz w:val="20"/>
                <w:szCs w:val="20"/>
              </w:rPr>
              <w:t>十五、商业服务业等支出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left"/>
              <w:textAlignment w:val="center"/>
              <w:rPr>
                <w:rFonts w:hint="default" w:cs="宋体"/>
                <w:b/>
                <w:bCs/>
                <w:color w:val="000000"/>
                <w:sz w:val="20"/>
                <w:szCs w:val="20"/>
              </w:rPr>
            </w:pPr>
            <w:r>
              <w:rPr>
                <w:rFonts w:cs="宋体"/>
                <w:b/>
                <w:bCs/>
                <w:color w:val="000000"/>
                <w:sz w:val="20"/>
                <w:szCs w:val="20"/>
              </w:rPr>
              <w:t>十六、金融支出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left"/>
              <w:textAlignment w:val="center"/>
              <w:rPr>
                <w:rFonts w:hint="default" w:cs="宋体"/>
                <w:b/>
                <w:bCs/>
                <w:color w:val="000000"/>
                <w:sz w:val="20"/>
                <w:szCs w:val="20"/>
              </w:rPr>
            </w:pPr>
            <w:r>
              <w:rPr>
                <w:rFonts w:cs="宋体"/>
                <w:b/>
                <w:bCs/>
                <w:color w:val="000000"/>
                <w:sz w:val="20"/>
                <w:szCs w:val="20"/>
              </w:rPr>
              <w:t>十七、援助其他地区支出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90"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left"/>
              <w:textAlignment w:val="center"/>
              <w:rPr>
                <w:rFonts w:hint="default" w:cs="宋体"/>
                <w:b/>
                <w:bCs/>
                <w:color w:val="000000"/>
                <w:sz w:val="20"/>
                <w:szCs w:val="20"/>
              </w:rPr>
            </w:pPr>
            <w:r>
              <w:rPr>
                <w:rFonts w:cs="宋体"/>
                <w:b/>
                <w:bCs/>
                <w:color w:val="000000"/>
                <w:sz w:val="20"/>
                <w:szCs w:val="20"/>
              </w:rPr>
              <w:t>十八、自然资源海洋气象等支出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left"/>
              <w:textAlignment w:val="center"/>
              <w:rPr>
                <w:rFonts w:hint="default" w:cs="宋体"/>
                <w:b/>
                <w:bCs/>
                <w:color w:val="000000"/>
                <w:sz w:val="20"/>
                <w:szCs w:val="20"/>
              </w:rPr>
            </w:pPr>
            <w:r>
              <w:rPr>
                <w:rFonts w:cs="宋体"/>
                <w:b/>
                <w:bCs/>
                <w:color w:val="000000"/>
                <w:sz w:val="20"/>
                <w:szCs w:val="20"/>
              </w:rPr>
              <w:t>十九、住房保障支出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17.58</w:t>
            </w:r>
          </w:p>
        </w:tc>
      </w:tr>
      <w:tr>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left"/>
              <w:textAlignment w:val="center"/>
              <w:rPr>
                <w:rFonts w:hint="default" w:cs="宋体"/>
                <w:b/>
                <w:bCs/>
                <w:color w:val="000000"/>
                <w:sz w:val="20"/>
                <w:szCs w:val="20"/>
              </w:rPr>
            </w:pPr>
            <w:r>
              <w:rPr>
                <w:rFonts w:cs="宋体"/>
                <w:b/>
                <w:bCs/>
                <w:color w:val="000000"/>
                <w:sz w:val="20"/>
                <w:szCs w:val="20"/>
              </w:rPr>
              <w:t>二十、粮油物资储备支出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left"/>
              <w:textAlignment w:val="center"/>
              <w:rPr>
                <w:rFonts w:hint="default" w:cs="宋体"/>
                <w:b/>
                <w:bCs/>
                <w:color w:val="000000"/>
                <w:sz w:val="20"/>
                <w:szCs w:val="20"/>
              </w:rPr>
            </w:pPr>
            <w:r>
              <w:rPr>
                <w:rFonts w:cs="宋体"/>
                <w:b/>
                <w:bCs/>
                <w:color w:val="000000"/>
                <w:sz w:val="20"/>
                <w:szCs w:val="20"/>
              </w:rPr>
              <w:t>二十一、国有资本经营预算支出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left"/>
              <w:textAlignment w:val="center"/>
              <w:rPr>
                <w:rFonts w:hint="default" w:cs="宋体"/>
                <w:b/>
                <w:bCs/>
                <w:color w:val="000000"/>
                <w:sz w:val="20"/>
                <w:szCs w:val="20"/>
              </w:rPr>
            </w:pPr>
            <w:r>
              <w:rPr>
                <w:rFonts w:cs="宋体"/>
                <w:b/>
                <w:bCs/>
                <w:color w:val="000000"/>
                <w:sz w:val="20"/>
                <w:szCs w:val="20"/>
              </w:rPr>
              <w:t>二十二、灾害防治及应急管理支出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324.31</w:t>
            </w:r>
          </w:p>
        </w:tc>
      </w:tr>
      <w:tr>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09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left"/>
              <w:textAlignment w:val="center"/>
              <w:rPr>
                <w:rFonts w:hint="default" w:cs="宋体"/>
                <w:b/>
                <w:bCs/>
                <w:color w:val="000000"/>
                <w:sz w:val="20"/>
                <w:szCs w:val="20"/>
              </w:rPr>
            </w:pPr>
            <w:r>
              <w:rPr>
                <w:rFonts w:cs="宋体"/>
                <w:b/>
                <w:bCs/>
                <w:color w:val="000000"/>
                <w:sz w:val="20"/>
                <w:szCs w:val="20"/>
              </w:rPr>
              <w:t>二十三、其他支出</w:t>
            </w:r>
          </w:p>
        </w:tc>
        <w:tc>
          <w:tcPr>
            <w:tcW w:w="1322"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32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09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c>
          <w:tcPr>
            <w:tcW w:w="1250"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left"/>
              <w:textAlignment w:val="center"/>
              <w:rPr>
                <w:rFonts w:hint="default" w:cs="宋体"/>
                <w:b/>
                <w:bCs/>
                <w:color w:val="000000"/>
                <w:sz w:val="20"/>
                <w:szCs w:val="20"/>
              </w:rPr>
            </w:pPr>
            <w:r>
              <w:rPr>
                <w:rFonts w:cs="宋体"/>
                <w:b/>
                <w:bCs/>
                <w:color w:val="000000"/>
                <w:sz w:val="20"/>
                <w:szCs w:val="20"/>
              </w:rPr>
              <w:t>二十四、债务还本支出</w:t>
            </w:r>
          </w:p>
        </w:tc>
        <w:tc>
          <w:tcPr>
            <w:tcW w:w="1322"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left"/>
              <w:textAlignment w:val="center"/>
              <w:rPr>
                <w:rFonts w:hint="default" w:cs="宋体"/>
                <w:b/>
                <w:bCs/>
                <w:color w:val="000000"/>
                <w:sz w:val="20"/>
                <w:szCs w:val="20"/>
              </w:rPr>
            </w:pPr>
            <w:r>
              <w:rPr>
                <w:rFonts w:cs="宋体"/>
                <w:b/>
                <w:bCs/>
                <w:color w:val="000000"/>
                <w:sz w:val="20"/>
                <w:szCs w:val="20"/>
              </w:rPr>
              <w:t>二十五、债务付息支出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left"/>
              <w:textAlignment w:val="center"/>
              <w:rPr>
                <w:rFonts w:hint="default" w:cs="宋体"/>
                <w:b/>
                <w:bCs/>
                <w:color w:val="000000"/>
                <w:sz w:val="20"/>
                <w:szCs w:val="20"/>
              </w:rPr>
            </w:pPr>
            <w:r>
              <w:rPr>
                <w:rFonts w:cs="宋体"/>
                <w:b/>
                <w:bCs/>
                <w:color w:val="000000"/>
                <w:sz w:val="20"/>
                <w:szCs w:val="20"/>
              </w:rPr>
              <w:t>二十六、抗疫特别国债安排的支出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418.56</w:t>
            </w: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left"/>
              <w:textAlignment w:val="center"/>
              <w:rPr>
                <w:rFonts w:hint="default" w:cs="宋体"/>
                <w:b/>
                <w:bCs/>
                <w:color w:val="000000"/>
                <w:sz w:val="20"/>
                <w:szCs w:val="20"/>
              </w:rPr>
            </w:pPr>
            <w:r>
              <w:rPr>
                <w:rFonts w:cs="宋体"/>
                <w:b/>
                <w:bCs/>
                <w:color w:val="000000"/>
                <w:sz w:val="20"/>
                <w:szCs w:val="20"/>
              </w:rPr>
              <w:t>本年支出合计</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418.56</w:t>
            </w:r>
          </w:p>
        </w:tc>
      </w:tr>
      <w:tr>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使用非财政拨款结余（含专用结余）</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left"/>
              <w:textAlignment w:val="center"/>
              <w:rPr>
                <w:rFonts w:hint="default" w:cs="宋体"/>
                <w:b/>
                <w:bCs/>
                <w:color w:val="000000"/>
                <w:sz w:val="20"/>
                <w:szCs w:val="20"/>
              </w:rPr>
            </w:pPr>
            <w:r>
              <w:rPr>
                <w:rFonts w:cs="宋体"/>
                <w:b/>
                <w:bCs/>
                <w:color w:val="000000"/>
                <w:sz w:val="20"/>
                <w:szCs w:val="20"/>
              </w:rPr>
              <w:t>结余分配</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年初结转和结余</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left"/>
              <w:textAlignment w:val="center"/>
              <w:rPr>
                <w:rFonts w:hint="default" w:cs="宋体"/>
                <w:b/>
                <w:bCs/>
                <w:color w:val="000000"/>
                <w:sz w:val="20"/>
                <w:szCs w:val="20"/>
              </w:rPr>
            </w:pPr>
            <w:r>
              <w:rPr>
                <w:rFonts w:cs="宋体"/>
                <w:b/>
                <w:bCs/>
                <w:color w:val="000000"/>
                <w:sz w:val="20"/>
                <w:szCs w:val="20"/>
              </w:rPr>
              <w:t>年末结转和结余</w:t>
            </w:r>
          </w:p>
        </w:tc>
        <w:tc>
          <w:tcPr>
            <w:tcW w:w="1322"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5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418.56</w:t>
            </w:r>
          </w:p>
        </w:tc>
        <w:tc>
          <w:tcPr>
            <w:tcW w:w="1250"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left"/>
              <w:textAlignment w:val="center"/>
              <w:rPr>
                <w:rFonts w:hint="default" w:cs="宋体"/>
                <w:b/>
                <w:color w:val="000000"/>
                <w:sz w:val="20"/>
                <w:szCs w:val="20"/>
              </w:rPr>
            </w:pPr>
            <w:r>
              <w:rPr>
                <w:rFonts w:cs="宋体"/>
                <w:b/>
                <w:color w:val="000000"/>
                <w:sz w:val="20"/>
                <w:szCs w:val="20"/>
              </w:rPr>
              <w:t>总计</w:t>
            </w:r>
          </w:p>
        </w:tc>
        <w:tc>
          <w:tcPr>
            <w:tcW w:w="13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418.56</w:t>
            </w:r>
          </w:p>
        </w:tc>
      </w:tr>
    </w:tbl>
    <w:p>
      <w:pPr>
        <w:jc w:val="cente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5300" w:type="pct"/>
        <w:tblInd w:w="-468" w:type="dxa"/>
        <w:tblLayout w:type="fixed"/>
        <w:tblCellMar>
          <w:top w:w="0" w:type="dxa"/>
          <w:left w:w="0" w:type="dxa"/>
          <w:bottom w:w="0" w:type="dxa"/>
          <w:right w:w="0" w:type="dxa"/>
        </w:tblCellMar>
      </w:tblPr>
      <w:tblGrid>
        <w:gridCol w:w="1323"/>
        <w:gridCol w:w="3095"/>
        <w:gridCol w:w="1370"/>
        <w:gridCol w:w="1299"/>
        <w:gridCol w:w="1245"/>
        <w:gridCol w:w="1022"/>
        <w:gridCol w:w="1514"/>
        <w:gridCol w:w="1105"/>
        <w:gridCol w:w="1211"/>
        <w:gridCol w:w="1393"/>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both"/>
              <w:textAlignment w:val="bottom"/>
              <w:rPr>
                <w:rFonts w:cs="宋体"/>
                <w:b/>
                <w:color w:val="000000"/>
                <w:sz w:val="32"/>
                <w:szCs w:val="32"/>
              </w:rPr>
            </w:pPr>
          </w:p>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丰都县应急指挥中心</w:t>
            </w:r>
          </w:p>
        </w:tc>
        <w:tc>
          <w:tcPr>
            <w:tcW w:w="4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5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5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15"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5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6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6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6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6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1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418.56</w:t>
            </w:r>
          </w:p>
        </w:tc>
        <w:tc>
          <w:tcPr>
            <w:tcW w:w="4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418.56</w:t>
            </w:r>
          </w:p>
        </w:tc>
        <w:tc>
          <w:tcPr>
            <w:tcW w:w="4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348"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208</w:t>
            </w:r>
          </w:p>
        </w:tc>
        <w:tc>
          <w:tcPr>
            <w:tcW w:w="10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58.75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58.75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53"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20805</w:t>
            </w:r>
          </w:p>
        </w:tc>
        <w:tc>
          <w:tcPr>
            <w:tcW w:w="106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58.75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58.75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5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2080502</w:t>
            </w:r>
          </w:p>
        </w:tc>
        <w:tc>
          <w:tcPr>
            <w:tcW w:w="106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0.69</w:t>
            </w:r>
            <w:r>
              <w:rPr>
                <w:rFonts w:ascii="Times New Roman" w:hAnsi="Times New Roman"/>
                <w:color w:val="000000"/>
                <w:sz w:val="20"/>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0.69</w:t>
            </w:r>
            <w:r>
              <w:rPr>
                <w:rFonts w:ascii="Times New Roman" w:hAnsi="Times New Roman"/>
                <w:color w:val="000000"/>
                <w:sz w:val="20"/>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2080505</w:t>
            </w:r>
          </w:p>
        </w:tc>
        <w:tc>
          <w:tcPr>
            <w:tcW w:w="10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35.34</w:t>
            </w:r>
            <w:r>
              <w:rPr>
                <w:rFonts w:ascii="Times New Roman" w:hAnsi="Times New Roman"/>
                <w:color w:val="000000"/>
                <w:sz w:val="20"/>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35.34</w:t>
            </w:r>
            <w:r>
              <w:rPr>
                <w:rFonts w:ascii="Times New Roman" w:hAnsi="Times New Roman"/>
                <w:color w:val="000000"/>
                <w:sz w:val="20"/>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2080506</w:t>
            </w:r>
          </w:p>
        </w:tc>
        <w:tc>
          <w:tcPr>
            <w:tcW w:w="10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20.91</w:t>
            </w:r>
            <w:r>
              <w:rPr>
                <w:rFonts w:ascii="Times New Roman" w:hAnsi="Times New Roman"/>
                <w:color w:val="000000"/>
                <w:sz w:val="20"/>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20.91</w:t>
            </w:r>
            <w:r>
              <w:rPr>
                <w:rFonts w:ascii="Times New Roman" w:hAnsi="Times New Roman"/>
                <w:color w:val="000000"/>
                <w:sz w:val="20"/>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2080599</w:t>
            </w:r>
          </w:p>
        </w:tc>
        <w:tc>
          <w:tcPr>
            <w:tcW w:w="10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w:t>
            </w:r>
            <w:r>
              <w:rPr>
                <w:rFonts w:ascii="Times New Roman" w:hAnsi="Times New Roman"/>
                <w:color w:val="000000"/>
                <w:sz w:val="20"/>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w:t>
            </w:r>
            <w:r>
              <w:rPr>
                <w:rFonts w:ascii="Times New Roman" w:hAnsi="Times New Roman"/>
                <w:color w:val="000000"/>
                <w:sz w:val="20"/>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210</w:t>
            </w:r>
          </w:p>
        </w:tc>
        <w:tc>
          <w:tcPr>
            <w:tcW w:w="10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17.92</w:t>
            </w:r>
            <w:r>
              <w:rPr>
                <w:rFonts w:ascii="Times New Roman" w:hAnsi="Times New Roman"/>
                <w:b/>
                <w:color w:val="000000"/>
                <w:sz w:val="20"/>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17.92</w:t>
            </w:r>
            <w:r>
              <w:rPr>
                <w:rFonts w:ascii="Times New Roman" w:hAnsi="Times New Roman"/>
                <w:b/>
                <w:color w:val="000000"/>
                <w:sz w:val="20"/>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53"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21011</w:t>
            </w:r>
          </w:p>
        </w:tc>
        <w:tc>
          <w:tcPr>
            <w:tcW w:w="106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17.92</w:t>
            </w:r>
            <w:r>
              <w:rPr>
                <w:rFonts w:ascii="Times New Roman" w:hAnsi="Times New Roman"/>
                <w:b/>
                <w:color w:val="000000"/>
                <w:sz w:val="20"/>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17.92</w:t>
            </w:r>
            <w:r>
              <w:rPr>
                <w:rFonts w:ascii="Times New Roman" w:hAnsi="Times New Roman"/>
                <w:b/>
                <w:color w:val="000000"/>
                <w:sz w:val="20"/>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5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2101102</w:t>
            </w:r>
          </w:p>
        </w:tc>
        <w:tc>
          <w:tcPr>
            <w:tcW w:w="106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11.91</w:t>
            </w:r>
            <w:r>
              <w:rPr>
                <w:rFonts w:ascii="Times New Roman" w:hAnsi="Times New Roman"/>
                <w:color w:val="000000"/>
                <w:sz w:val="20"/>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11.91</w:t>
            </w:r>
            <w:r>
              <w:rPr>
                <w:rFonts w:ascii="Times New Roman" w:hAnsi="Times New Roman"/>
                <w:color w:val="000000"/>
                <w:sz w:val="20"/>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53"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2101199</w:t>
            </w:r>
          </w:p>
        </w:tc>
        <w:tc>
          <w:tcPr>
            <w:tcW w:w="106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5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221</w:t>
            </w:r>
          </w:p>
        </w:tc>
        <w:tc>
          <w:tcPr>
            <w:tcW w:w="106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17.58</w:t>
            </w:r>
            <w:r>
              <w:rPr>
                <w:rFonts w:ascii="Times New Roman" w:hAnsi="Times New Roman"/>
                <w:b/>
                <w:color w:val="000000"/>
                <w:sz w:val="20"/>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17.58</w:t>
            </w:r>
            <w:r>
              <w:rPr>
                <w:rFonts w:ascii="Times New Roman" w:hAnsi="Times New Roman"/>
                <w:b/>
                <w:color w:val="000000"/>
                <w:sz w:val="20"/>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22102</w:t>
            </w:r>
          </w:p>
        </w:tc>
        <w:tc>
          <w:tcPr>
            <w:tcW w:w="10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17.58</w:t>
            </w:r>
            <w:r>
              <w:rPr>
                <w:rFonts w:ascii="Times New Roman" w:hAnsi="Times New Roman"/>
                <w:b/>
                <w:color w:val="000000"/>
                <w:sz w:val="20"/>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17.58</w:t>
            </w:r>
            <w:r>
              <w:rPr>
                <w:rFonts w:ascii="Times New Roman" w:hAnsi="Times New Roman"/>
                <w:b/>
                <w:color w:val="000000"/>
                <w:sz w:val="20"/>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2210201</w:t>
            </w:r>
          </w:p>
        </w:tc>
        <w:tc>
          <w:tcPr>
            <w:tcW w:w="10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17.58</w:t>
            </w:r>
            <w:r>
              <w:rPr>
                <w:rFonts w:ascii="Times New Roman" w:hAnsi="Times New Roman"/>
                <w:color w:val="000000"/>
                <w:sz w:val="20"/>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17.58</w:t>
            </w:r>
            <w:r>
              <w:rPr>
                <w:rFonts w:ascii="Times New Roman" w:hAnsi="Times New Roman"/>
                <w:color w:val="000000"/>
                <w:sz w:val="20"/>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224</w:t>
            </w:r>
          </w:p>
        </w:tc>
        <w:tc>
          <w:tcPr>
            <w:tcW w:w="10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324.31</w:t>
            </w:r>
            <w:r>
              <w:rPr>
                <w:rFonts w:ascii="Times New Roman" w:hAnsi="Times New Roman"/>
                <w:b/>
                <w:color w:val="000000"/>
                <w:sz w:val="20"/>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324.31</w:t>
            </w:r>
            <w:r>
              <w:rPr>
                <w:rFonts w:ascii="Times New Roman" w:hAnsi="Times New Roman"/>
                <w:b/>
                <w:color w:val="000000"/>
                <w:sz w:val="20"/>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22401</w:t>
            </w:r>
          </w:p>
        </w:tc>
        <w:tc>
          <w:tcPr>
            <w:tcW w:w="10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311.31</w:t>
            </w:r>
            <w:r>
              <w:rPr>
                <w:rFonts w:ascii="Times New Roman" w:hAnsi="Times New Roman"/>
                <w:b/>
                <w:color w:val="000000"/>
                <w:sz w:val="20"/>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311.31</w:t>
            </w:r>
            <w:r>
              <w:rPr>
                <w:rFonts w:ascii="Times New Roman" w:hAnsi="Times New Roman"/>
                <w:b/>
                <w:color w:val="000000"/>
                <w:sz w:val="20"/>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2240150</w:t>
            </w:r>
          </w:p>
        </w:tc>
        <w:tc>
          <w:tcPr>
            <w:tcW w:w="10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311.31</w:t>
            </w:r>
            <w:r>
              <w:rPr>
                <w:rFonts w:ascii="Times New Roman" w:hAnsi="Times New Roman"/>
                <w:color w:val="000000"/>
                <w:sz w:val="20"/>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311.31</w:t>
            </w:r>
            <w:r>
              <w:rPr>
                <w:rFonts w:ascii="Times New Roman" w:hAnsi="Times New Roman"/>
                <w:color w:val="000000"/>
                <w:sz w:val="20"/>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22407</w:t>
            </w:r>
          </w:p>
        </w:tc>
        <w:tc>
          <w:tcPr>
            <w:tcW w:w="10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r>
              <w:rPr>
                <w:rFonts w:ascii="Times New Roman" w:hAnsi="Times New Roman"/>
                <w:b/>
                <w:color w:val="000000"/>
                <w:sz w:val="20"/>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r>
              <w:rPr>
                <w:rFonts w:ascii="Times New Roman" w:hAnsi="Times New Roman"/>
                <w:b/>
                <w:color w:val="000000"/>
                <w:sz w:val="20"/>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2240703</w:t>
            </w:r>
          </w:p>
        </w:tc>
        <w:tc>
          <w:tcPr>
            <w:tcW w:w="10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1"/>
        <w:tblW w:w="5030" w:type="pct"/>
        <w:tblInd w:w="0" w:type="dxa"/>
        <w:tblLayout w:type="fixed"/>
        <w:tblCellMar>
          <w:top w:w="0" w:type="dxa"/>
          <w:left w:w="0" w:type="dxa"/>
          <w:bottom w:w="0" w:type="dxa"/>
          <w:right w:w="0" w:type="dxa"/>
        </w:tblCellMar>
      </w:tblPr>
      <w:tblGrid>
        <w:gridCol w:w="1157"/>
        <w:gridCol w:w="3234"/>
        <w:gridCol w:w="1650"/>
        <w:gridCol w:w="1581"/>
        <w:gridCol w:w="1455"/>
        <w:gridCol w:w="1397"/>
        <w:gridCol w:w="1399"/>
        <w:gridCol w:w="1963"/>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83"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丰都县应急指挥中心 </w:t>
            </w:r>
          </w:p>
        </w:tc>
        <w:tc>
          <w:tcPr>
            <w:tcW w:w="57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7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83"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7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8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70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18"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6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18"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6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18"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6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18"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6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8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418.56</w:t>
            </w: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405.56</w:t>
            </w:r>
          </w:p>
        </w:tc>
        <w:tc>
          <w:tcPr>
            <w:tcW w:w="5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13.00</w:t>
            </w:r>
          </w:p>
        </w:tc>
        <w:tc>
          <w:tcPr>
            <w:tcW w:w="5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7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208</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58.75</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58.75</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20805</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58.75</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58.75</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0.69</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0.69</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35.34</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35.34</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20.91</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20.91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2080599</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1.81</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1.81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210</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17.92</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17.92</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21011</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17.92</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17.92</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2101102</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11.91</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11.91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2101199</w:t>
            </w:r>
          </w:p>
        </w:tc>
        <w:tc>
          <w:tcPr>
            <w:tcW w:w="116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18"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221</w:t>
            </w:r>
          </w:p>
        </w:tc>
        <w:tc>
          <w:tcPr>
            <w:tcW w:w="116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17.58</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17.58</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22102</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17.58</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17.58</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2210201</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17.58</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17.58</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224</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324.31</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311.31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22401</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311.31</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311.31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2240150</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311.31</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311.31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22407</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2240703</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1"/>
        <w:tblW w:w="4907" w:type="pct"/>
        <w:tblInd w:w="0" w:type="dxa"/>
        <w:tblLayout w:type="autofit"/>
        <w:tblCellMar>
          <w:top w:w="0" w:type="dxa"/>
          <w:left w:w="0" w:type="dxa"/>
          <w:bottom w:w="0" w:type="dxa"/>
          <w:right w:w="0" w:type="dxa"/>
        </w:tblCellMar>
      </w:tblPr>
      <w:tblGrid>
        <w:gridCol w:w="2660"/>
        <w:gridCol w:w="1365"/>
        <w:gridCol w:w="2853"/>
        <w:gridCol w:w="1520"/>
        <w:gridCol w:w="1520"/>
        <w:gridCol w:w="1520"/>
        <w:gridCol w:w="2057"/>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54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丰都县应急指挥中心</w:t>
            </w:r>
          </w:p>
        </w:tc>
        <w:tc>
          <w:tcPr>
            <w:tcW w:w="5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60"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549"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60"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50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98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5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450"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9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5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418.56</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58.75</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58.75</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17.92</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17.92</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17.58</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17.58</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324.31</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324.31</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418.56</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418.56</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418.56</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418.56</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418.56</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418.56</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5000" w:type="pct"/>
        <w:tblInd w:w="0" w:type="dxa"/>
        <w:tblLayout w:type="fixed"/>
        <w:tblCellMar>
          <w:top w:w="0" w:type="dxa"/>
          <w:left w:w="0" w:type="dxa"/>
          <w:bottom w:w="0" w:type="dxa"/>
          <w:right w:w="0" w:type="dxa"/>
        </w:tblCellMar>
      </w:tblPr>
      <w:tblGrid>
        <w:gridCol w:w="1172"/>
        <w:gridCol w:w="3655"/>
        <w:gridCol w:w="2967"/>
        <w:gridCol w:w="2959"/>
        <w:gridCol w:w="2998"/>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3"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丰都县应急指挥中心</w:t>
            </w:r>
          </w:p>
        </w:tc>
        <w:tc>
          <w:tcPr>
            <w:tcW w:w="10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9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3"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9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9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418.56</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405.56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208</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58.75</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58.75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20805</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58.75</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58.75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2080502</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0.69</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0.69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2080505</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35.34</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35.34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2080506</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20.91</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20.91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2080599</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1.81</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1.81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210</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17.92</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21011</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17.92</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2101102</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11.91</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11.91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2101199</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221</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17.58</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22102</w:t>
            </w:r>
          </w:p>
        </w:tc>
        <w:tc>
          <w:tcPr>
            <w:tcW w:w="132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17.58</w:t>
            </w:r>
          </w:p>
        </w:tc>
        <w:tc>
          <w:tcPr>
            <w:tcW w:w="107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17.58</w:t>
            </w:r>
          </w:p>
        </w:tc>
        <w:tc>
          <w:tcPr>
            <w:tcW w:w="1090"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2210201</w:t>
            </w:r>
          </w:p>
        </w:tc>
        <w:tc>
          <w:tcPr>
            <w:tcW w:w="132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17.58</w:t>
            </w:r>
          </w:p>
        </w:tc>
        <w:tc>
          <w:tcPr>
            <w:tcW w:w="1075"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17.58</w:t>
            </w:r>
          </w:p>
        </w:tc>
        <w:tc>
          <w:tcPr>
            <w:tcW w:w="1090"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224</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324.31</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311.31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22401</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311.31</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311.31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2240150</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311.31</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311.31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22407</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13.00</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2240703</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13.00</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13.00</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1"/>
        <w:tblW w:w="4994" w:type="pct"/>
        <w:tblInd w:w="0" w:type="dxa"/>
        <w:tblLayout w:type="fixed"/>
        <w:tblCellMar>
          <w:top w:w="0" w:type="dxa"/>
          <w:left w:w="0" w:type="dxa"/>
          <w:bottom w:w="0" w:type="dxa"/>
          <w:right w:w="0" w:type="dxa"/>
        </w:tblCellMar>
      </w:tblPr>
      <w:tblGrid>
        <w:gridCol w:w="720"/>
        <w:gridCol w:w="2522"/>
        <w:gridCol w:w="1382"/>
        <w:gridCol w:w="783"/>
        <w:gridCol w:w="1824"/>
        <w:gridCol w:w="1272"/>
        <w:gridCol w:w="783"/>
        <w:gridCol w:w="3107"/>
        <w:gridCol w:w="1343"/>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丰都县应急指挥中心</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w:t>
            </w:r>
            <w:r>
              <w:rPr>
                <w:rFonts w:cs="宋体"/>
                <w:b/>
                <w:sz w:val="18"/>
                <w:szCs w:val="18"/>
              </w:rPr>
              <w:t>级经济分</w:t>
            </w:r>
            <w:r>
              <w:rPr>
                <w:rFonts w:cs="宋体"/>
                <w:b/>
                <w:color w:val="000000"/>
                <w:sz w:val="18"/>
                <w:szCs w:val="18"/>
              </w:rPr>
              <w:t>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bCs/>
                <w:color w:val="000000"/>
                <w:sz w:val="18"/>
                <w:szCs w:val="18"/>
              </w:rPr>
            </w:pPr>
            <w:r>
              <w:rPr>
                <w:rFonts w:cs="宋体"/>
                <w:b/>
                <w:bCs/>
                <w:color w:val="000000"/>
                <w:sz w:val="18"/>
                <w:szCs w:val="18"/>
              </w:rPr>
              <w:t>301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355.78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44.97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bCs/>
                <w:color w:val="000000"/>
                <w:sz w:val="18"/>
                <w:szCs w:val="18"/>
              </w:rPr>
            </w:pPr>
            <w:r>
              <w:rPr>
                <w:rFonts w:cs="宋体"/>
                <w:b/>
                <w:bCs/>
                <w:color w:val="000000"/>
                <w:sz w:val="18"/>
                <w:szCs w:val="18"/>
              </w:rPr>
              <w:t>310</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30101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88.41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2.33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31001</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30102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3.08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31002</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30103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31003</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30106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31005</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30107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170.56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31006</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30108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35.34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31007</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30109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20.91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31008</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30110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11.92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31009</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30111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31010</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30112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4.74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6.63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31011</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30113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17.58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31012</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30114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3.24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4.81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31013</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30199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31019</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bCs/>
                <w:color w:val="000000"/>
                <w:sz w:val="18"/>
                <w:szCs w:val="18"/>
              </w:rPr>
            </w:pPr>
            <w:r>
              <w:rPr>
                <w:rFonts w:cs="宋体"/>
                <w:b/>
                <w:bCs/>
                <w:color w:val="000000"/>
                <w:sz w:val="18"/>
                <w:szCs w:val="18"/>
              </w:rPr>
              <w:t>303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4.80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31021</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30301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31022</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30302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0.87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31099</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30303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bCs/>
                <w:color w:val="000000"/>
                <w:sz w:val="18"/>
                <w:szCs w:val="18"/>
              </w:rPr>
            </w:pPr>
            <w:r>
              <w:rPr>
                <w:rFonts w:cs="宋体"/>
                <w:b/>
                <w:bCs/>
                <w:color w:val="000000"/>
                <w:sz w:val="18"/>
                <w:szCs w:val="18"/>
              </w:rPr>
              <w:t>312</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30304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31201</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30305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0.69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31203</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30306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31204</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30307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31205</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30308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13.08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31206</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30309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1.81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3.71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31299</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30310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2.24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bCs/>
                <w:color w:val="000000"/>
                <w:sz w:val="18"/>
                <w:szCs w:val="18"/>
              </w:rPr>
            </w:pPr>
            <w:r>
              <w:rPr>
                <w:rFonts w:cs="宋体"/>
                <w:b/>
                <w:bCs/>
                <w:color w:val="000000"/>
                <w:sz w:val="18"/>
                <w:szCs w:val="18"/>
              </w:rPr>
              <w:t>399</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30311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39907</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30399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39908</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10.12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39909</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39910</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39999</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center"/>
              <w:textAlignment w:val="bottom"/>
              <w:rPr>
                <w:rFonts w:hint="default" w:ascii="Times New Roman" w:hAnsi="Times New Roman"/>
                <w:color w:val="000000"/>
                <w:sz w:val="18"/>
                <w:szCs w:val="18"/>
              </w:rPr>
            </w:pPr>
            <w:r>
              <w:rPr>
                <w:rFonts w:hint="default" w:ascii="Times New Roman" w:hAnsi="Times New Roman"/>
                <w:color w:val="000000"/>
                <w:sz w:val="18"/>
                <w:szCs w:val="18"/>
              </w:rPr>
              <w:t>360.59</w:t>
            </w:r>
          </w:p>
        </w:tc>
        <w:tc>
          <w:tcPr>
            <w:tcW w:w="2827"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44.97</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5000" w:type="pct"/>
        <w:tblInd w:w="0" w:type="dxa"/>
        <w:tblLayout w:type="fixed"/>
        <w:tblCellMar>
          <w:top w:w="0" w:type="dxa"/>
          <w:left w:w="0" w:type="dxa"/>
          <w:bottom w:w="0" w:type="dxa"/>
          <w:right w:w="0" w:type="dxa"/>
        </w:tblCellMar>
      </w:tblPr>
      <w:tblGrid>
        <w:gridCol w:w="1185"/>
        <w:gridCol w:w="3225"/>
        <w:gridCol w:w="1527"/>
        <w:gridCol w:w="1527"/>
        <w:gridCol w:w="1527"/>
        <w:gridCol w:w="1527"/>
        <w:gridCol w:w="1584"/>
        <w:gridCol w:w="1650"/>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丰都县应急指挥中心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1"/>
        <w:tblW w:w="5000" w:type="pct"/>
        <w:tblInd w:w="0" w:type="dxa"/>
        <w:tblLayout w:type="fixed"/>
        <w:tblCellMar>
          <w:top w:w="0" w:type="dxa"/>
          <w:left w:w="0" w:type="dxa"/>
          <w:bottom w:w="0" w:type="dxa"/>
          <w:right w:w="0" w:type="dxa"/>
        </w:tblCellMar>
      </w:tblPr>
      <w:tblGrid>
        <w:gridCol w:w="1160"/>
        <w:gridCol w:w="3245"/>
        <w:gridCol w:w="2937"/>
        <w:gridCol w:w="171"/>
        <w:gridCol w:w="3108"/>
        <w:gridCol w:w="77"/>
        <w:gridCol w:w="3052"/>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丰都县应急指挥中心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1"/>
        <w:tblW w:w="4611" w:type="pct"/>
        <w:tblInd w:w="0" w:type="dxa"/>
        <w:tblLayout w:type="fixed"/>
        <w:tblCellMar>
          <w:top w:w="0" w:type="dxa"/>
          <w:left w:w="170" w:type="dxa"/>
          <w:bottom w:w="0" w:type="dxa"/>
          <w:right w:w="170" w:type="dxa"/>
        </w:tblCellMar>
      </w:tblPr>
      <w:tblGrid>
        <w:gridCol w:w="2850"/>
        <w:gridCol w:w="2168"/>
        <w:gridCol w:w="2131"/>
        <w:gridCol w:w="3295"/>
        <w:gridCol w:w="22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丰都县应急指挥中心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73"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3.11</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3.11</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center"/>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center"/>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2.24</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2.24</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center"/>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center"/>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center"/>
              <w:textAlignment w:val="bottom"/>
              <w:rPr>
                <w:rFonts w:hint="default" w:ascii="Times New Roman" w:hAnsi="Times New Roman"/>
                <w:color w:val="000000"/>
                <w:sz w:val="18"/>
                <w:szCs w:val="18"/>
              </w:rPr>
            </w:pPr>
            <w:r>
              <w:rPr>
                <w:rFonts w:hint="default" w:ascii="Times New Roman" w:hAnsi="Times New Roman"/>
                <w:color w:val="000000"/>
                <w:sz w:val="18"/>
                <w:szCs w:val="18"/>
              </w:rPr>
              <w:t>1</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2.24</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2.24</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center"/>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0.87</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0.87</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center"/>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0.87</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center"/>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center"/>
              <w:textAlignment w:val="bottom"/>
              <w:rPr>
                <w:rFonts w:hint="default" w:ascii="Times New Roman" w:hAnsi="Times New Roman"/>
                <w:color w:val="000000"/>
                <w:sz w:val="18"/>
                <w:szCs w:val="18"/>
              </w:rPr>
            </w:pPr>
            <w:r>
              <w:rPr>
                <w:rFonts w:hint="default" w:ascii="Times New Roman" w:hAnsi="Times New Roman"/>
                <w:color w:val="000000"/>
                <w:sz w:val="18"/>
                <w:szCs w:val="18"/>
              </w:rPr>
              <w:t>1</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center"/>
              <w:textAlignment w:val="bottom"/>
              <w:rPr>
                <w:rFonts w:hint="default" w:ascii="Times New Roman" w:hAnsi="Times New Roman"/>
                <w:color w:val="000000"/>
                <w:sz w:val="18"/>
                <w:szCs w:val="18"/>
              </w:rPr>
            </w:pPr>
            <w:r>
              <w:rPr>
                <w:rFonts w:hint="default" w:ascii="Times New Roman" w:hAnsi="Times New Roman"/>
                <w:color w:val="000000"/>
                <w:sz w:val="18"/>
                <w:szCs w:val="18"/>
              </w:rPr>
              <w:t>0.41</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center"/>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center"/>
              <w:textAlignment w:val="bottom"/>
              <w:rPr>
                <w:rFonts w:hint="default" w:ascii="Times New Roman" w:hAnsi="Times New Roman"/>
                <w:color w:val="000000"/>
                <w:sz w:val="18"/>
                <w:szCs w:val="18"/>
              </w:rPr>
            </w:pPr>
            <w:r>
              <w:rPr>
                <w:rFonts w:hint="default" w:ascii="Times New Roman" w:hAnsi="Times New Roman"/>
                <w:color w:val="000000"/>
                <w:sz w:val="18"/>
                <w:szCs w:val="18"/>
              </w:rPr>
              <w:t>0.41</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101</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center"/>
              <w:textAlignment w:val="bottom"/>
              <w:rPr>
                <w:rFonts w:hint="default" w:ascii="Times New Roman" w:hAnsi="Times New Roman"/>
                <w:color w:val="000000"/>
                <w:sz w:val="18"/>
                <w:szCs w:val="18"/>
              </w:rPr>
            </w:pPr>
            <w:r>
              <w:rPr>
                <w:rFonts w:hint="default" w:ascii="Times New Roman" w:hAnsi="Times New Roman"/>
                <w:color w:val="000000"/>
                <w:sz w:val="18"/>
                <w:szCs w:val="18"/>
              </w:rPr>
              <w:t>0.41</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center"/>
              <w:textAlignment w:val="bottom"/>
              <w:rPr>
                <w:rFonts w:hint="default" w:ascii="Times New Roman" w:hAnsi="Times New Roman"/>
                <w:color w:val="000000"/>
                <w:sz w:val="18"/>
                <w:szCs w:val="18"/>
              </w:rPr>
            </w:pPr>
            <w:r>
              <w:rPr>
                <w:rFonts w:hint="default" w:ascii="Times New Roman" w:hAnsi="Times New Roman"/>
                <w:color w:val="000000"/>
                <w:sz w:val="18"/>
                <w:szCs w:val="18"/>
              </w:rPr>
              <w:t>0.41</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0.18</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0.28</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center"/>
              <w:textAlignment w:val="bottom"/>
              <w:rPr>
                <w:rFonts w:hint="default" w:ascii="Times New Roman" w:hAnsi="Times New Roman"/>
                <w:color w:val="000000"/>
                <w:sz w:val="18"/>
                <w:szCs w:val="18"/>
              </w:rPr>
            </w:pPr>
            <w:r>
              <w:rPr>
                <w:rFonts w:hint="default" w:ascii="Times New Roman" w:hAnsi="Times New Roman"/>
                <w:color w:val="000000"/>
                <w:sz w:val="18"/>
                <w:szCs w:val="18"/>
              </w:rPr>
              <w:t>6.63</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2098" w:right="1531" w:bottom="1984" w:left="1531" w:header="0" w:footer="1474"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- 15 -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- 15 -</w:t>
                    </w:r>
                    <w:r>
                      <w:rPr>
                        <w:sz w:val="28"/>
                        <w:szCs w:val="28"/>
                      </w:rP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7"/>
              <wp:cNvGraphicFramePr/>
              <a:graphic xmlns:a="http://schemas.openxmlformats.org/drawingml/2006/main">
                <a:graphicData uri="http://schemas.microsoft.com/office/word/2010/wordprocessingShape">
                  <wps:wsp>
                    <wps:cNvSpPr txBox="true">
                      <a:spLocks noChangeArrowheads="true"/>
                    </wps:cNvSpPr>
                    <wps:spPr bwMode="auto">
                      <a:xfrm>
                        <a:off x="0" y="0"/>
                        <a:ext cx="572135" cy="220980"/>
                      </a:xfrm>
                      <a:prstGeom prst="rect">
                        <a:avLst/>
                      </a:prstGeom>
                      <a:noFill/>
                      <a:ln>
                        <a:noFill/>
                      </a:ln>
                    </wps:spPr>
                    <wps:txbx>
                      <w:txbxContent>
                        <w:p>
                          <w:pPr>
                            <w:pStyle w:val="6"/>
                            <w:jc w:val="both"/>
                            <w:rPr>
                              <w:rFonts w:hint="default" w:cs="宋体"/>
                            </w:rPr>
                          </w:pPr>
                          <w:r>
                            <w:rPr>
                              <w:rFonts w:cs="宋体"/>
                            </w:rPr>
                            <w:t>— 27.1 —</w:t>
                          </w:r>
                        </w:p>
                      </w:txbxContent>
                    </wps:txbx>
                    <wps:bodyPr rot="0" vert="horz" wrap="none" lIns="0" tIns="0" rIns="0" bIns="0" anchor="t" anchorCtr="false" upright="true">
                      <a:noAutofit/>
                    </wps:bodyPr>
                  </wps:wsp>
                </a:graphicData>
              </a:graphic>
            </wp:anchor>
          </w:drawing>
        </mc:Choice>
        <mc:Fallback>
          <w:pict>
            <v:shape id="Text Box 7"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Ml+hQ1gAAAAkBAAAPAAAAAAAAAAEAIAAAADgAAABkcnMvZG93bnJldi54&#10;bWxQSwECFAAUAAAACACHTuJAYuZNc+YBAADAAwAADgAAAAAAAAABACAAAAA7AQAAZHJzL2Uyb0Rv&#10;Yy54bWxQSwUGAAAAAAYABgBZAQAAkwUAAAAA&#10;">
              <v:fill on="f" focussize="0,0"/>
              <v:stroke on="f"/>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HorizontalSpacing w:val="120"/>
  <w:drawingGridVerticalSpacing w:val="163"/>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23E54"/>
    <w:rsid w:val="00036B9D"/>
    <w:rsid w:val="00186985"/>
    <w:rsid w:val="001D3BB7"/>
    <w:rsid w:val="0026679B"/>
    <w:rsid w:val="002B254B"/>
    <w:rsid w:val="002F47F4"/>
    <w:rsid w:val="0034050A"/>
    <w:rsid w:val="00372B85"/>
    <w:rsid w:val="0044504F"/>
    <w:rsid w:val="00466C9B"/>
    <w:rsid w:val="00486CFC"/>
    <w:rsid w:val="00491DDD"/>
    <w:rsid w:val="00550ABE"/>
    <w:rsid w:val="00623A85"/>
    <w:rsid w:val="00770383"/>
    <w:rsid w:val="00780DE4"/>
    <w:rsid w:val="007819D4"/>
    <w:rsid w:val="007848B4"/>
    <w:rsid w:val="007B419D"/>
    <w:rsid w:val="007B7C4B"/>
    <w:rsid w:val="007D3D39"/>
    <w:rsid w:val="00895F90"/>
    <w:rsid w:val="009733CA"/>
    <w:rsid w:val="009777BC"/>
    <w:rsid w:val="00984C6A"/>
    <w:rsid w:val="00994AF7"/>
    <w:rsid w:val="009B67B8"/>
    <w:rsid w:val="009C14C9"/>
    <w:rsid w:val="009D295B"/>
    <w:rsid w:val="009D2B67"/>
    <w:rsid w:val="009E1452"/>
    <w:rsid w:val="00A566F9"/>
    <w:rsid w:val="00A77431"/>
    <w:rsid w:val="00A81FE4"/>
    <w:rsid w:val="00A835B5"/>
    <w:rsid w:val="00AF21C2"/>
    <w:rsid w:val="00AF2751"/>
    <w:rsid w:val="00B03CCD"/>
    <w:rsid w:val="00B227C0"/>
    <w:rsid w:val="00BB0462"/>
    <w:rsid w:val="00BE2B89"/>
    <w:rsid w:val="00BF0D89"/>
    <w:rsid w:val="00C10E9E"/>
    <w:rsid w:val="00C20C3E"/>
    <w:rsid w:val="00C5163E"/>
    <w:rsid w:val="00C5352D"/>
    <w:rsid w:val="00CB3F9D"/>
    <w:rsid w:val="00CF2ACF"/>
    <w:rsid w:val="00D03AAF"/>
    <w:rsid w:val="00DD0539"/>
    <w:rsid w:val="00E07662"/>
    <w:rsid w:val="00E368E9"/>
    <w:rsid w:val="00E73359"/>
    <w:rsid w:val="00EE1E33"/>
    <w:rsid w:val="00F17221"/>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9CC6013"/>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7004B2"/>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3660EB"/>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3E84C0"/>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宋体" w:cs="宋体"/>
      <w:kern w:val="0"/>
    </w:rPr>
  </w:style>
  <w:style w:type="paragraph" w:styleId="3">
    <w:name w:val="Body Text Indent"/>
    <w:basedOn w:val="1"/>
    <w:next w:val="4"/>
    <w:unhideWhenUsed/>
    <w:qFormat/>
    <w:uiPriority w:val="99"/>
    <w:pPr>
      <w:spacing w:after="120"/>
      <w:ind w:left="420" w:leftChars="200"/>
    </w:pPr>
    <w:rPr>
      <w:rFonts w:cs="宋体"/>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0">
    <w:name w:val="Normal (Web)"/>
    <w:basedOn w:val="1"/>
    <w:unhideWhenUsed/>
    <w:qFormat/>
    <w:uiPriority w:val="0"/>
    <w:pPr>
      <w:spacing w:before="100" w:beforeAutospacing="1" w:after="100" w:afterAutospacing="1"/>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r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basedOn w:val="13"/>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Char"/>
    <w:basedOn w:val="13"/>
    <w:link w:val="5"/>
    <w:qFormat/>
    <w:uiPriority w:val="0"/>
    <w:rPr>
      <w:rFonts w:ascii="宋体" w:hAnsi="宋体"/>
      <w:sz w:val="18"/>
      <w:szCs w:val="18"/>
    </w:rPr>
  </w:style>
  <w:style w:type="paragraph" w:customStyle="1" w:styleId="20">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10900</Words>
  <Characters>13685</Characters>
  <Lines>113</Lines>
  <Paragraphs>32</Paragraphs>
  <TotalTime>34</TotalTime>
  <ScaleCrop>false</ScaleCrop>
  <LinksUpToDate>false</LinksUpToDate>
  <CharactersWithSpaces>14753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2025-09-10T17:28:00Z</dcterms:created>
  <dc:creator>Administrator</dc:creator>
  <cp:lastModifiedBy>应急局机要秘书</cp:lastModifiedBy>
  <cp:lastPrinted>2025-09-12T17:43:00Z</cp:lastPrinted>
  <dcterms:modified xsi:type="dcterms:W3CDTF">2025-09-16T16:43:17Z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y fmtid="{D5CDD505-2E9C-101B-9397-08002B2CF9AE}" pid="4" name="KSOTemplateDocerSaveRecord">
    <vt:lpwstr>eyJoZGlkIjoiYmM5OWE0MDZiYjFmM2M0ZmVhMzY0MzhiMjFmMjYwN2YiLCJ1c2VySWQiOiI5ODI0Njk0NTYifQ==</vt:lpwstr>
  </property>
</Properties>
</file>