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2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丰都县医疗保障局</w:t>
      </w:r>
    </w:p>
    <w:p>
      <w:pPr>
        <w:pStyle w:val="6"/>
        <w:spacing w:before="0" w:beforeAutospacing="0" w:after="0" w:afterAutospacing="0" w:line="52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2023年度部门决算公开说明</w:t>
      </w:r>
    </w:p>
    <w:p>
      <w:pPr>
        <w:pStyle w:val="6"/>
        <w:spacing w:before="0" w:beforeAutospacing="0" w:after="0" w:afterAutospacing="0" w:line="520" w:lineRule="exact"/>
        <w:jc w:val="center"/>
        <w:rPr>
          <w:rFonts w:hint="default" w:ascii="Times New Roman" w:hAnsi="Times New Roman" w:eastAsia="方正仿宋_GBK"/>
          <w:sz w:val="32"/>
          <w:szCs w:val="32"/>
          <w:shd w:val="clear" w:color="auto" w:fill="FFFFFF"/>
        </w:rPr>
      </w:pPr>
    </w:p>
    <w:p>
      <w:pPr>
        <w:spacing w:line="52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一、部门基本情况</w:t>
      </w:r>
    </w:p>
    <w:p>
      <w:pPr>
        <w:spacing w:line="52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（一）职能职责</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1.贯彻执行国家和重庆市医疗保险、生育保险、医疗救助等医疗保障制度的法律法规、政策、规章、规划和标准。拟订本县相关规划、政策措施、标准并组织实施。</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2.贯彻执行重庆市医疗保障基金监督管理办法，承担医疗保障基金安全防控监管责任，推进医疗保障基金支付方式改革。</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3.贯彻执行重庆市医疗保障筹资和待遇政策；贯彻推进重庆市长期护理保险制度。</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4.贯彻实施药品、医用耗材、医疗服务项目、医疗服务设施等医保目录和支付标准，建立动态调整机制。贯彻执行医保目录准入地方谈判规则。</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5.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6.负责组织实施定点医药机构协议和支付管理办法，建立健全医疗保障信用评价和信息披露制度，监督管理纳入医保范围内的医疗服务行为和医疗费用，依法查处医疗保障领域违法违规行为。</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7.负责医疗保障经办管理，公共服务体系和信息化建设。负责落实异地就医管理和费用结算政策。建立健全医疗保障关系转移接续制度。</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8.负责局机关和所属单位的安全监管、信访稳定和医疗保障扶贫工作。</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9.完成县委和县政府交办的其他任务。</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10.职能转变。丰都县医疗保障局要认真落实城乡居民基本医疗保险和大病保险相关制度，推进落实覆盖全民、城乡统筹的多层次医疗保障体系，不断提高医疗保障水平，确保医保资金合理使用、安全可控，推进医疗、医保、医药“三医联动”改革，更好保障人民群众就医需求、减轻医药费用负担。</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11.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丰都县医疗保障局设下列3个内设机构：</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1.办公室。负责机关日常运转，承担党群、安全、保密、信访、人事编制、机要、信息、宣传、档案、政务公开</w:t>
      </w:r>
      <w:r>
        <w:rPr>
          <w:rFonts w:ascii="Times New Roman" w:hAnsi="Times New Roman" w:eastAsia="方正仿宋_GBK"/>
          <w:snapToGrid w:val="0"/>
          <w:sz w:val="32"/>
          <w:szCs w:val="32"/>
        </w:rPr>
        <w:t>、</w:t>
      </w:r>
      <w:r>
        <w:rPr>
          <w:rFonts w:hint="default" w:ascii="Times New Roman" w:hAnsi="Times New Roman" w:eastAsia="方正仿宋_GBK"/>
          <w:snapToGrid w:val="0"/>
          <w:sz w:val="32"/>
          <w:szCs w:val="32"/>
        </w:rPr>
        <w:t>议提案办理、后勤保障等工作。推进医疗保障信息化建设，承担医疗保障统计，机关和所属单位财政预决算、财务、内部审计，医疗保障基金的管理、支付、会计核算工作。</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2.医药服务管理科。负责医疗保障参保筹资和待遇、医疗救助、大病保险和各项补充保险的管理工作。负责长期护理保险的管理工作。负责县管政府定价的医保相关医疗服务价格合理确定和动态调整工作。负责医保目录的贯彻实施和管理工作。负责医疗保障关系转移接续管理工作。负责本县定点医药机构、异地就医、医疗保障支付方式改革的管理工作。负责贯彻执行药品、医用耗材的招标采购政策。负责医疗保障扶贫工作。</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3.综合监管科。拟订全县医疗保障事业发展规划并组织实施。贯彻落实医疗保障基金监督管理办法，负责医疗保障基金的监督管理工作，建立健全医疗保障基金安全防控机制、医疗保障信用评价体系和信息披露制度。负责监督管理药品、医用耗材价格和医疗服务项目、医疗服务设施收费标准执行。负责监督管理纳入医保支付范围的医疗服务行为和医疗费用，依法查处医疗保障领域违法违规行为。负责医疗保障政策法规宣传及本单位行政执法监督、行政应诉等法律事务工作。</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二、部门决算情况说明</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spacing w:line="520" w:lineRule="exact"/>
        <w:ind w:firstLine="642" w:firstLineChars="200"/>
        <w:rPr>
          <w:rFonts w:hint="default" w:ascii="Times New Roman" w:hAnsi="Times New Roman" w:eastAsia="方正仿宋_GBK"/>
          <w:snapToGrid w:val="0"/>
          <w:sz w:val="32"/>
          <w:szCs w:val="32"/>
        </w:rPr>
      </w:pPr>
      <w:r>
        <w:rPr>
          <w:rFonts w:hint="default" w:ascii="Times New Roman" w:hAnsi="Times New Roman" w:eastAsia="方正仿宋_GBK"/>
          <w:b/>
          <w:bCs/>
          <w:snapToGrid w:val="0"/>
          <w:sz w:val="32"/>
          <w:szCs w:val="32"/>
        </w:rPr>
        <w:t>1.总体情况。</w:t>
      </w:r>
      <w:r>
        <w:rPr>
          <w:rFonts w:hint="default" w:ascii="Times New Roman" w:hAnsi="Times New Roman" w:eastAsia="方正仿宋_GBK"/>
          <w:snapToGrid w:val="0"/>
          <w:sz w:val="32"/>
          <w:szCs w:val="32"/>
        </w:rPr>
        <w:t>2023年度收入总计7399.49万元，支出总计7399.49万元。收支较上年决算数增加1453.96万元，增长24.45%，主要原因是2023年增加区级公务员（2022年公务员医疗使用历年结余）、离休干部医疗费收支。</w:t>
      </w:r>
    </w:p>
    <w:p>
      <w:pPr>
        <w:spacing w:line="520" w:lineRule="exact"/>
        <w:ind w:firstLine="642"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b/>
          <w:bCs/>
          <w:snapToGrid w:val="0"/>
          <w:sz w:val="32"/>
          <w:szCs w:val="32"/>
        </w:rPr>
        <w:t>2.收入情况。</w:t>
      </w:r>
      <w:r>
        <w:rPr>
          <w:rFonts w:hint="default" w:ascii="Times New Roman" w:hAnsi="Times New Roman" w:eastAsia="方正仿宋_GBK"/>
          <w:snapToGrid w:val="0"/>
          <w:sz w:val="32"/>
          <w:szCs w:val="32"/>
        </w:rPr>
        <w:t>2023年度收入合计7214.19万元，较上年决算数增加1299.08万元，增长21.96%，主要原因是2023年增加区级公务员（2022年公务员医疗使用历年结余）、离休干部医疗费收支。</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7214.19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185.29</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7368.20</w:t>
      </w:r>
      <w:r>
        <w:rPr>
          <w:rFonts w:hint="default" w:ascii="Times New Roman" w:hAnsi="Times New Roman" w:eastAsia="方正仿宋_GBK"/>
          <w:sz w:val="32"/>
          <w:szCs w:val="32"/>
          <w:shd w:val="clear" w:color="auto" w:fill="FFFFFF"/>
        </w:rPr>
        <w:t>万元，较上年决算数增加1442.90万元，增长24.35%，主要原因是</w:t>
      </w:r>
      <w:r>
        <w:rPr>
          <w:rFonts w:hint="default" w:ascii="Times New Roman" w:hAnsi="Times New Roman" w:eastAsia="方正仿宋_GBK"/>
          <w:snapToGrid w:val="0"/>
          <w:sz w:val="32"/>
          <w:szCs w:val="32"/>
        </w:rPr>
        <w:t>2023年增加区级公务员（2022年公务员医疗使用历年结余）、离休干部医疗费收支。</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610.96</w:t>
      </w:r>
      <w:r>
        <w:rPr>
          <w:rFonts w:hint="default" w:ascii="Times New Roman" w:hAnsi="Times New Roman" w:eastAsia="方正仿宋_GBK"/>
          <w:sz w:val="32"/>
          <w:szCs w:val="32"/>
          <w:shd w:val="clear" w:color="auto" w:fill="FFFFFF"/>
        </w:rPr>
        <w:t>万元，占8.29%；项目支出</w:t>
      </w:r>
      <w:r>
        <w:rPr>
          <w:rFonts w:hint="default" w:ascii="Times New Roman" w:hAnsi="Times New Roman" w:eastAsia="方正仿宋_GBK"/>
          <w:sz w:val="32"/>
          <w:szCs w:val="32"/>
        </w:rPr>
        <w:t>6757.25</w:t>
      </w:r>
      <w:r>
        <w:rPr>
          <w:rFonts w:hint="default" w:ascii="Times New Roman" w:hAnsi="Times New Roman" w:eastAsia="方正仿宋_GBK"/>
          <w:sz w:val="32"/>
          <w:szCs w:val="32"/>
          <w:shd w:val="clear" w:color="auto" w:fill="FFFFFF"/>
        </w:rPr>
        <w:t>万元，占91.71%；经营支出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31.28</w:t>
      </w:r>
      <w:r>
        <w:rPr>
          <w:rFonts w:hint="default" w:ascii="Times New Roman" w:hAnsi="Times New Roman" w:eastAsia="方正仿宋_GBK"/>
          <w:sz w:val="32"/>
          <w:szCs w:val="32"/>
          <w:shd w:val="clear" w:color="auto" w:fill="FFFFFF"/>
        </w:rPr>
        <w:t>万元，较上年决算数增加11.05万元，增长54.62%，主要原因是就业局返还公益性岗位工资五险。</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2023年度财政拨款收、支总计7399.49万元。与2022年相比，财政拨款收、支总计各增加1453.96万元，增长24.45%。主要原因是</w:t>
      </w:r>
      <w:r>
        <w:rPr>
          <w:rFonts w:hint="default" w:ascii="Times New Roman" w:hAnsi="Times New Roman" w:eastAsia="方正仿宋_GBK"/>
          <w:snapToGrid w:val="0"/>
          <w:sz w:val="32"/>
          <w:szCs w:val="32"/>
        </w:rPr>
        <w:t>2023年增加区级公务员（2022年公务员医疗使用历年结余）、离休干部医疗费收支。</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spacing w:line="520" w:lineRule="exact"/>
        <w:ind w:firstLine="642" w:firstLineChars="200"/>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7214.19</w:t>
      </w:r>
      <w:r>
        <w:rPr>
          <w:rFonts w:hint="default" w:ascii="Times New Roman" w:hAnsi="Times New Roman" w:eastAsia="方正仿宋_GBK"/>
          <w:sz w:val="32"/>
          <w:szCs w:val="32"/>
          <w:shd w:val="clear" w:color="auto" w:fill="FFFFFF"/>
        </w:rPr>
        <w:t>万元，较上年决算数增加1385.08万元，增长23.76%。主要原因是</w:t>
      </w:r>
      <w:r>
        <w:rPr>
          <w:rStyle w:val="10"/>
          <w:rFonts w:hint="default" w:ascii="Times New Roman" w:hAnsi="Times New Roman" w:eastAsia="方正仿宋_GBK"/>
          <w:b w:val="0"/>
          <w:sz w:val="32"/>
          <w:szCs w:val="32"/>
          <w:shd w:val="clear" w:color="auto" w:fill="FFFFFF"/>
        </w:rPr>
        <w:t>2023年增加区级公务员（2022年公务员医疗使用历年结余）、离休干部医疗费收支。</w:t>
      </w:r>
      <w:r>
        <w:rPr>
          <w:rFonts w:hint="default" w:ascii="Times New Roman" w:hAnsi="Times New Roman" w:eastAsia="方正仿宋_GBK"/>
          <w:sz w:val="32"/>
          <w:szCs w:val="32"/>
          <w:shd w:val="clear" w:color="auto" w:fill="FFFFFF"/>
        </w:rPr>
        <w:t>较年初预算数减少1331.09万元，下降15.58%。主要原因是</w:t>
      </w:r>
      <w:r>
        <w:rPr>
          <w:rFonts w:hint="default" w:ascii="Times New Roman" w:hAnsi="Times New Roman" w:eastAsia="方正仿宋_GBK"/>
          <w:color w:val="FF0000"/>
          <w:sz w:val="32"/>
          <w:szCs w:val="32"/>
          <w:shd w:val="clear" w:color="auto" w:fill="FFFFFF"/>
        </w:rPr>
        <w:t>.</w:t>
      </w:r>
      <w:r>
        <w:rPr>
          <w:rFonts w:hint="default" w:ascii="Times New Roman" w:hAnsi="Times New Roman" w:eastAsia="方正仿宋_GBK"/>
          <w:sz w:val="32"/>
          <w:szCs w:val="32"/>
          <w:shd w:val="clear" w:color="auto" w:fill="FFFFFF"/>
        </w:rPr>
        <w:t>城乡居民医保财政配套资金纳入财政代编决算。此外，年初财政拨款结转和结余</w:t>
      </w:r>
      <w:r>
        <w:rPr>
          <w:rFonts w:hint="default" w:ascii="Times New Roman" w:hAnsi="Times New Roman" w:eastAsia="方正仿宋_GBK"/>
          <w:sz w:val="32"/>
          <w:szCs w:val="32"/>
        </w:rPr>
        <w:t>185.29</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7368.20</w:t>
      </w:r>
      <w:r>
        <w:rPr>
          <w:rFonts w:hint="default" w:ascii="Times New Roman" w:hAnsi="Times New Roman" w:eastAsia="方正仿宋_GBK"/>
          <w:sz w:val="32"/>
          <w:szCs w:val="32"/>
          <w:shd w:val="clear" w:color="auto" w:fill="FFFFFF"/>
        </w:rPr>
        <w:t>万元，较上年决算数增加1528.90万元，增长26.18%。主要原因是</w:t>
      </w:r>
      <w:r>
        <w:rPr>
          <w:rStyle w:val="10"/>
          <w:rFonts w:hint="default" w:ascii="Times New Roman" w:hAnsi="Times New Roman" w:eastAsia="方正仿宋_GBK"/>
          <w:b w:val="0"/>
          <w:sz w:val="32"/>
          <w:szCs w:val="32"/>
          <w:shd w:val="clear" w:color="auto" w:fill="FFFFFF"/>
        </w:rPr>
        <w:t>2023年增加区级公务员（2022年公务员医疗使用历年结余）、离休干部医疗费收支。</w:t>
      </w:r>
      <w:r>
        <w:rPr>
          <w:rFonts w:hint="default" w:ascii="Times New Roman" w:hAnsi="Times New Roman" w:eastAsia="方正仿宋_GBK"/>
          <w:sz w:val="32"/>
          <w:szCs w:val="32"/>
          <w:shd w:val="clear" w:color="auto" w:fill="FFFFFF"/>
        </w:rPr>
        <w:t>较年初预算数减少1177.08万元，下降13.77%。主要原因是城乡居民医保财政配套资金纳入财政代编决算。</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31.28</w:t>
      </w:r>
      <w:r>
        <w:rPr>
          <w:rFonts w:hint="default" w:ascii="Times New Roman" w:hAnsi="Times New Roman" w:eastAsia="方正仿宋_GBK"/>
          <w:sz w:val="32"/>
          <w:szCs w:val="32"/>
          <w:shd w:val="clear" w:color="auto" w:fill="FFFFFF"/>
        </w:rPr>
        <w:t>万元，较上年决算数增加11.05万元，增长54.62%，主要原因是就业局返还公益性岗位工资五险。</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Cs/>
          <w:sz w:val="32"/>
          <w:szCs w:val="32"/>
          <w:shd w:val="clear" w:color="auto" w:fill="FFFFFF"/>
        </w:rPr>
        <w:t>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130.49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1.77</w:t>
      </w:r>
      <w:r>
        <w:rPr>
          <w:rFonts w:hint="default" w:ascii="Times New Roman" w:hAnsi="Times New Roman" w:eastAsia="方正仿宋_GBK"/>
          <w:sz w:val="32"/>
          <w:szCs w:val="32"/>
          <w:shd w:val="clear" w:color="auto" w:fill="FFFFFF"/>
        </w:rPr>
        <w:t>%，较年初预算数增加53.10万元，增长68.61%，主要原因是调整存量资金44.24万元和2023年较上年增加5名工作人员7个月支出。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7205.25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97.79</w:t>
      </w:r>
      <w:r>
        <w:rPr>
          <w:rFonts w:hint="default" w:ascii="Times New Roman" w:hAnsi="Times New Roman" w:eastAsia="方正仿宋_GBK"/>
          <w:sz w:val="32"/>
          <w:szCs w:val="32"/>
          <w:shd w:val="clear" w:color="auto" w:fill="FFFFFF"/>
        </w:rPr>
        <w:t>%，较年初预算数减少1219.66万元，下降14.48%，主要原因是城乡居民医保财政配套资金纳入财政代编决算。</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（3）资源勘探信息等支出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%，较年初预算数减少3.00万元，下降100.00%，主要原因是</w:t>
      </w:r>
      <w:r>
        <w:rPr>
          <w:rFonts w:hint="default" w:ascii="Times New Roman" w:hAnsi="Times New Roman" w:eastAsia="方正仿宋_GBK"/>
          <w:color w:val="000000" w:themeColor="text1"/>
          <w:sz w:val="32"/>
          <w:szCs w:val="32"/>
          <w:shd w:val="clear" w:color="auto" w:fill="FFFFFF"/>
        </w:rPr>
        <w:t>年初预算编制功能科目选错，年中调整。</w:t>
      </w:r>
    </w:p>
    <w:p>
      <w:pPr>
        <w:spacing w:line="52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住房保障支出32.46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0.44</w:t>
      </w:r>
      <w:r>
        <w:rPr>
          <w:rFonts w:hint="default" w:ascii="Times New Roman" w:hAnsi="Times New Roman" w:eastAsia="方正仿宋_GBK"/>
          <w:sz w:val="32"/>
          <w:szCs w:val="32"/>
          <w:shd w:val="clear" w:color="auto" w:fill="FFFFFF"/>
        </w:rPr>
        <w:t>%，较年初预算数减少7.53万元，下降18.83%，主要原因是年中财政追减。</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610.96</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540.99</w:t>
      </w:r>
      <w:r>
        <w:rPr>
          <w:rFonts w:hint="default" w:ascii="Times New Roman" w:hAnsi="Times New Roman" w:eastAsia="方正仿宋_GBK"/>
          <w:sz w:val="32"/>
          <w:szCs w:val="32"/>
          <w:shd w:val="clear" w:color="auto" w:fill="FFFFFF"/>
        </w:rPr>
        <w:t>万元，较上年决算数增加70.89万元，增长15.08%，主要原因是2023年较上年增加5名工作人员7个月支出。人员经费用途主要包括</w:t>
      </w:r>
      <w:r>
        <w:rPr>
          <w:rFonts w:hint="default" w:ascii="Times New Roman" w:hAnsi="Times New Roman" w:eastAsia="方正仿宋_GBK"/>
          <w:snapToGrid w:val="0"/>
          <w:sz w:val="32"/>
          <w:szCs w:val="32"/>
        </w:rPr>
        <w:t>基本工资、津贴补贴、奖金、社会保障缴费等支出。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69.96</w:t>
      </w:r>
      <w:r>
        <w:rPr>
          <w:rFonts w:hint="default" w:ascii="Times New Roman" w:hAnsi="Times New Roman" w:eastAsia="方正仿宋_GBK"/>
          <w:sz w:val="32"/>
          <w:szCs w:val="32"/>
          <w:shd w:val="clear" w:color="auto" w:fill="FFFFFF"/>
        </w:rPr>
        <w:t>万元，较上年决算数减少9.56万元，下降12.02%，主要原因是</w:t>
      </w:r>
      <w:r>
        <w:rPr>
          <w:rFonts w:hint="default" w:ascii="Times New Roman" w:hAnsi="Times New Roman" w:eastAsia="方正仿宋_GBK"/>
          <w:color w:val="000000" w:themeColor="text1"/>
          <w:sz w:val="32"/>
          <w:szCs w:val="32"/>
          <w:shd w:val="clear" w:color="auto" w:fill="FFFFFF"/>
        </w:rPr>
        <w:t>年中财政追减指标，公用经费用途主要包括</w:t>
      </w:r>
      <w:r>
        <w:rPr>
          <w:rFonts w:hint="default" w:ascii="Times New Roman" w:hAnsi="Times New Roman" w:eastAsia="方正仿宋_GBK"/>
          <w:snapToGrid w:val="0"/>
          <w:color w:val="000000" w:themeColor="text1"/>
          <w:sz w:val="32"/>
          <w:szCs w:val="32"/>
        </w:rPr>
        <w:t>办公费、邮电费、</w:t>
      </w:r>
      <w:r>
        <w:rPr>
          <w:rFonts w:hint="default" w:ascii="Times New Roman" w:hAnsi="Times New Roman" w:eastAsia="方正仿宋_GBK"/>
          <w:snapToGrid w:val="0"/>
          <w:sz w:val="32"/>
          <w:szCs w:val="32"/>
        </w:rPr>
        <w:t>工会经费、手续费、其他商品服务支出等支出。</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万元，较上年决算数减少86.00万元，下降100.00%，主要原因是2023年无彩票公益金安排的支出用于城乡医疗救助的彩票公益金支出。本年支出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万元，较上年决算数减少86.00万元，下降100.00%，主要原因是2023年无彩票公益金安排的支出用于城乡医疗救助的彩票公益金支出。</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pStyle w:val="6"/>
        <w:snapToGrid w:val="0"/>
        <w:spacing w:before="0" w:beforeAutospacing="0" w:after="0" w:afterAutospacing="0" w:line="520" w:lineRule="exact"/>
        <w:ind w:firstLine="640" w:firstLineChars="200"/>
        <w:jc w:val="both"/>
        <w:rPr>
          <w:rStyle w:val="10"/>
          <w:rFonts w:hint="default" w:ascii="Times New Roman" w:hAnsi="Times New Roman" w:eastAsia="方正仿宋_GBK"/>
          <w:b w:val="0"/>
          <w:sz w:val="32"/>
          <w:szCs w:val="32"/>
          <w:shd w:val="clear" w:color="auto" w:fill="FFFFFF"/>
        </w:rPr>
      </w:pPr>
      <w:r>
        <w:rPr>
          <w:rStyle w:val="10"/>
          <w:rFonts w:hint="default" w:ascii="Times New Roman" w:hAnsi="Times New Roman" w:eastAsia="方正仿宋_GBK"/>
          <w:b w:val="0"/>
          <w:sz w:val="32"/>
          <w:szCs w:val="32"/>
          <w:shd w:val="clear" w:color="auto" w:fill="FFFFFF"/>
        </w:rPr>
        <w:t> 本部门2023年度无国有资本经营预算财政拨款支出。</w:t>
      </w:r>
    </w:p>
    <w:p>
      <w:pPr>
        <w:spacing w:line="52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三、</w:t>
      </w:r>
      <w:r>
        <w:rPr>
          <w:rFonts w:hint="default" w:ascii="方正黑体_GBK" w:hAnsi="方正黑体_GBK" w:eastAsia="方正黑体_GBK" w:cs="方正黑体_GBK"/>
          <w:sz w:val="32"/>
          <w:szCs w:val="32"/>
        </w:rPr>
        <w:t>“三公”经费情况说明</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1.35</w:t>
      </w:r>
      <w:r>
        <w:rPr>
          <w:rFonts w:hint="default" w:ascii="Times New Roman" w:hAnsi="Times New Roman" w:eastAsia="方正仿宋_GBK"/>
          <w:sz w:val="32"/>
          <w:szCs w:val="32"/>
          <w:shd w:val="clear" w:color="auto" w:fill="FFFFFF"/>
        </w:rPr>
        <w:t>万元，较年初预算数减少4.65万元，下降77.50%，主要原因是</w:t>
      </w:r>
      <w:r>
        <w:rPr>
          <w:rFonts w:hint="default" w:ascii="Times New Roman" w:hAnsi="Times New Roman" w:eastAsia="方正仿宋_GBK"/>
          <w:color w:val="000000" w:themeColor="text1"/>
          <w:sz w:val="32"/>
          <w:szCs w:val="32"/>
          <w:shd w:val="clear" w:color="auto" w:fill="FFFFFF"/>
        </w:rPr>
        <w:t>公务接待人次和次数比预计减少。</w:t>
      </w:r>
      <w:r>
        <w:rPr>
          <w:rFonts w:hint="default" w:ascii="Times New Roman" w:hAnsi="Times New Roman" w:eastAsia="方正仿宋_GBK"/>
          <w:sz w:val="32"/>
          <w:szCs w:val="32"/>
          <w:shd w:val="clear" w:color="auto" w:fill="FFFFFF"/>
        </w:rPr>
        <w:t>较上年支出数减少1.78万元，下降56.87%，主要原因是推行绿色出行、节能减排降低</w:t>
      </w:r>
      <w:r>
        <w:rPr>
          <w:rFonts w:hint="default" w:ascii="Times New Roman" w:hAnsi="Times New Roman" w:eastAsia="方正仿宋_GBK"/>
          <w:color w:val="000000" w:themeColor="text1"/>
          <w:sz w:val="32"/>
          <w:szCs w:val="32"/>
          <w:shd w:val="clear" w:color="auto" w:fill="FFFFFF"/>
        </w:rPr>
        <w:t>车辆运行经费。</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2023年度本单位未发生因公出国（境）费用</w:t>
      </w:r>
      <w:r>
        <w:rPr>
          <w:rFonts w:ascii="方正仿宋_GBK" w:hAnsi="方正仿宋_GBK" w:eastAsia="方正仿宋_GBK" w:cs="方正仿宋_GBK"/>
          <w:sz w:val="32"/>
          <w:szCs w:val="32"/>
        </w:rPr>
        <w:t>，与年初预算数和上年决算数</w:t>
      </w:r>
      <w:r>
        <w:rPr>
          <w:rFonts w:ascii="方正仿宋_GBK" w:hAnsi="方正仿宋_GBK" w:eastAsia="方正仿宋_GBK" w:cs="方正仿宋_GBK"/>
          <w:sz w:val="32"/>
          <w:szCs w:val="32"/>
          <w:shd w:val="clear" w:color="auto" w:fill="FFFFFF"/>
        </w:rPr>
        <w:t>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2023年度本单位未发生</w:t>
      </w:r>
      <w:r>
        <w:rPr>
          <w:rFonts w:hint="default" w:ascii="Times New Roman" w:hAnsi="Times New Roman" w:eastAsia="方正仿宋_GBK"/>
          <w:sz w:val="32"/>
          <w:szCs w:val="32"/>
          <w:shd w:val="clear" w:color="auto" w:fill="FFFFFF"/>
        </w:rPr>
        <w:t>公务车购置</w:t>
      </w:r>
      <w:r>
        <w:rPr>
          <w:rFonts w:ascii="方正仿宋_GBK" w:hAnsi="方正仿宋_GBK" w:eastAsia="方正仿宋_GBK" w:cs="方正仿宋_GBK"/>
          <w:sz w:val="32"/>
          <w:szCs w:val="32"/>
          <w:shd w:val="clear" w:color="auto" w:fill="FFFFFF"/>
        </w:rPr>
        <w:t>费用</w:t>
      </w:r>
      <w:r>
        <w:rPr>
          <w:rFonts w:ascii="方正仿宋_GBK" w:hAnsi="方正仿宋_GBK" w:eastAsia="方正仿宋_GBK" w:cs="方正仿宋_GBK"/>
          <w:sz w:val="32"/>
          <w:szCs w:val="32"/>
        </w:rPr>
        <w:t>，与年初预算数和上年决算数</w:t>
      </w:r>
      <w:r>
        <w:rPr>
          <w:rFonts w:ascii="方正仿宋_GBK" w:hAnsi="方正仿宋_GBK" w:eastAsia="方正仿宋_GBK" w:cs="方正仿宋_GBK"/>
          <w:sz w:val="32"/>
          <w:szCs w:val="32"/>
          <w:shd w:val="clear" w:color="auto" w:fill="FFFFFF"/>
        </w:rPr>
        <w:t>持平。</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万元，主要用于</w:t>
      </w:r>
      <w:r>
        <w:rPr>
          <w:rFonts w:hint="default" w:ascii="Times New Roman" w:hAnsi="Times New Roman" w:eastAsia="方正仿宋_GBK"/>
          <w:snapToGrid w:val="0"/>
          <w:sz w:val="32"/>
          <w:szCs w:val="32"/>
        </w:rPr>
        <w:t>车辆燃油费、路桥费、洗车费等支出。</w:t>
      </w:r>
      <w:r>
        <w:rPr>
          <w:rFonts w:hint="default" w:ascii="Times New Roman" w:hAnsi="Times New Roman" w:eastAsia="方正仿宋_GBK"/>
          <w:sz w:val="32"/>
          <w:szCs w:val="32"/>
          <w:shd w:val="clear" w:color="auto" w:fill="FFFFFF"/>
        </w:rPr>
        <w:t>费用支出较年初预算数减少2.00万元，下降66.67%，主要原因是推行绿色出行、节能减排降低</w:t>
      </w:r>
      <w:r>
        <w:rPr>
          <w:rFonts w:hint="default" w:ascii="Times New Roman" w:hAnsi="Times New Roman" w:eastAsia="方正仿宋_GBK"/>
          <w:color w:val="000000" w:themeColor="text1"/>
          <w:sz w:val="32"/>
          <w:szCs w:val="32"/>
          <w:shd w:val="clear" w:color="auto" w:fill="FFFFFF"/>
        </w:rPr>
        <w:t>车辆运行经费。</w:t>
      </w:r>
      <w:r>
        <w:rPr>
          <w:rFonts w:hint="default" w:ascii="Times New Roman" w:hAnsi="Times New Roman" w:eastAsia="方正仿宋_GBK"/>
          <w:sz w:val="32"/>
          <w:szCs w:val="32"/>
          <w:shd w:val="clear" w:color="auto" w:fill="FFFFFF"/>
        </w:rPr>
        <w:t>较上年支出数减少1.85万元，下降64.91%，主要原因是推行绿色出行、节能减排降低</w:t>
      </w:r>
      <w:r>
        <w:rPr>
          <w:rFonts w:hint="default" w:ascii="Times New Roman" w:hAnsi="Times New Roman" w:eastAsia="方正仿宋_GBK"/>
          <w:color w:val="000000" w:themeColor="text1"/>
          <w:sz w:val="32"/>
          <w:szCs w:val="32"/>
          <w:shd w:val="clear" w:color="auto" w:fill="FFFFFF"/>
        </w:rPr>
        <w:t>车辆运行经费。</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0.35</w:t>
      </w:r>
      <w:r>
        <w:rPr>
          <w:rFonts w:hint="default" w:ascii="Times New Roman" w:hAnsi="Times New Roman" w:eastAsia="方正仿宋_GBK"/>
          <w:sz w:val="32"/>
          <w:szCs w:val="32"/>
          <w:shd w:val="clear" w:color="auto" w:fill="FFFFFF"/>
        </w:rPr>
        <w:t>万元，主要用于接待</w:t>
      </w:r>
      <w:r>
        <w:rPr>
          <w:rFonts w:hint="default" w:ascii="Times New Roman" w:hAnsi="Times New Roman" w:eastAsia="方正仿宋_GBK"/>
          <w:color w:val="000000" w:themeColor="text1"/>
          <w:sz w:val="32"/>
          <w:szCs w:val="32"/>
          <w:shd w:val="clear" w:color="auto" w:fill="FFFFFF"/>
        </w:rPr>
        <w:t>飞行检查和市局调研。</w:t>
      </w:r>
      <w:r>
        <w:rPr>
          <w:rFonts w:hint="default" w:ascii="Times New Roman" w:hAnsi="Times New Roman" w:eastAsia="方正仿宋_GBK"/>
          <w:sz w:val="32"/>
          <w:szCs w:val="32"/>
          <w:shd w:val="clear" w:color="auto" w:fill="FFFFFF"/>
        </w:rPr>
        <w:t>费用支出较年初预算数减少2.65万元，下降88.33%，主要原因是</w:t>
      </w:r>
      <w:r>
        <w:rPr>
          <w:rFonts w:hint="default" w:ascii="Times New Roman" w:hAnsi="Times New Roman" w:eastAsia="方正仿宋_GBK"/>
          <w:color w:val="000000" w:themeColor="text1"/>
          <w:sz w:val="32"/>
          <w:szCs w:val="32"/>
          <w:shd w:val="clear" w:color="auto" w:fill="FFFFFF"/>
        </w:rPr>
        <w:t>公务接待人次和次数比预计减少。</w:t>
      </w:r>
      <w:r>
        <w:rPr>
          <w:rFonts w:hint="default" w:ascii="Times New Roman" w:hAnsi="Times New Roman" w:eastAsia="方正仿宋_GBK"/>
          <w:sz w:val="32"/>
          <w:szCs w:val="32"/>
          <w:shd w:val="clear" w:color="auto" w:fill="FFFFFF"/>
        </w:rPr>
        <w:t>较上年支出数增加0.07万元，增长25.00%，主要原因是</w:t>
      </w:r>
      <w:r>
        <w:rPr>
          <w:rFonts w:hint="default" w:ascii="Times New Roman" w:hAnsi="Times New Roman" w:eastAsia="方正仿宋_GBK"/>
          <w:color w:val="000000" w:themeColor="text1"/>
          <w:sz w:val="32"/>
          <w:szCs w:val="32"/>
          <w:shd w:val="clear" w:color="auto" w:fill="FFFFFF"/>
        </w:rPr>
        <w:t>接待人次较上年增加。</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38</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92.37</w:t>
      </w:r>
      <w:r>
        <w:rPr>
          <w:rFonts w:hint="default" w:ascii="Times New Roman" w:hAnsi="Times New Roman" w:eastAsia="方正仿宋_GBK"/>
          <w:sz w:val="32"/>
          <w:szCs w:val="32"/>
          <w:shd w:val="clear" w:color="auto" w:fill="FFFFFF"/>
        </w:rPr>
        <w:t>元，车均购置费0万元，车均维护费1.00万元。</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pStyle w:val="6"/>
        <w:snapToGrid w:val="0"/>
        <w:spacing w:before="0" w:beforeAutospacing="0" w:after="0" w:afterAutospacing="0" w:line="520" w:lineRule="exact"/>
        <w:ind w:firstLine="640" w:firstLineChars="200"/>
        <w:jc w:val="both"/>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本年度会议费支出1.20万元，较上年决算数增加0.59万元，增长96.72%，主要原因是召开会议次数较上年增加。本年度培训费支出0.43万元，较上年决算数增加0.29万元，增长207.14%，主要原因是</w:t>
      </w:r>
      <w:r>
        <w:rPr>
          <w:rFonts w:hint="default" w:ascii="Times New Roman" w:hAnsi="Times New Roman" w:eastAsia="方正仿宋_GBK"/>
          <w:snapToGrid w:val="0"/>
          <w:sz w:val="32"/>
          <w:szCs w:val="32"/>
        </w:rPr>
        <w:t>培训次数、人数较上年增加</w:t>
      </w:r>
      <w:r>
        <w:rPr>
          <w:rFonts w:hint="default" w:ascii="Times New Roman" w:hAnsi="Times New Roman" w:eastAsia="方正仿宋_GBK"/>
          <w:sz w:val="32"/>
          <w:szCs w:val="32"/>
          <w:shd w:val="clear" w:color="auto" w:fill="FFFFFF"/>
        </w:rPr>
        <w:t>。</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69.96</w:t>
      </w:r>
      <w:r>
        <w:rPr>
          <w:rFonts w:hint="default" w:ascii="Times New Roman" w:hAnsi="Times New Roman" w:eastAsia="方正仿宋_GBK"/>
          <w:sz w:val="32"/>
          <w:szCs w:val="32"/>
          <w:shd w:val="clear" w:color="auto" w:fill="FFFFFF"/>
        </w:rPr>
        <w:t>万元，机关运行经费主要用于开支公务车运行、其他交通费、办公费、水电费等。机关运行经费较上年支出数减少9.56万元，下降12.02%，主要原</w:t>
      </w:r>
      <w:r>
        <w:rPr>
          <w:rFonts w:hint="default" w:ascii="Times New Roman" w:hAnsi="Times New Roman" w:eastAsia="方正仿宋_GBK"/>
          <w:color w:val="000000" w:themeColor="text1"/>
          <w:sz w:val="32"/>
          <w:szCs w:val="32"/>
          <w:shd w:val="clear" w:color="auto" w:fill="FFFFFF"/>
        </w:rPr>
        <w:t>因是财政年中追减公用经费。</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w:t>
      </w:r>
      <w:r>
        <w:rPr>
          <w:rFonts w:ascii="Times New Roman" w:hAnsi="Times New Roman" w:eastAsia="方正仿宋_GBK"/>
          <w:sz w:val="32"/>
          <w:szCs w:val="32"/>
          <w:shd w:val="clear" w:color="auto" w:fill="FFFFFF"/>
        </w:rPr>
        <w:t>领导干部</w:t>
      </w:r>
      <w:r>
        <w:rPr>
          <w:rFonts w:hint="default" w:ascii="Times New Roman" w:hAnsi="Times New Roman" w:eastAsia="方正仿宋_GBK"/>
          <w:sz w:val="32"/>
          <w:szCs w:val="32"/>
          <w:shd w:val="clear" w:color="auto" w:fill="FFFFFF"/>
        </w:rPr>
        <w:t>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ascii="Times New Roman" w:hAnsi="Times New Roman" w:eastAsia="方正仿宋_GBK"/>
          <w:sz w:val="32"/>
          <w:szCs w:val="32"/>
          <w:shd w:val="clear" w:color="auto" w:fill="FFFFFF"/>
        </w:rPr>
        <w:t>（不含车辆）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pStyle w:val="11"/>
        <w:autoSpaceDE w:val="0"/>
        <w:spacing w:line="52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2023年度本部门政府采购支出总额</w:t>
      </w:r>
      <w:r>
        <w:rPr>
          <w:rFonts w:ascii="Times New Roman" w:hAnsi="Times New Roman" w:eastAsia="方正仿宋_GBK"/>
          <w:sz w:val="32"/>
          <w:szCs w:val="32"/>
        </w:rPr>
        <w:t>40.84</w:t>
      </w:r>
      <w:r>
        <w:rPr>
          <w:rFonts w:ascii="Times New Roman" w:hAnsi="Times New Roman" w:eastAsia="方正仿宋_GBK"/>
          <w:sz w:val="32"/>
          <w:szCs w:val="32"/>
          <w:shd w:val="clear" w:color="auto" w:fill="FFFFFF"/>
        </w:rPr>
        <w:t>万元，其中：政府采购货物支出</w:t>
      </w:r>
      <w:r>
        <w:rPr>
          <w:rFonts w:ascii="Times New Roman" w:hAnsi="Times New Roman" w:eastAsia="方正仿宋_GBK"/>
          <w:sz w:val="32"/>
          <w:szCs w:val="32"/>
        </w:rPr>
        <w:t>40.84</w:t>
      </w:r>
      <w:r>
        <w:rPr>
          <w:rFonts w:ascii="Times New Roman" w:hAnsi="Times New Roman" w:eastAsia="方正仿宋_GBK"/>
          <w:sz w:val="32"/>
          <w:szCs w:val="32"/>
          <w:shd w:val="clear" w:color="auto" w:fill="FFFFFF"/>
        </w:rPr>
        <w:t>万元、政府采购工程支出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万元、政府采购服务支出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万元。授予中小企业合同金额</w:t>
      </w:r>
      <w:r>
        <w:rPr>
          <w:rFonts w:ascii="Times New Roman" w:hAnsi="Times New Roman" w:eastAsia="方正仿宋_GBK"/>
          <w:sz w:val="32"/>
          <w:szCs w:val="32"/>
        </w:rPr>
        <w:t>40.84万</w:t>
      </w:r>
      <w:r>
        <w:rPr>
          <w:rFonts w:ascii="Times New Roman" w:hAnsi="Times New Roman" w:eastAsia="方正仿宋_GBK"/>
          <w:sz w:val="32"/>
          <w:szCs w:val="32"/>
          <w:shd w:val="clear" w:color="auto" w:fill="FFFFFF"/>
        </w:rPr>
        <w:t>元，占政府采购支出总额的</w:t>
      </w:r>
      <w:r>
        <w:rPr>
          <w:rFonts w:ascii="Times New Roman" w:hAnsi="Times New Roman" w:eastAsia="方正仿宋_GBK"/>
          <w:sz w:val="32"/>
          <w:szCs w:val="32"/>
        </w:rPr>
        <w:t>100.00</w:t>
      </w:r>
      <w:r>
        <w:rPr>
          <w:rFonts w:ascii="Times New Roman" w:hAnsi="Times New Roman" w:eastAsia="方正仿宋_GBK"/>
          <w:sz w:val="32"/>
          <w:szCs w:val="32"/>
          <w:shd w:val="clear" w:color="auto" w:fill="FFFFFF"/>
        </w:rPr>
        <w:t>%，其中：授予小微企业合同金额</w:t>
      </w:r>
      <w:r>
        <w:rPr>
          <w:rFonts w:ascii="Times New Roman" w:hAnsi="Times New Roman" w:eastAsia="方正仿宋_GBK"/>
          <w:sz w:val="32"/>
          <w:szCs w:val="32"/>
        </w:rPr>
        <w:t>40.84</w:t>
      </w:r>
      <w:r>
        <w:rPr>
          <w:rFonts w:ascii="Times New Roman" w:hAnsi="Times New Roman" w:eastAsia="方正仿宋_GBK"/>
          <w:sz w:val="32"/>
          <w:szCs w:val="32"/>
          <w:shd w:val="clear" w:color="auto" w:fill="FFFFFF"/>
        </w:rPr>
        <w:t>万元，占政府采购支出总额的100.00 %。主要用于采购办公电脑、正版办公软件。</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五、预算绩效管理情况说明</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（一）部门自评情况</w:t>
      </w:r>
    </w:p>
    <w:p>
      <w:pPr>
        <w:pStyle w:val="12"/>
        <w:autoSpaceDE w:val="0"/>
        <w:spacing w:before="0" w:beforeAutospacing="0" w:after="0" w:afterAutospacing="0" w:line="52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根据预算绩效管理要求，我部门对部门整体和13个二级项目开展了绩效自评，涉及财政拨款项目支出资金6757.24万元。部门整体绩效自评表（见附件）。</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（二）部门绩效评价情况</w:t>
      </w:r>
    </w:p>
    <w:p>
      <w:pPr>
        <w:pStyle w:val="14"/>
        <w:autoSpaceDE w:val="0"/>
        <w:spacing w:line="52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我部门对离休人员医疗费开展了绩效评价，涉及财政拨款项目资金254.89万元，评价得分100分，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发现问题；对单双解人员市级配套开展了绩效评价，涉及财政拨款项目资金18万元，评价得分100分，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发现问题；对单双解人员县参保配套资金开展了绩效评价，涉及财政拨款项目资金20万元，</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发现问题；对医疗救助（中央）开展了绩效评价，涉及财政拨款项目资金1467万元，评价得分100分，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发现问题；对医疗救助（市级）开展了绩效评价，涉及财政拨款项目资金2396万元，评价得分100分，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发现问题；对公务员医疗开展了绩效评价，涉及财政拨款项目资金2209万元，评价得分100分，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发现问题等。</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pStyle w:val="11"/>
        <w:autoSpaceDE w:val="0"/>
        <w:spacing w:line="52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市财政局未委托第三方对我部门开展绩效评价。</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（二）其他收入：</w:t>
      </w:r>
      <w:r>
        <w:rPr>
          <w:rFonts w:hint="default" w:ascii="Times New Roman" w:hAnsi="Times New Roman" w:eastAsia="方正仿宋_GBK"/>
          <w:sz w:val="32"/>
          <w:szCs w:val="32"/>
          <w:shd w:val="clear" w:color="auto" w:fill="FFFFFF"/>
        </w:rPr>
        <w:t>指单位取得的除“财政拨款收入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（三） 使用非财政拨款结余：</w:t>
      </w:r>
      <w:r>
        <w:rPr>
          <w:rFonts w:hint="default" w:ascii="Times New Roman" w:hAnsi="Times New Roman" w:eastAsia="方正仿宋_GBK"/>
          <w:sz w:val="32"/>
          <w:szCs w:val="32"/>
          <w:shd w:val="clear" w:color="auto" w:fill="FFFFFF"/>
        </w:rPr>
        <w:t>指单位在当年的“财政拨款收入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（四）年初结转和结余：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（五）结余分配：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（六）年末结转和结余：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（七）基本支出：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（八）项目支出：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（九）“三公”经费：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（十）机关运行经费：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（十一）工资福利支出（支出经济分类科目类级）：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（十二）商品和服务支出（支出经济分类科目类级）：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Fonts w:hint="default" w:ascii="方正楷体_GBK" w:hAnsi="方正楷体_GBK" w:eastAsia="方正楷体_GBK" w:cs="方正楷体_GBK"/>
          <w:sz w:val="32"/>
          <w:szCs w:val="32"/>
        </w:rPr>
        <w:t>（十三）对个人和家庭的补助（支出经济分类科目类级）：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（十四）其他资本性支出（支出经济分类科目类级）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pacing w:beforeAutospacing="0" w:after="0" w:afterAutospacing="0"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七、决算公开联系方式及信息反馈渠道</w:t>
      </w:r>
    </w:p>
    <w:p>
      <w:pPr>
        <w:pStyle w:val="6"/>
        <w:spacing w:beforeAutospacing="0" w:after="0" w:afterAutospacing="0"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本单位决算公开信息反馈和联系方式：</w:t>
      </w:r>
    </w:p>
    <w:p>
      <w:pPr>
        <w:pStyle w:val="6"/>
        <w:spacing w:beforeAutospacing="0" w:after="0" w:afterAutospacing="0" w:line="520" w:lineRule="exact"/>
        <w:ind w:firstLine="640" w:firstLineChars="200"/>
        <w:rPr>
          <w:rStyle w:val="10"/>
          <w:rFonts w:ascii="Times New Roman" w:hAnsi="Times New Roman" w:eastAsia="方正仿宋_GBK"/>
          <w:b w:val="0"/>
          <w:sz w:val="32"/>
          <w:szCs w:val="32"/>
          <w:shd w:val="clear" w:color="auto" w:fill="FFFF00"/>
        </w:rPr>
      </w:pPr>
      <w:r>
        <w:rPr>
          <w:rFonts w:hint="default" w:ascii="Times New Roman" w:hAnsi="Times New Roman" w:eastAsia="方正仿宋_GBK"/>
          <w:snapToGrid w:val="0"/>
          <w:sz w:val="32"/>
          <w:szCs w:val="32"/>
        </w:rPr>
        <w:t>李云淑  023-81858113</w:t>
      </w:r>
      <w:bookmarkStart w:id="0" w:name="_GoBack"/>
      <w:bookmarkEnd w:id="0"/>
    </w:p>
    <w:p>
      <w:pPr>
        <w:pStyle w:val="6"/>
        <w:spacing w:beforeAutospacing="0" w:after="0" w:afterAutospacing="0" w:line="520" w:lineRule="exact"/>
        <w:ind w:firstLine="640" w:firstLineChars="200"/>
        <w:rPr>
          <w:rFonts w:hint="default" w:ascii="Times New Roman" w:hAnsi="Times New Roman" w:eastAsia="方正仿宋_GBK"/>
          <w:snapToGrid w:val="0"/>
          <w:sz w:val="32"/>
          <w:szCs w:val="32"/>
        </w:rPr>
        <w:sectPr>
          <w:footerReference r:id="rId3" w:type="default"/>
          <w:pgSz w:w="11915" w:h="16840"/>
          <w:pgMar w:top="2098" w:right="1446" w:bottom="1984" w:left="1446" w:header="851" w:footer="992" w:gutter="0"/>
          <w:pgNumType w:fmt="numberInDash"/>
          <w:cols w:space="720" w:num="1"/>
          <w:docGrid w:type="lines" w:linePitch="312" w:charSpace="0"/>
        </w:sectPr>
      </w:pPr>
      <w:r>
        <w:rPr>
          <w:rFonts w:hint="eastAsia" w:ascii="Times New Roman" w:hAnsi="Times New Roman" w:eastAsia="方正仿宋_GBK"/>
          <w:snapToGrid w:val="0"/>
          <w:sz w:val="32"/>
          <w:szCs w:val="32"/>
        </w:rPr>
        <w:t>附件：丰都县医疗保障局2023年绩效自评表</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重庆市丰都县医疗保障局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7,214.19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130.49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7,205.25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32.46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7,214.19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7,368.20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31.28</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7,399.49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7,399.49</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重庆市丰都县医疗保障局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7,214.19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7,214.19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7,095.67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7,095.67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2,218.19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2,218.19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重庆市丰都县医疗保障局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7,368.20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610.96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6,757.25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7,205.25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6,712.82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2,463.90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2,218.19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重庆市丰都县医疗保障局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7,214.19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7,214.19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7,368.20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7,368.20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7,399.49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7,399.49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7,399.49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重庆市丰都县医疗保障局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7,368.20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610.96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6,757.25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44.42</w:t>
            </w:r>
            <w:r>
              <w:rPr>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492.43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6,712.82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2,493.68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2,463.90</w:t>
            </w:r>
            <w:r>
              <w:rPr>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2,218.19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2,209.00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3,908.99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3,908.99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3,863.00</w:t>
            </w: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462.65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339.93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w:t>
            </w: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171.69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158.40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重庆市丰都县医疗保障局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540.99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69.96</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重庆市丰都县医疗保障局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重庆市丰都县医疗保障局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重庆市丰都县医疗保障局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69.96</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1.35</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67.22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0.35</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40.84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40.84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40.84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40.84</w:t>
            </w: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iZGU4OWY5NzlkMzZiMjNiMmNjZDQzNTJhMWVhYWEifQ=="/>
  </w:docVars>
  <w:rsids>
    <w:rsidRoot w:val="00B03CCD"/>
    <w:rsid w:val="000C01CC"/>
    <w:rsid w:val="000D7702"/>
    <w:rsid w:val="002D0E5A"/>
    <w:rsid w:val="002E5443"/>
    <w:rsid w:val="004C0943"/>
    <w:rsid w:val="004C12FF"/>
    <w:rsid w:val="00550ABE"/>
    <w:rsid w:val="005B023C"/>
    <w:rsid w:val="006137D7"/>
    <w:rsid w:val="00634FA8"/>
    <w:rsid w:val="0063613A"/>
    <w:rsid w:val="00661309"/>
    <w:rsid w:val="00792285"/>
    <w:rsid w:val="007A0D2E"/>
    <w:rsid w:val="007A3314"/>
    <w:rsid w:val="007B419D"/>
    <w:rsid w:val="00810F13"/>
    <w:rsid w:val="0082384C"/>
    <w:rsid w:val="00944711"/>
    <w:rsid w:val="00974C56"/>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EB3FEE"/>
    <w:rsid w:val="00F137D3"/>
    <w:rsid w:val="00F13C36"/>
    <w:rsid w:val="00F23C68"/>
    <w:rsid w:val="00F32C53"/>
    <w:rsid w:val="00F73F90"/>
    <w:rsid w:val="00F7623D"/>
    <w:rsid w:val="00F8598B"/>
    <w:rsid w:val="01474EBF"/>
    <w:rsid w:val="01E07299"/>
    <w:rsid w:val="01F3521E"/>
    <w:rsid w:val="03B87EA0"/>
    <w:rsid w:val="03E3214F"/>
    <w:rsid w:val="044C50BA"/>
    <w:rsid w:val="05BC6D49"/>
    <w:rsid w:val="06194FF1"/>
    <w:rsid w:val="06A2550B"/>
    <w:rsid w:val="06F80EE2"/>
    <w:rsid w:val="07001CCA"/>
    <w:rsid w:val="075678DB"/>
    <w:rsid w:val="079D7CC7"/>
    <w:rsid w:val="08051BCA"/>
    <w:rsid w:val="086C12F4"/>
    <w:rsid w:val="089E4D9D"/>
    <w:rsid w:val="08BA052C"/>
    <w:rsid w:val="08DB07BA"/>
    <w:rsid w:val="0969353F"/>
    <w:rsid w:val="098305D0"/>
    <w:rsid w:val="098A0877"/>
    <w:rsid w:val="0A5C4B69"/>
    <w:rsid w:val="0A86124A"/>
    <w:rsid w:val="0AB54CC0"/>
    <w:rsid w:val="0AF02C43"/>
    <w:rsid w:val="0B9335CE"/>
    <w:rsid w:val="0C7927C4"/>
    <w:rsid w:val="0C9B098C"/>
    <w:rsid w:val="0D673E11"/>
    <w:rsid w:val="0DDA54E4"/>
    <w:rsid w:val="0E3A5F83"/>
    <w:rsid w:val="0E74421A"/>
    <w:rsid w:val="0F836721"/>
    <w:rsid w:val="0FA25D96"/>
    <w:rsid w:val="10707EFD"/>
    <w:rsid w:val="107B59E5"/>
    <w:rsid w:val="10A342B4"/>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4E1D03"/>
    <w:rsid w:val="1E5E27E3"/>
    <w:rsid w:val="1ECF0A66"/>
    <w:rsid w:val="1EF67CA4"/>
    <w:rsid w:val="1F020D3A"/>
    <w:rsid w:val="1F2C5189"/>
    <w:rsid w:val="1F4B0B02"/>
    <w:rsid w:val="1FBB35CD"/>
    <w:rsid w:val="1FCD26AF"/>
    <w:rsid w:val="20642787"/>
    <w:rsid w:val="21556F04"/>
    <w:rsid w:val="22136CC5"/>
    <w:rsid w:val="22403BD3"/>
    <w:rsid w:val="23244DE0"/>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2FF07B91"/>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097C42"/>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862F1"/>
    <w:rsid w:val="5842572D"/>
    <w:rsid w:val="5A3B59D6"/>
    <w:rsid w:val="5AD134D8"/>
    <w:rsid w:val="5B6503B1"/>
    <w:rsid w:val="5C263CE4"/>
    <w:rsid w:val="5C5D2777"/>
    <w:rsid w:val="5CF66BF3"/>
    <w:rsid w:val="5D1C2467"/>
    <w:rsid w:val="5D290C69"/>
    <w:rsid w:val="5F2D4A41"/>
    <w:rsid w:val="60C74F6C"/>
    <w:rsid w:val="60F657AD"/>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0D7F93"/>
    <w:rsid w:val="7F206994"/>
    <w:rsid w:val="7F446A19"/>
    <w:rsid w:val="7F7452B9"/>
    <w:rsid w:val="FFFBA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2269</Words>
  <Characters>12935</Characters>
  <Lines>107</Lines>
  <Paragraphs>30</Paragraphs>
  <TotalTime>17</TotalTime>
  <ScaleCrop>false</ScaleCrop>
  <LinksUpToDate>false</LinksUpToDate>
  <CharactersWithSpaces>15174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2024-09-25T15:04:19Z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