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丰都县医疗保障局（本级）</w:t>
      </w:r>
    </w:p>
    <w:p>
      <w:pPr>
        <w:spacing w:line="52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spacing w:line="520" w:lineRule="exact"/>
        <w:jc w:val="center"/>
        <w:rPr>
          <w:rFonts w:hint="default" w:ascii="方正小标宋_GBK" w:hAnsi="方正小标宋_GBK" w:eastAsia="方正小标宋_GBK" w:cs="方正小标宋_GBK"/>
          <w:sz w:val="44"/>
          <w:szCs w:val="44"/>
          <w:shd w:val="clear" w:color="auto" w:fill="FFFFFF"/>
        </w:rPr>
      </w:pPr>
    </w:p>
    <w:p>
      <w:pPr>
        <w:spacing w:line="52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一、单位基本情况</w:t>
      </w:r>
    </w:p>
    <w:p>
      <w:pPr>
        <w:spacing w:line="52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（一）职能职责</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1.贯彻执行国家和重庆市医疗保险、生育保险、医疗救助等医疗保障制度的法律法规、政策、规章、规划和标准。拟订本县相关规划、政策措施、标准并组织实施。</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2.贯彻执行重庆市医疗保障基金监督管理办法，承担医疗保障基金安全防控监管责任，推进医疗保障基金支付方式改革。</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3.贯彻执行重庆市医疗保障筹资和待遇政策；贯彻推进重庆市长期护理保险制度。</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4.贯彻实施药品、医用耗材、医疗服务项目、医疗服务设施等医保目录和支付标准，建立动态调整机制。贯彻执行医保目录准入地方谈判规则。</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5.贯彻执行药品、医用耗材价格和医疗服务项目、医疗服务设施收费等政策。负责县管政府定价的医保相关医疗服务价格合理确定和动态调整工作。监督管理药品、医用耗材价格和医疗服务项目、医疗服务设施收费标准执行。贯彻执行重庆市药品、医用耗材的招标采购政策。</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6.负责组织实施定点医药机构协议和支付管理办法，建立健全医疗保障信用评价和信息披露制度，监督管理纳入医保范围内的医疗服务行为和医疗费用，依法查处医疗保障领域违法违规行为。</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7.负责医疗保障经办管理，公共服务体系和信息化建设。负责落实异地就医管理和费用结算政策。建立健全医疗保障关系转移接续制度。</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8.负责局机关和所属单位的安全监管、信访稳定和医疗保障扶贫工作。</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9.完成县委和县政府交办的其他任务。</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10.职能转变。丰都县医疗保障局要认真落实城乡居民基本医疗保险和大病保险相关制度，推进落实覆盖全民、城乡统筹的多层次医疗保障体系，不断提高医疗保障水平，确保医保资金合理使用、安全可控，推进医疗、医保、医药“三医联动”改革，更好保障人民群众就医需求、减轻医药费用负担。</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11.与有关部门的职责分工。丰都县医疗保障局要建立与丰都县发展和改革委员会、丰都县卫生健康委员会、丰都县市场监督管理局、丰都县税务局等部门的沟通协商机制，加强制度、政策衔接，协同推进改革，提高医疗资源使用效率和医疗保障水平。</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丰都县医疗保障局设下列3个内设机构：</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办公室。负责机关日常运转，承担党群、安全、保密、信访、人事编制、机要、信息、宣传、档案、政务公开、议提案办理、后勤保障等工作。推进医疗保障信息化建设，承担医疗保障统计，机关和所属单位财政预决算、财务、内部审计，医疗保障基金的管理、支付、会计核算工作。</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2.医药服务管理科。负责医疗保障参保筹资和待遇、医疗救助、大病保险和各项补充保险的管理工作。负责长期护理保险的管理工作。负责县管政府定价的医保相关医疗服务价格合理确定和动态调整工作。负责医保目录的贯彻实施和管理工作。负责医疗保障关系转移接续管理工作。负责本县定点医药机构、异地就医、医疗保障支付方式改革的管理工作。负责贯彻执行药品、医用耗材的招标采购政策。负责医疗保障扶贫工作。</w:t>
      </w:r>
    </w:p>
    <w:p>
      <w:pPr>
        <w:spacing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3.综合监管科。拟订全县医疗保障事业发展规划并组织实施。贯彻落实医疗保障基金监督管理办法，负责医疗保障基金的监督管理工作，建立健全医疗保障基金安全防控机制、医疗保障信用评价体系和信息披露制度。负责监督管理药品、医用耗材价格和医疗服务项目、医疗服务设施收费标准执行。负责监督管理纳入医保支付范围的医疗服务行为和医疗费用，依法查处医疗保障领域违法违规行为。负责医疗保障政策法规宣传及本单位行政执法监督、行政应诉等法律事务工作。</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二、单位决算情况说明</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pStyle w:val="6"/>
        <w:snapToGrid w:val="0"/>
        <w:spacing w:before="0" w:beforeAutospacing="0" w:after="0" w:afterAutospacing="0" w:line="520" w:lineRule="exact"/>
        <w:ind w:firstLine="642" w:firstLineChars="200"/>
        <w:jc w:val="both"/>
        <w:rPr>
          <w:rStyle w:val="10"/>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sz w:val="32"/>
          <w:szCs w:val="32"/>
          <w:shd w:val="clear" w:color="auto" w:fill="FFFFFF"/>
        </w:rPr>
        <w:t>1.总体情况。</w:t>
      </w:r>
      <w:r>
        <w:rPr>
          <w:rStyle w:val="10"/>
          <w:rFonts w:hint="default" w:ascii="Times New Roman" w:hAnsi="Times New Roman" w:eastAsia="方正仿宋_GBK"/>
          <w:b w:val="0"/>
          <w:bCs/>
          <w:sz w:val="32"/>
          <w:szCs w:val="32"/>
          <w:shd w:val="clear" w:color="auto" w:fill="FFFFFF"/>
        </w:rPr>
        <w:t>2023年度收入总计6953.31万元，支出总计6953.31万元。收支较上年决算数增加1007.78万元，增长16.95%，主要原因是2023年增加区级公务员（2022年公务员医疗使用历年结余）、离休干部医疗费收支。</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2023年度收入合计6768.01万元，较上年决算数增加852.90万元，增长14.42%，主要原因是</w:t>
      </w:r>
      <w:r>
        <w:rPr>
          <w:rStyle w:val="10"/>
          <w:rFonts w:hint="default" w:ascii="Times New Roman" w:hAnsi="Times New Roman" w:eastAsia="方正仿宋_GBK"/>
          <w:b w:val="0"/>
          <w:bCs/>
          <w:sz w:val="32"/>
          <w:szCs w:val="32"/>
          <w:shd w:val="clear" w:color="auto" w:fill="FFFFFF"/>
        </w:rPr>
        <w:t>2023年增加区级公务员（2022年公务员医疗使用历年结余）、离休干部医疗费收支。</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6768.01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185.29</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6922.02</w:t>
      </w:r>
      <w:r>
        <w:rPr>
          <w:rFonts w:hint="default" w:ascii="Times New Roman" w:hAnsi="Times New Roman" w:eastAsia="方正仿宋_GBK"/>
          <w:sz w:val="32"/>
          <w:szCs w:val="32"/>
          <w:shd w:val="clear" w:color="auto" w:fill="FFFFFF"/>
        </w:rPr>
        <w:t>万元，较上年决算数增加996.72万元，增长16.82%，主要原因是</w:t>
      </w:r>
      <w:r>
        <w:rPr>
          <w:rStyle w:val="10"/>
          <w:rFonts w:hint="default" w:ascii="Times New Roman" w:hAnsi="Times New Roman" w:eastAsia="方正仿宋_GBK"/>
          <w:b w:val="0"/>
          <w:bCs/>
          <w:sz w:val="32"/>
          <w:szCs w:val="32"/>
          <w:shd w:val="clear" w:color="auto" w:fill="FFFFFF"/>
        </w:rPr>
        <w:t>2023年增加区级公务员（2022年公务员医疗使用历年结余）、离休干部医疗费收支。</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164.78</w:t>
      </w:r>
      <w:r>
        <w:rPr>
          <w:rFonts w:hint="default" w:ascii="Times New Roman" w:hAnsi="Times New Roman" w:eastAsia="方正仿宋_GBK"/>
          <w:sz w:val="32"/>
          <w:szCs w:val="32"/>
          <w:shd w:val="clear" w:color="auto" w:fill="FFFFFF"/>
        </w:rPr>
        <w:t>万元，占2.38%；项目支出</w:t>
      </w:r>
      <w:r>
        <w:rPr>
          <w:rFonts w:hint="default" w:ascii="Times New Roman" w:hAnsi="Times New Roman" w:eastAsia="方正仿宋_GBK"/>
          <w:sz w:val="32"/>
          <w:szCs w:val="32"/>
        </w:rPr>
        <w:t>6757.25</w:t>
      </w:r>
      <w:r>
        <w:rPr>
          <w:rFonts w:hint="default" w:ascii="Times New Roman" w:hAnsi="Times New Roman" w:eastAsia="方正仿宋_GBK"/>
          <w:sz w:val="32"/>
          <w:szCs w:val="32"/>
          <w:shd w:val="clear" w:color="auto" w:fill="FFFFFF"/>
        </w:rPr>
        <w:t>万元，占97.62%；经营支出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31.28</w:t>
      </w:r>
      <w:r>
        <w:rPr>
          <w:rFonts w:hint="default" w:ascii="Times New Roman" w:hAnsi="Times New Roman" w:eastAsia="方正仿宋_GBK"/>
          <w:sz w:val="32"/>
          <w:szCs w:val="32"/>
          <w:shd w:val="clear" w:color="auto" w:fill="FFFFFF"/>
        </w:rPr>
        <w:t>万元，较上年决算数增加11.05万元，增长54.62%，主要原因是就业局返还公益性岗位工资五险。</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spacing w:line="52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2023年度财政拨款收、支总计6953.31万元。与2022年相比，财政拨款收、支总计各增加1007.78万元，增长16.95%。主要原因是</w:t>
      </w:r>
      <w:r>
        <w:rPr>
          <w:rStyle w:val="10"/>
          <w:rFonts w:hint="default" w:ascii="Times New Roman" w:hAnsi="Times New Roman" w:eastAsia="方正仿宋_GBK"/>
          <w:b w:val="0"/>
          <w:bCs/>
          <w:sz w:val="32"/>
          <w:szCs w:val="32"/>
          <w:shd w:val="clear" w:color="auto" w:fill="FFFFFF"/>
        </w:rPr>
        <w:t>2023年增加区级公务员（2022年公务员医疗使用历年结余）、离休干部医疗费收支。</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6768.01</w:t>
      </w:r>
      <w:r>
        <w:rPr>
          <w:rFonts w:hint="default" w:ascii="Times New Roman" w:hAnsi="Times New Roman" w:eastAsia="方正仿宋_GBK"/>
          <w:sz w:val="32"/>
          <w:szCs w:val="32"/>
          <w:shd w:val="clear" w:color="auto" w:fill="FFFFFF"/>
        </w:rPr>
        <w:t>万元，较上年决算数增加938.90万元，增长16.11%。主要原因是</w:t>
      </w:r>
      <w:r>
        <w:rPr>
          <w:rStyle w:val="10"/>
          <w:rFonts w:hint="default" w:ascii="Times New Roman" w:hAnsi="Times New Roman" w:eastAsia="方正仿宋_GBK"/>
          <w:b w:val="0"/>
          <w:bCs/>
          <w:sz w:val="32"/>
          <w:szCs w:val="32"/>
          <w:shd w:val="clear" w:color="auto" w:fill="FFFFFF"/>
        </w:rPr>
        <w:t>2023年增加区级公务员（2022年公务员医疗使用历年结余）、离休干部医疗费收支。</w:t>
      </w:r>
      <w:r>
        <w:rPr>
          <w:rFonts w:hint="default" w:ascii="Times New Roman" w:hAnsi="Times New Roman" w:eastAsia="方正仿宋_GBK"/>
          <w:sz w:val="32"/>
          <w:szCs w:val="32"/>
          <w:shd w:val="clear" w:color="auto" w:fill="FFFFFF"/>
        </w:rPr>
        <w:t>较年初预算数减少1311.51万元，下降16.23%。主要原因是城乡居民医保财政配套资金纳入财政代编决算。此外，年初财政拨款结转和结余</w:t>
      </w:r>
      <w:r>
        <w:rPr>
          <w:rFonts w:hint="default" w:ascii="Times New Roman" w:hAnsi="Times New Roman" w:eastAsia="方正仿宋_GBK"/>
          <w:sz w:val="32"/>
          <w:szCs w:val="32"/>
        </w:rPr>
        <w:t>185.29</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6922.02</w:t>
      </w:r>
      <w:r>
        <w:rPr>
          <w:rFonts w:hint="default" w:ascii="Times New Roman" w:hAnsi="Times New Roman" w:eastAsia="方正仿宋_GBK"/>
          <w:sz w:val="32"/>
          <w:szCs w:val="32"/>
          <w:shd w:val="clear" w:color="auto" w:fill="FFFFFF"/>
        </w:rPr>
        <w:t>万元，较上年决算数增加1082.72万元，增长18.54%。主要原因是</w:t>
      </w:r>
      <w:r>
        <w:rPr>
          <w:rStyle w:val="10"/>
          <w:rFonts w:hint="default" w:ascii="Times New Roman" w:hAnsi="Times New Roman" w:eastAsia="方正仿宋_GBK"/>
          <w:b w:val="0"/>
          <w:bCs/>
          <w:sz w:val="32"/>
          <w:szCs w:val="32"/>
          <w:shd w:val="clear" w:color="auto" w:fill="FFFFFF"/>
        </w:rPr>
        <w:t>2023年增加区级公务员（2022年公务员医疗使用历年结余）、离休干部医疗费收支。</w:t>
      </w:r>
      <w:r>
        <w:rPr>
          <w:rFonts w:hint="default" w:ascii="Times New Roman" w:hAnsi="Times New Roman" w:eastAsia="方正仿宋_GBK"/>
          <w:sz w:val="32"/>
          <w:szCs w:val="32"/>
          <w:shd w:val="clear" w:color="auto" w:fill="FFFFFF"/>
        </w:rPr>
        <w:t>较年初预算数减少1157.50万元，下降14.33%。主要原因是城乡居民医保财政配套资金纳入财政代编决算。</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31.28</w:t>
      </w:r>
      <w:r>
        <w:rPr>
          <w:rFonts w:hint="default" w:ascii="Times New Roman" w:hAnsi="Times New Roman" w:eastAsia="方正仿宋_GBK"/>
          <w:sz w:val="32"/>
          <w:szCs w:val="32"/>
          <w:shd w:val="clear" w:color="auto" w:fill="FFFFFF"/>
        </w:rPr>
        <w:t>万元，较上年决算数增加11.05万元，增长54.62%，主要原因是就业局返还公益性岗位工资五险。</w:t>
      </w:r>
    </w:p>
    <w:p>
      <w:pPr>
        <w:pStyle w:val="6"/>
        <w:snapToGrid w:val="0"/>
        <w:spacing w:before="0" w:beforeAutospacing="0" w:after="0" w:afterAutospacing="0" w:line="520" w:lineRule="exact"/>
        <w:ind w:firstLine="642"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73.18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1.06</w:t>
      </w:r>
      <w:r>
        <w:rPr>
          <w:rFonts w:hint="default" w:ascii="Times New Roman" w:hAnsi="Times New Roman" w:eastAsia="方正仿宋_GBK"/>
          <w:sz w:val="32"/>
          <w:szCs w:val="32"/>
          <w:shd w:val="clear" w:color="auto" w:fill="FFFFFF"/>
        </w:rPr>
        <w:t>%，较年初预算数增加53.11万元，增长264.62%，主要原因是调整存量资金44.24万元和2023年较上年增加5名工作人员7个月支出。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6839.42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98.81</w:t>
      </w:r>
      <w:r>
        <w:rPr>
          <w:rFonts w:hint="default" w:ascii="Times New Roman" w:hAnsi="Times New Roman" w:eastAsia="方正仿宋_GBK"/>
          <w:sz w:val="32"/>
          <w:szCs w:val="32"/>
          <w:shd w:val="clear" w:color="auto" w:fill="FFFFFF"/>
        </w:rPr>
        <w:t>%，较年初预算数减少1212.72万元，下降15.06%，主要原因是城乡居民医保财政配套资金纳入财政代编决算。</w:t>
      </w:r>
    </w:p>
    <w:p>
      <w:pPr>
        <w:spacing w:line="52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住房保障支出9.43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0.14</w:t>
      </w:r>
      <w:r>
        <w:rPr>
          <w:rFonts w:hint="default" w:ascii="Times New Roman" w:hAnsi="Times New Roman" w:eastAsia="方正仿宋_GBK"/>
          <w:sz w:val="32"/>
          <w:szCs w:val="32"/>
          <w:shd w:val="clear" w:color="auto" w:fill="FFFFFF"/>
        </w:rPr>
        <w:t>%，较年初预算数增加2.12万元，增长29.00%，主要原因是2023年较上年增加5名工作人员7个月支出。</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164.78</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162.03</w:t>
      </w:r>
      <w:r>
        <w:rPr>
          <w:rFonts w:hint="default" w:ascii="Times New Roman" w:hAnsi="Times New Roman" w:eastAsia="方正仿宋_GBK"/>
          <w:sz w:val="32"/>
          <w:szCs w:val="32"/>
          <w:shd w:val="clear" w:color="auto" w:fill="FFFFFF"/>
        </w:rPr>
        <w:t>万元，较上年决算数减少308.07万元，下降65.53%，主要原因是自2023年起医疗保障事务中心</w:t>
      </w:r>
      <w:r>
        <w:rPr>
          <w:rFonts w:ascii="Times New Roman" w:hAnsi="Times New Roman" w:eastAsia="方正仿宋_GBK"/>
          <w:sz w:val="32"/>
          <w:szCs w:val="32"/>
          <w:shd w:val="clear" w:color="auto" w:fill="FFFFFF"/>
        </w:rPr>
        <w:t>独立建账</w:t>
      </w:r>
      <w:r>
        <w:rPr>
          <w:rFonts w:hint="default" w:ascii="Times New Roman" w:hAnsi="Times New Roman" w:eastAsia="方正仿宋_GBK"/>
          <w:sz w:val="32"/>
          <w:szCs w:val="32"/>
          <w:shd w:val="clear" w:color="auto" w:fill="FFFFFF"/>
        </w:rPr>
        <w:t>核算。人员经费用途主要包括</w:t>
      </w:r>
      <w:r>
        <w:rPr>
          <w:rFonts w:hint="default" w:ascii="Times New Roman" w:hAnsi="Times New Roman" w:eastAsia="方正仿宋_GBK"/>
          <w:snapToGrid w:val="0"/>
          <w:sz w:val="32"/>
          <w:szCs w:val="32"/>
        </w:rPr>
        <w:t>基本工资、津贴补贴、奖金、社会保障缴费等支出。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2.74</w:t>
      </w:r>
      <w:r>
        <w:rPr>
          <w:rFonts w:hint="default" w:ascii="Times New Roman" w:hAnsi="Times New Roman" w:eastAsia="方正仿宋_GBK"/>
          <w:sz w:val="32"/>
          <w:szCs w:val="32"/>
          <w:shd w:val="clear" w:color="auto" w:fill="FFFFFF"/>
        </w:rPr>
        <w:t>万元，较上年决算数减少76.78万元，下降96.55%，主要原因是自2023年起医疗保障事务中心</w:t>
      </w:r>
      <w:r>
        <w:rPr>
          <w:rFonts w:ascii="Times New Roman" w:hAnsi="Times New Roman" w:eastAsia="方正仿宋_GBK"/>
          <w:sz w:val="32"/>
          <w:szCs w:val="32"/>
          <w:shd w:val="clear" w:color="auto" w:fill="FFFFFF"/>
        </w:rPr>
        <w:t>独立建账</w:t>
      </w:r>
      <w:r>
        <w:rPr>
          <w:rFonts w:hint="default" w:ascii="Times New Roman" w:hAnsi="Times New Roman" w:eastAsia="方正仿宋_GBK"/>
          <w:sz w:val="32"/>
          <w:szCs w:val="32"/>
          <w:shd w:val="clear" w:color="auto" w:fill="FFFFFF"/>
        </w:rPr>
        <w:t>核算。公用经费用途主要包括</w:t>
      </w:r>
      <w:r>
        <w:rPr>
          <w:rFonts w:hint="default" w:ascii="Times New Roman" w:hAnsi="Times New Roman" w:eastAsia="方正仿宋_GBK"/>
          <w:snapToGrid w:val="0"/>
          <w:sz w:val="32"/>
          <w:szCs w:val="32"/>
        </w:rPr>
        <w:t>办公费、邮电费、工会经费、手续费、其他商品服务支出等支出。</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万元，较上年决算数减少86.00万元，下降100.00%，主要原因是2023年无彩票公益金安排的支出用于城乡医疗救助的彩票公益金支出。本年支出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万元，较上年决算数减少86.00万元，下降100.00%，主要原因是2023年无彩票公益金安排的支出用于城乡医疗救助的彩票公益金支出。</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本单位2023年度无国有资本经营预算财政拨款支出。</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三、“三公”经费情况说明</w:t>
      </w:r>
    </w:p>
    <w:p>
      <w:pPr>
        <w:spacing w:line="52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 xml:space="preserve"> （一）“三公”经费支出总体情况说明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万元，较年初预算数无增减。较上年支出数减少2.13万元，下降68.05%，主要原因是自2023年起医疗保障事务中心</w:t>
      </w:r>
      <w:r>
        <w:rPr>
          <w:rFonts w:ascii="Times New Roman" w:hAnsi="Times New Roman" w:eastAsia="方正仿宋_GBK"/>
          <w:sz w:val="32"/>
          <w:szCs w:val="32"/>
          <w:shd w:val="clear" w:color="auto" w:fill="FFFFFF"/>
        </w:rPr>
        <w:t>独立建账</w:t>
      </w:r>
      <w:r>
        <w:rPr>
          <w:rFonts w:hint="default" w:ascii="Times New Roman" w:hAnsi="Times New Roman" w:eastAsia="方正仿宋_GBK"/>
          <w:sz w:val="32"/>
          <w:szCs w:val="32"/>
          <w:shd w:val="clear" w:color="auto" w:fill="FFFFFF"/>
        </w:rPr>
        <w:t>核算。</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2023年度本单位未发生因公出国（境）费用</w:t>
      </w:r>
      <w:r>
        <w:rPr>
          <w:rFonts w:ascii="方正仿宋_GBK" w:hAnsi="方正仿宋_GBK" w:eastAsia="方正仿宋_GBK" w:cs="方正仿宋_GBK"/>
          <w:sz w:val="32"/>
          <w:szCs w:val="32"/>
        </w:rPr>
        <w:t>，与年初预算数和上年决算数</w:t>
      </w:r>
      <w:r>
        <w:rPr>
          <w:rFonts w:ascii="方正仿宋_GBK" w:hAnsi="方正仿宋_GBK" w:eastAsia="方正仿宋_GBK" w:cs="方正仿宋_GBK"/>
          <w:sz w:val="32"/>
          <w:szCs w:val="32"/>
          <w:shd w:val="clear" w:color="auto" w:fill="FFFFFF"/>
        </w:rPr>
        <w:t>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2023年度本单位未发生</w:t>
      </w:r>
      <w:r>
        <w:rPr>
          <w:rFonts w:hint="default" w:ascii="Times New Roman" w:hAnsi="Times New Roman" w:eastAsia="方正仿宋_GBK"/>
          <w:sz w:val="32"/>
          <w:szCs w:val="32"/>
          <w:shd w:val="clear" w:color="auto" w:fill="FFFFFF"/>
        </w:rPr>
        <w:t>公务车购置</w:t>
      </w:r>
      <w:bookmarkStart w:id="0" w:name="_GoBack"/>
      <w:bookmarkEnd w:id="0"/>
      <w:r>
        <w:rPr>
          <w:rFonts w:ascii="方正仿宋_GBK" w:hAnsi="方正仿宋_GBK" w:eastAsia="方正仿宋_GBK" w:cs="方正仿宋_GBK"/>
          <w:sz w:val="32"/>
          <w:szCs w:val="32"/>
          <w:shd w:val="clear" w:color="auto" w:fill="FFFFFF"/>
        </w:rPr>
        <w:t>费用</w:t>
      </w:r>
      <w:r>
        <w:rPr>
          <w:rFonts w:ascii="方正仿宋_GBK" w:hAnsi="方正仿宋_GBK" w:eastAsia="方正仿宋_GBK" w:cs="方正仿宋_GBK"/>
          <w:sz w:val="32"/>
          <w:szCs w:val="32"/>
        </w:rPr>
        <w:t>，与年初预算数和上年决算数</w:t>
      </w:r>
      <w:r>
        <w:rPr>
          <w:rFonts w:ascii="方正仿宋_GBK" w:hAnsi="方正仿宋_GBK" w:eastAsia="方正仿宋_GBK" w:cs="方正仿宋_GBK"/>
          <w:sz w:val="32"/>
          <w:szCs w:val="32"/>
          <w:shd w:val="clear" w:color="auto" w:fill="FFFFFF"/>
        </w:rPr>
        <w:t>持平。</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snapToGrid w:val="0"/>
          <w:sz w:val="32"/>
          <w:szCs w:val="32"/>
        </w:rPr>
        <w:t>主要用于车辆燃油费、路桥费、洗车费等支出。</w:t>
      </w:r>
      <w:r>
        <w:rPr>
          <w:rFonts w:hint="default" w:ascii="Times New Roman" w:hAnsi="Times New Roman" w:eastAsia="方正仿宋_GBK"/>
          <w:sz w:val="32"/>
          <w:szCs w:val="32"/>
          <w:shd w:val="clear" w:color="auto" w:fill="FFFFFF"/>
        </w:rPr>
        <w:t>费用支出较年初预算数增加1.00万元，增长100.00%，主要原因是车辆编制属于医保事务中心，年初预算到医保事务中心，支付时由于医保局和医保中心两块牌子一套人马，没有细分。较上年支出数减少1.85万元，下降64.91%，主要原因自2023年起医疗保障事务中心</w:t>
      </w:r>
      <w:r>
        <w:rPr>
          <w:rFonts w:ascii="Times New Roman" w:hAnsi="Times New Roman" w:eastAsia="方正仿宋_GBK"/>
          <w:sz w:val="32"/>
          <w:szCs w:val="32"/>
          <w:shd w:val="clear" w:color="auto" w:fill="FFFFFF"/>
        </w:rPr>
        <w:t>独立建账</w:t>
      </w:r>
      <w:r>
        <w:rPr>
          <w:rFonts w:hint="default" w:ascii="Times New Roman" w:hAnsi="Times New Roman" w:eastAsia="方正仿宋_GBK"/>
          <w:sz w:val="32"/>
          <w:szCs w:val="32"/>
          <w:shd w:val="clear" w:color="auto" w:fill="FFFFFF"/>
        </w:rPr>
        <w:t>核算，部分车辆运行费在医保事务中心列支。</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万元，主要用于接待公务接待。费用支出较年初预算数减少1.00万元，下降100.00%，主要原因是自2023年起医疗保障事务中心</w:t>
      </w:r>
      <w:r>
        <w:rPr>
          <w:rFonts w:ascii="Times New Roman" w:hAnsi="Times New Roman" w:eastAsia="方正仿宋_GBK"/>
          <w:sz w:val="32"/>
          <w:szCs w:val="32"/>
          <w:shd w:val="clear" w:color="auto" w:fill="FFFFFF"/>
        </w:rPr>
        <w:t>独立建账</w:t>
      </w:r>
      <w:r>
        <w:rPr>
          <w:rFonts w:hint="default" w:ascii="Times New Roman" w:hAnsi="Times New Roman" w:eastAsia="方正仿宋_GBK"/>
          <w:sz w:val="32"/>
          <w:szCs w:val="32"/>
          <w:shd w:val="clear" w:color="auto" w:fill="FFFFFF"/>
        </w:rPr>
        <w:t>核算，公务接待费全部预算医保事务中心。较上年支出数减少0.28万元，下降100.00%，主要原因是自2023年起医疗保障事务中心</w:t>
      </w:r>
      <w:r>
        <w:rPr>
          <w:rFonts w:ascii="Times New Roman" w:hAnsi="Times New Roman" w:eastAsia="方正仿宋_GBK"/>
          <w:sz w:val="32"/>
          <w:szCs w:val="32"/>
          <w:shd w:val="clear" w:color="auto" w:fill="FFFFFF"/>
        </w:rPr>
        <w:t>独立建账</w:t>
      </w:r>
      <w:r>
        <w:rPr>
          <w:rFonts w:hint="default" w:ascii="Times New Roman" w:hAnsi="Times New Roman" w:eastAsia="方正仿宋_GBK"/>
          <w:sz w:val="32"/>
          <w:szCs w:val="32"/>
          <w:shd w:val="clear" w:color="auto" w:fill="FFFFFF"/>
        </w:rPr>
        <w:t>核算，接待费全部计入医保中心。</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（三）“三公”经费实物量情况</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万元。</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  （一）财政拨款会议费和培训费情况说明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本年度会议费支出1.08万元，较上年决算数增加0.47万元，增长77.05%，主要原因是召开会议次数较上年增加。本年度培训费支出0.43万元，较上年决算数增加0.29万元，增长207.14%，主要原因是</w:t>
      </w:r>
      <w:r>
        <w:rPr>
          <w:rFonts w:hint="default" w:ascii="Times New Roman" w:hAnsi="Times New Roman" w:eastAsia="方正仿宋_GBK"/>
          <w:snapToGrid w:val="0"/>
          <w:sz w:val="32"/>
          <w:szCs w:val="32"/>
        </w:rPr>
        <w:t>培训次数、人数较上年增加</w:t>
      </w:r>
      <w:r>
        <w:rPr>
          <w:rFonts w:hint="default" w:ascii="Times New Roman" w:hAnsi="Times New Roman" w:eastAsia="方正仿宋_GBK"/>
          <w:sz w:val="32"/>
          <w:szCs w:val="32"/>
          <w:shd w:val="clear" w:color="auto" w:fill="FFFFFF"/>
        </w:rPr>
        <w:t>。</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（二）机关运行经费情况说明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2.74</w:t>
      </w:r>
      <w:r>
        <w:rPr>
          <w:rFonts w:hint="default" w:ascii="Times New Roman" w:hAnsi="Times New Roman" w:eastAsia="方正仿宋_GBK"/>
          <w:sz w:val="32"/>
          <w:szCs w:val="32"/>
          <w:shd w:val="clear" w:color="auto" w:fill="FFFFFF"/>
        </w:rPr>
        <w:t>万元，机关运行经费主要用于开支公务车运行、其他交通费、办公费、水电费等。机关运行经费较上年支出数减少76.78万元，下降96.55%，主要原因是自2023年起医疗保障事务中心</w:t>
      </w:r>
      <w:r>
        <w:rPr>
          <w:rFonts w:ascii="Times New Roman" w:hAnsi="Times New Roman" w:eastAsia="方正仿宋_GBK"/>
          <w:sz w:val="32"/>
          <w:szCs w:val="32"/>
          <w:shd w:val="clear" w:color="auto" w:fill="FFFFFF"/>
        </w:rPr>
        <w:t>独立建账</w:t>
      </w:r>
      <w:r>
        <w:rPr>
          <w:rFonts w:hint="default" w:ascii="Times New Roman" w:hAnsi="Times New Roman" w:eastAsia="方正仿宋_GBK"/>
          <w:sz w:val="32"/>
          <w:szCs w:val="32"/>
          <w:shd w:val="clear" w:color="auto" w:fill="FFFFFF"/>
        </w:rPr>
        <w:t>核算，减少部分计入医保中心。</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（三）国有资产占用情况说明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w:t>
      </w:r>
      <w:r>
        <w:rPr>
          <w:rFonts w:ascii="Times New Roman" w:hAnsi="Times New Roman" w:eastAsia="方正仿宋_GBK"/>
          <w:sz w:val="32"/>
          <w:szCs w:val="32"/>
          <w:shd w:val="clear" w:color="auto" w:fill="FFFFFF"/>
        </w:rPr>
        <w:t>领导干部</w:t>
      </w:r>
      <w:r>
        <w:rPr>
          <w:rFonts w:hint="default" w:ascii="Times New Roman" w:hAnsi="Times New Roman" w:eastAsia="方正仿宋_GBK"/>
          <w:sz w:val="32"/>
          <w:szCs w:val="32"/>
          <w:shd w:val="clear" w:color="auto" w:fill="FFFFFF"/>
        </w:rPr>
        <w:t>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ascii="Times New Roman" w:hAnsi="Times New Roman" w:eastAsia="方正仿宋_GBK"/>
          <w:sz w:val="32"/>
          <w:szCs w:val="32"/>
          <w:shd w:val="clear" w:color="auto" w:fill="FFFFFF"/>
        </w:rPr>
        <w:t>（不含车辆）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（四）政府采购支出情况说明</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40.84</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40.84</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40.84万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40.84</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 xml:space="preserve"> %。主要用于采购办公电脑、正版办公软件。</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五、预算绩效管理情况说明</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（一）单位自评情况</w:t>
      </w:r>
    </w:p>
    <w:p>
      <w:pPr>
        <w:pStyle w:val="12"/>
        <w:autoSpaceDE w:val="0"/>
        <w:spacing w:before="0" w:beforeAutospacing="0" w:after="0" w:afterAutospacing="0" w:line="52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根据预算绩效管理要求，我单位对13个二级项目开展了绩效自评，涉及财政拨款项目支出资金6757.24万元。</w:t>
      </w:r>
    </w:p>
    <w:p>
      <w:pPr>
        <w:pStyle w:val="12"/>
        <w:autoSpaceDE w:val="0"/>
        <w:spacing w:before="0" w:beforeAutospacing="0" w:after="0" w:afterAutospacing="0" w:line="520" w:lineRule="exact"/>
        <w:ind w:firstLine="640" w:firstLineChars="200"/>
        <w:rPr>
          <w:rFonts w:ascii="Times New Roman" w:hAnsi="Times New Roman" w:eastAsia="方正仿宋_GBK"/>
          <w:sz w:val="32"/>
          <w:szCs w:val="32"/>
          <w:highlight w:val="yellow"/>
          <w:shd w:val="clear" w:color="auto" w:fill="FFFFFF"/>
        </w:rPr>
      </w:pPr>
      <w:r>
        <w:rPr>
          <w:rFonts w:hint="eastAsia" w:ascii="Times New Roman" w:hAnsi="Times New Roman" w:eastAsia="方正仿宋_GBK"/>
          <w:sz w:val="32"/>
          <w:szCs w:val="32"/>
          <w:shd w:val="clear" w:color="auto" w:fill="FFFFFF"/>
        </w:rPr>
        <w:t>绩效自评表见附件</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（二）单位绩效评价情况</w:t>
      </w:r>
    </w:p>
    <w:p>
      <w:pPr>
        <w:pStyle w:val="14"/>
        <w:autoSpaceDE w:val="0"/>
        <w:spacing w:line="52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我单位对离休人员医疗费开展了绩效评价，涉及财政拨款项目资金254.89万元，评价得分100分，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发现问题；对单双解人员市级配套开展了绩效评价，涉及财政拨款项目资金18万元，评价得分100分，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发现问题；对单双解人员县参保配套资金开展了绩效评价，涉及财政拨款项目资金20万元，</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发现问题；对医疗救助（中央）开展了绩效评价，涉及财政拨款项目资金1467万元，评价得分100分，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发现问题；对医疗救助（市级）开展了绩效评价，涉及财政拨款项目资金2396万元，评价得分100分，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发现问题；对公务员医疗开展了绩效评价，涉及财政拨款项目资金2209万元，评价得分100分，</w:t>
      </w:r>
      <w:r>
        <w:rPr>
          <w:rFonts w:ascii="Times New Roman" w:hAnsi="Times New Roman" w:eastAsia="方正仿宋_GBK"/>
          <w:snapToGrid w:val="0"/>
          <w:sz w:val="32"/>
          <w:szCs w:val="32"/>
        </w:rPr>
        <w:t>此项目绩效自评均已完成年度绩效目标，未</w:t>
      </w:r>
      <w:r>
        <w:rPr>
          <w:rFonts w:ascii="Times New Roman" w:hAnsi="Times New Roman" w:eastAsia="方正仿宋_GBK"/>
          <w:sz w:val="32"/>
          <w:szCs w:val="32"/>
          <w:shd w:val="clear" w:color="auto" w:fill="FFFFFF"/>
        </w:rPr>
        <w:t>发现问题等。</w:t>
      </w:r>
    </w:p>
    <w:p>
      <w:pPr>
        <w:pStyle w:val="11"/>
        <w:autoSpaceDE w:val="0"/>
        <w:spacing w:line="520" w:lineRule="exact"/>
        <w:ind w:firstLine="64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（三）财政绩效评价情况</w:t>
      </w:r>
    </w:p>
    <w:p>
      <w:pPr>
        <w:pStyle w:val="11"/>
        <w:autoSpaceDE w:val="0"/>
        <w:spacing w:line="52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市财政局未委托第三方对我单位开展绩效评价</w:t>
      </w:r>
      <w:r>
        <w:rPr>
          <w:rFonts w:ascii="Times New Roman" w:hAnsi="Times New Roman" w:eastAsia="方正仿宋_GBK"/>
          <w:b/>
          <w:bCs/>
          <w:sz w:val="32"/>
          <w:szCs w:val="32"/>
          <w:shd w:val="clear" w:color="auto" w:fill="FFFFFF"/>
        </w:rPr>
        <w:t>。</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（二）其他收入：</w:t>
      </w:r>
      <w:r>
        <w:rPr>
          <w:rFonts w:hint="default" w:ascii="Times New Roman" w:hAnsi="Times New Roman" w:eastAsia="方正仿宋_GBK"/>
          <w:sz w:val="32"/>
          <w:szCs w:val="32"/>
          <w:shd w:val="clear" w:color="auto" w:fill="FFFFFF"/>
        </w:rPr>
        <w:t>指单位取得的除“财政拨款收入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（三） 使用非财政拨款结余：</w:t>
      </w:r>
      <w:r>
        <w:rPr>
          <w:rFonts w:hint="default" w:ascii="Times New Roman" w:hAnsi="Times New Roman" w:eastAsia="方正仿宋_GBK"/>
          <w:sz w:val="32"/>
          <w:szCs w:val="32"/>
          <w:shd w:val="clear" w:color="auto" w:fill="FFFFFF"/>
        </w:rPr>
        <w:t>指单位在当年的“财政拨款收入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（四）年初结转和结余：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（五）结余分配：指单位按照国家有关规定，缴纳所得税、提取专用基金、转入非财政拨款结余等当年结余的分配情况。</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（六）年末结转和结余：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（七）基本支出：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（八）项目支出：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（九）“三公”经费：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（十）机关运行经费：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（十一）工资福利支出（支出经济分类科目类级）：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（十二）商品和服务支出（支出经济分类科目类级）：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（十三）对个人和家庭的补助（支出经济分类科目类级）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sz w:val="32"/>
          <w:szCs w:val="32"/>
        </w:rPr>
        <w:t> （十四）其他资本性支出（支出经济分类科目类级）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52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七、决算公开联系方式及信息反馈渠道</w:t>
      </w:r>
    </w:p>
    <w:p>
      <w:pPr>
        <w:pStyle w:val="6"/>
        <w:spacing w:before="0" w:beforeAutospacing="0" w:after="0" w:afterAutospacing="0"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本单位决算公开信息反馈和联系方式：</w:t>
      </w:r>
    </w:p>
    <w:p>
      <w:pPr>
        <w:pStyle w:val="6"/>
        <w:spacing w:before="0" w:beforeAutospacing="0" w:after="0" w:afterAutospacing="0" w:line="520" w:lineRule="exact"/>
        <w:ind w:firstLine="640" w:firstLineChars="200"/>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李云淑  023-81858113</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46" w:bottom="1984" w:left="1446"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重庆市丰都县医疗保障局（本级）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6,768.01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73.18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6,839.42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6,768.01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6,922.02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185.29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31.28</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6,953.31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6,953.31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重庆市丰都县医疗保障局（本级）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6,768.01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6,768.01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6,729.83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6,729.83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2,474.08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2,474.08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重庆市丰都县医疗保障局（本级）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6,922.02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164.78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6,757.25</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6,839.42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6,712.82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2,474.08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2,463.90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重庆市丰都县医疗保障局（本级）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6,768.01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6,839.42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6,839.42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6,768.01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6,922.02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6,922.02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6,953.31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6,953.31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6,953.31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重庆市丰都县医疗保障局（本级）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6,922.02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164.78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6,757.25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28.75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28.75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6,839.42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6,712.82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2,474.08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2,463.90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254.90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2,209.00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3,908.99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3,908.99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3,863.00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339.93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171.69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158.40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重庆市丰都县医疗保障局（本级）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eastAsia" w:eastAsia="宋体" w:cs="宋体"/>
                <w:b/>
                <w:color w:val="000000"/>
                <w:sz w:val="18"/>
                <w:szCs w:val="18"/>
                <w:lang w:eastAsia="zh-CN"/>
              </w:rPr>
            </w:pPr>
            <w:r>
              <w:rPr>
                <w:sz w:val="18"/>
                <w:szCs w:val="18"/>
              </w:rPr>
              <w:t>经济分类科目（按“款”级经济分类科目</w:t>
            </w:r>
            <w:r>
              <w:rPr>
                <w:rFonts w:hint="eastAsia"/>
                <w:sz w:val="18"/>
                <w:szCs w:val="18"/>
                <w:lang w:eastAsia="zh-CN"/>
              </w:rPr>
              <w:t>）</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eastAsia" w:eastAsia="宋体" w:cs="宋体"/>
                <w:b/>
                <w:color w:val="000000"/>
                <w:sz w:val="18"/>
                <w:szCs w:val="18"/>
                <w:lang w:eastAsia="zh-CN"/>
              </w:rPr>
            </w:pPr>
            <w:r>
              <w:rPr>
                <w:sz w:val="18"/>
                <w:szCs w:val="18"/>
              </w:rPr>
              <w:t>经济分类科目（按“款”级经济分类科目</w:t>
            </w:r>
            <w:r>
              <w:rPr>
                <w:rFonts w:hint="eastAsia"/>
                <w:sz w:val="18"/>
                <w:szCs w:val="18"/>
                <w:lang w:eastAsia="zh-CN"/>
              </w:rPr>
              <w:t>）</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eastAsia" w:eastAsia="宋体" w:cs="宋体"/>
                <w:b/>
                <w:color w:val="000000"/>
                <w:sz w:val="18"/>
                <w:szCs w:val="18"/>
                <w:lang w:eastAsia="zh-CN"/>
              </w:rPr>
            </w:pPr>
            <w:r>
              <w:rPr>
                <w:sz w:val="18"/>
                <w:szCs w:val="18"/>
              </w:rPr>
              <w:t>经济分类科目（按“款”级经济分类科目</w:t>
            </w:r>
            <w:r>
              <w:rPr>
                <w:rFonts w:hint="eastAsia"/>
                <w:sz w:val="18"/>
                <w:szCs w:val="18"/>
                <w:lang w:eastAsia="zh-CN"/>
              </w:rPr>
              <w:t>）</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162.03</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重庆市丰都县医疗保障局（本级）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重庆市丰都县医疗保障局（本级）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重庆市丰都县医疗保障局（本级）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40.84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40.84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40.84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40.84</w:t>
            </w: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Q3ZDBiNjdhZjJhM2M0N2RmMzQyNWQzNTQ0OTYxZWUifQ=="/>
  </w:docVars>
  <w:rsids>
    <w:rsidRoot w:val="00B03CCD"/>
    <w:rsid w:val="00060D61"/>
    <w:rsid w:val="001D3BB7"/>
    <w:rsid w:val="002B254B"/>
    <w:rsid w:val="00466C9B"/>
    <w:rsid w:val="00550ABE"/>
    <w:rsid w:val="005961F6"/>
    <w:rsid w:val="00770383"/>
    <w:rsid w:val="007819D4"/>
    <w:rsid w:val="007B419D"/>
    <w:rsid w:val="007B7C4B"/>
    <w:rsid w:val="007D3D39"/>
    <w:rsid w:val="00994AF7"/>
    <w:rsid w:val="009B67B8"/>
    <w:rsid w:val="009D2B67"/>
    <w:rsid w:val="00A566F9"/>
    <w:rsid w:val="00AF2751"/>
    <w:rsid w:val="00B03CCD"/>
    <w:rsid w:val="00BE2B89"/>
    <w:rsid w:val="00C10E9E"/>
    <w:rsid w:val="00C20C3E"/>
    <w:rsid w:val="00EA5767"/>
    <w:rsid w:val="00F73F90"/>
    <w:rsid w:val="013B7B86"/>
    <w:rsid w:val="01474EBF"/>
    <w:rsid w:val="01F3521E"/>
    <w:rsid w:val="03B87EA0"/>
    <w:rsid w:val="03E3214F"/>
    <w:rsid w:val="044C50BA"/>
    <w:rsid w:val="05BC6D49"/>
    <w:rsid w:val="06194FF1"/>
    <w:rsid w:val="06A2550B"/>
    <w:rsid w:val="06F80EE2"/>
    <w:rsid w:val="07001CCA"/>
    <w:rsid w:val="075678DB"/>
    <w:rsid w:val="079D7CC7"/>
    <w:rsid w:val="07CC1D53"/>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E63E89"/>
    <w:rsid w:val="0E3A5F83"/>
    <w:rsid w:val="0F836721"/>
    <w:rsid w:val="0FA25D96"/>
    <w:rsid w:val="107B59E5"/>
    <w:rsid w:val="10EC0126"/>
    <w:rsid w:val="10F70B9A"/>
    <w:rsid w:val="111445C7"/>
    <w:rsid w:val="114278C6"/>
    <w:rsid w:val="1158083A"/>
    <w:rsid w:val="11643A4B"/>
    <w:rsid w:val="11DF3712"/>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710D32"/>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059E5"/>
    <w:rsid w:val="21556F04"/>
    <w:rsid w:val="22403BD3"/>
    <w:rsid w:val="24B92327"/>
    <w:rsid w:val="24C14514"/>
    <w:rsid w:val="2533755C"/>
    <w:rsid w:val="25791755"/>
    <w:rsid w:val="25AB3597"/>
    <w:rsid w:val="26396DF4"/>
    <w:rsid w:val="27167136"/>
    <w:rsid w:val="271B442C"/>
    <w:rsid w:val="27B23302"/>
    <w:rsid w:val="29310A5F"/>
    <w:rsid w:val="29C37A35"/>
    <w:rsid w:val="2A076083"/>
    <w:rsid w:val="2A6B366E"/>
    <w:rsid w:val="2A73162E"/>
    <w:rsid w:val="2B167953"/>
    <w:rsid w:val="2B200583"/>
    <w:rsid w:val="2B8209DE"/>
    <w:rsid w:val="2C636760"/>
    <w:rsid w:val="2C6762A3"/>
    <w:rsid w:val="2E9077CD"/>
    <w:rsid w:val="2F954E96"/>
    <w:rsid w:val="2FCA4B37"/>
    <w:rsid w:val="2FE029D7"/>
    <w:rsid w:val="2FF06E00"/>
    <w:rsid w:val="30586FEC"/>
    <w:rsid w:val="313A1C72"/>
    <w:rsid w:val="315F0B22"/>
    <w:rsid w:val="31D84415"/>
    <w:rsid w:val="32285F6F"/>
    <w:rsid w:val="32770556"/>
    <w:rsid w:val="329C0913"/>
    <w:rsid w:val="32AA0460"/>
    <w:rsid w:val="3337290D"/>
    <w:rsid w:val="33E31118"/>
    <w:rsid w:val="33EF7674"/>
    <w:rsid w:val="342D7BC6"/>
    <w:rsid w:val="352930DB"/>
    <w:rsid w:val="35573069"/>
    <w:rsid w:val="355F6038"/>
    <w:rsid w:val="358C217E"/>
    <w:rsid w:val="3690351F"/>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4228F2"/>
    <w:rsid w:val="40BD5482"/>
    <w:rsid w:val="411B6CE5"/>
    <w:rsid w:val="412070D7"/>
    <w:rsid w:val="41314E40"/>
    <w:rsid w:val="41E0734B"/>
    <w:rsid w:val="426C1EA8"/>
    <w:rsid w:val="42736402"/>
    <w:rsid w:val="42E86A87"/>
    <w:rsid w:val="43307B09"/>
    <w:rsid w:val="439A3EB9"/>
    <w:rsid w:val="43BB152F"/>
    <w:rsid w:val="44C37687"/>
    <w:rsid w:val="455807E3"/>
    <w:rsid w:val="45CB699A"/>
    <w:rsid w:val="465B470D"/>
    <w:rsid w:val="469D6AD4"/>
    <w:rsid w:val="471E6C84"/>
    <w:rsid w:val="4748188F"/>
    <w:rsid w:val="4748792B"/>
    <w:rsid w:val="475D719D"/>
    <w:rsid w:val="47674801"/>
    <w:rsid w:val="48225EF7"/>
    <w:rsid w:val="488F422B"/>
    <w:rsid w:val="48E36915"/>
    <w:rsid w:val="48EB6572"/>
    <w:rsid w:val="495C4A24"/>
    <w:rsid w:val="497135DF"/>
    <w:rsid w:val="4A263DF2"/>
    <w:rsid w:val="4A6F6675"/>
    <w:rsid w:val="4B135857"/>
    <w:rsid w:val="4B7951CB"/>
    <w:rsid w:val="4B7C315C"/>
    <w:rsid w:val="4BE36845"/>
    <w:rsid w:val="4DAC4ACA"/>
    <w:rsid w:val="4DBE01D2"/>
    <w:rsid w:val="4E80279E"/>
    <w:rsid w:val="4F0C6BA3"/>
    <w:rsid w:val="4F186D58"/>
    <w:rsid w:val="50F06B6E"/>
    <w:rsid w:val="51A37E26"/>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E92304"/>
    <w:rsid w:val="5A3B59D6"/>
    <w:rsid w:val="5AD134D8"/>
    <w:rsid w:val="5C263CE4"/>
    <w:rsid w:val="5C5D2777"/>
    <w:rsid w:val="5CF66BF3"/>
    <w:rsid w:val="5D101956"/>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CB5992"/>
    <w:rsid w:val="66EE5541"/>
    <w:rsid w:val="67924660"/>
    <w:rsid w:val="67E820E3"/>
    <w:rsid w:val="68407834"/>
    <w:rsid w:val="6883293E"/>
    <w:rsid w:val="688412AD"/>
    <w:rsid w:val="68EB1B71"/>
    <w:rsid w:val="69B775DF"/>
    <w:rsid w:val="6A6C7940"/>
    <w:rsid w:val="6AAD2300"/>
    <w:rsid w:val="6B474EF5"/>
    <w:rsid w:val="6BA936A1"/>
    <w:rsid w:val="6C0A5AC5"/>
    <w:rsid w:val="6C560CAE"/>
    <w:rsid w:val="6C576495"/>
    <w:rsid w:val="6CC14281"/>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7846B3"/>
    <w:rsid w:val="79A031D5"/>
    <w:rsid w:val="7A1525F7"/>
    <w:rsid w:val="7B420052"/>
    <w:rsid w:val="7BD06A28"/>
    <w:rsid w:val="7C3A7C0B"/>
    <w:rsid w:val="7C5248E4"/>
    <w:rsid w:val="7C566698"/>
    <w:rsid w:val="7C5866A3"/>
    <w:rsid w:val="7D7406BB"/>
    <w:rsid w:val="7DC66335"/>
    <w:rsid w:val="7DE94331"/>
    <w:rsid w:val="7F446A19"/>
    <w:rsid w:val="7F7452B9"/>
    <w:rsid w:val="DFFFD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9833</Words>
  <Characters>12145</Characters>
  <Lines>107</Lines>
  <Paragraphs>30</Paragraphs>
  <TotalTime>57</TotalTime>
  <ScaleCrop>false</ScaleCrop>
  <LinksUpToDate>false</LinksUpToDate>
  <CharactersWithSpaces>13268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2024-09-25T15:12:54Z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