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line="560" w:lineRule="exact"/>
        <w:jc w:val="center"/>
        <w:rPr>
          <w:rFonts w:ascii="方正小标宋_GBK" w:hAnsi="Times New Roman" w:eastAsia="方正小标宋_GBK"/>
          <w:sz w:val="44"/>
          <w:szCs w:val="44"/>
          <w:shd w:val="clear" w:color="auto" w:fill="FFFFFF"/>
        </w:rPr>
      </w:pPr>
      <w:r>
        <w:rPr>
          <w:rFonts w:ascii="方正小标宋_GBK" w:hAnsi="方正小标宋_GBK" w:eastAsia="方正小标宋_GBK" w:cs="方正小标宋_GBK"/>
          <w:sz w:val="44"/>
          <w:szCs w:val="44"/>
        </w:rPr>
        <w:t>丰都县城市管理综合行政执法支队</w:t>
      </w:r>
      <w:r>
        <w:rPr>
          <w:rFonts w:hint="eastAsia" w:ascii="方正小标宋_GBK" w:hAnsi="方正小标宋_GBK" w:eastAsia="方正小标宋_GBK" w:cs="方正小标宋_GBK"/>
          <w:sz w:val="44"/>
          <w:szCs w:val="44"/>
          <w:lang w:val="en-US" w:eastAsia="zh-CN"/>
        </w:rPr>
        <w:t xml:space="preserve">     </w:t>
      </w:r>
      <w:r>
        <w:rPr>
          <w:rFonts w:ascii="方正小标宋_GBK" w:hAnsi="Times New Roman" w:eastAsia="方正小标宋_GBK"/>
          <w:sz w:val="44"/>
          <w:szCs w:val="44"/>
          <w:shd w:val="clear" w:color="auto" w:fill="FFFFFF"/>
        </w:rPr>
        <w:t>2023年度决算公开说明</w:t>
      </w:r>
    </w:p>
    <w:p>
      <w:pPr>
        <w:pStyle w:val="7"/>
        <w:shd w:val="clear" w:color="auto" w:fill="FFFFFF"/>
        <w:spacing w:before="0" w:beforeAutospacing="0" w:after="0" w:afterAutospacing="0" w:line="560" w:lineRule="exact"/>
        <w:ind w:firstLine="640" w:firstLineChars="200"/>
        <w:rPr>
          <w:rFonts w:ascii="方正黑体_GBK" w:hAnsi="黑体" w:eastAsia="方正黑体_GBK" w:cs="黑体"/>
          <w:b/>
          <w:sz w:val="32"/>
          <w:szCs w:val="32"/>
        </w:rPr>
      </w:pPr>
      <w:r>
        <w:rPr>
          <w:rStyle w:val="11"/>
          <w:rFonts w:ascii="方正黑体_GBK" w:hAnsi="黑体" w:eastAsia="方正黑体_GBK" w:cs="黑体"/>
          <w:b w:val="0"/>
          <w:sz w:val="32"/>
          <w:szCs w:val="32"/>
          <w:shd w:val="clear" w:color="auto" w:fill="FFFFFF"/>
        </w:rPr>
        <w:t>一、单位基本情况</w:t>
      </w:r>
    </w:p>
    <w:p>
      <w:pPr>
        <w:pStyle w:val="7"/>
        <w:shd w:val="clear" w:color="auto" w:fill="FFFFFF"/>
        <w:spacing w:before="0" w:beforeAutospacing="0" w:after="0" w:afterAutospacing="0" w:line="560" w:lineRule="exact"/>
        <w:ind w:firstLine="640" w:firstLineChars="200"/>
        <w:rPr>
          <w:rStyle w:val="11"/>
          <w:rFonts w:hint="default" w:ascii="黑体" w:hAnsi="黑体" w:eastAsia="黑体" w:cs="黑体"/>
          <w:b w:val="0"/>
          <w:sz w:val="32"/>
          <w:szCs w:val="32"/>
        </w:rPr>
      </w:pPr>
      <w:r>
        <w:rPr>
          <w:rStyle w:val="11"/>
          <w:rFonts w:ascii="方正楷体_GBK" w:hAnsi="楷体" w:eastAsia="方正楷体_GBK" w:cs="楷体"/>
          <w:b w:val="0"/>
          <w:sz w:val="32"/>
          <w:szCs w:val="32"/>
          <w:shd w:val="clear" w:color="auto" w:fill="FFFFFF"/>
        </w:rPr>
        <w:t>（一）职能职责</w:t>
      </w:r>
    </w:p>
    <w:p>
      <w:pPr>
        <w:pStyle w:val="7"/>
        <w:shd w:val="clear" w:color="auto" w:fill="FFFFFF"/>
        <w:spacing w:before="0" w:beforeAutospacing="0" w:after="0" w:afterAutospacing="0" w:line="560" w:lineRule="exact"/>
        <w:ind w:firstLine="640" w:firstLineChars="200"/>
        <w:rPr>
          <w:rFonts w:hint="default" w:ascii="方正楷体_GBK" w:hAnsi="方正仿宋_GBK" w:eastAsia="方正楷体_GBK" w:cs="方正仿宋_GBK"/>
          <w:sz w:val="32"/>
          <w:szCs w:val="32"/>
        </w:rPr>
      </w:pPr>
      <w:r>
        <w:rPr>
          <w:rFonts w:ascii="方正仿宋_GBK" w:hAnsi="方正仿宋_GBK" w:eastAsia="方正仿宋_GBK" w:cs="方正仿宋_GBK"/>
          <w:sz w:val="32"/>
          <w:szCs w:val="32"/>
        </w:rPr>
        <w:t>丰都县城市管理综合行政执法支队以县城市管理局的名义，统一行使城市管理领域的行政处罚权及与之相关的行政检查、行政强制权等执法职能。</w:t>
      </w:r>
    </w:p>
    <w:p>
      <w:pPr>
        <w:spacing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划入县城区规划城镇建设用地范围内的城市违法建筑执法职责。</w:t>
      </w:r>
    </w:p>
    <w:p>
      <w:pPr>
        <w:spacing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承担市政公用设施、市容环境环卫、园林绿化、户外广告、城市供水排水等方面的行政处罚及相应的强制职能。</w:t>
      </w:r>
    </w:p>
    <w:p>
      <w:pPr>
        <w:spacing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承担环境保护管理方面露天烧烤污染、城市焚烧沥青塑料垃圾等烟尘和恶臭污染、露天焚烧秸秆落叶等烟尘污染方面的行政处罚及相应的强制职能。</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4.承担工商管理方面户外公共场所无照经营、违规设置户外广告的行政处罚及相应的强制职能。</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5.承担交通管理方面侵占城市道路的行政处罚及相应的强制职能。</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6.承担水务管理方面向城市河道倾倒废弃物和垃圾的行政处罚及相应的强制职能。</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7.承担食品药品监管方面户外公共场所食品销售和餐饮摊点无证经营的行政处罚及相应的强制职能。          </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8.承担县城区规划城镇建设用地范围内的城市违法建筑执法职责。</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9.监督、指导乡镇（街道）城市管理综合行政执法工作。</w:t>
      </w:r>
    </w:p>
    <w:p>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10.承担城市管理综合行政执法队伍纠察工作。</w:t>
      </w:r>
    </w:p>
    <w:p>
      <w:pPr>
        <w:spacing w:line="560" w:lineRule="exact"/>
        <w:ind w:left="638" w:leftChars="266"/>
        <w:rPr>
          <w:rFonts w:hint="default" w:ascii="方正仿宋_GBK" w:hAnsi="方正仿宋_GBK" w:eastAsia="方正仿宋_GBK" w:cs="方正仿宋_GBK"/>
          <w:b/>
          <w:sz w:val="32"/>
          <w:szCs w:val="32"/>
        </w:rPr>
      </w:pPr>
      <w:r>
        <w:rPr>
          <w:rFonts w:hint="default" w:ascii="Times New Roman" w:hAnsi="Times New Roman" w:eastAsia="方正仿宋_GBK"/>
          <w:sz w:val="32"/>
          <w:szCs w:val="32"/>
        </w:rPr>
        <w:t>11.完成县委、县政府和县城市管理局交办的其他任务。</w:t>
      </w:r>
      <w:r>
        <w:rPr>
          <w:rStyle w:val="11"/>
          <w:rFonts w:ascii="方正楷体_GBK" w:hAnsi="楷体" w:eastAsia="方正楷体_GBK" w:cs="楷体"/>
          <w:b w:val="0"/>
          <w:sz w:val="32"/>
          <w:szCs w:val="32"/>
          <w:shd w:val="clear" w:color="auto" w:fill="FFFFFF"/>
        </w:rPr>
        <w:t>（二）机构设置</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本单位内设机构为：综合科、法制科、纠察科、一大队、二大队、三大队、四大队7个。</w:t>
      </w:r>
    </w:p>
    <w:p>
      <w:pPr>
        <w:pStyle w:val="7"/>
        <w:shd w:val="clear" w:color="auto" w:fill="FFFFFF"/>
        <w:spacing w:before="0" w:beforeAutospacing="0" w:after="0" w:afterAutospacing="0" w:line="560" w:lineRule="exact"/>
        <w:ind w:firstLine="640" w:firstLineChars="200"/>
        <w:rPr>
          <w:rStyle w:val="11"/>
          <w:rFonts w:ascii="方正黑体_GBK" w:hAnsi="黑体" w:eastAsia="方正黑体_GBK" w:cs="黑体"/>
          <w:b w:val="0"/>
          <w:sz w:val="32"/>
          <w:szCs w:val="32"/>
          <w:shd w:val="clear" w:color="auto" w:fill="FFFFFF"/>
        </w:rPr>
      </w:pPr>
      <w:r>
        <w:rPr>
          <w:rStyle w:val="11"/>
          <w:rFonts w:ascii="方正黑体_GBK" w:hAnsi="黑体" w:eastAsia="方正黑体_GBK" w:cs="黑体"/>
          <w:b w:val="0"/>
          <w:sz w:val="32"/>
          <w:szCs w:val="32"/>
          <w:shd w:val="clear" w:color="auto" w:fill="FFFFFF"/>
        </w:rPr>
        <w:t>二、单位决算情况说明</w:t>
      </w:r>
    </w:p>
    <w:p>
      <w:pPr>
        <w:pStyle w:val="7"/>
        <w:shd w:val="clear" w:color="auto" w:fill="FFFFFF"/>
        <w:spacing w:before="0" w:beforeAutospacing="0" w:after="0" w:afterAutospacing="0" w:line="560" w:lineRule="exact"/>
        <w:ind w:firstLine="640" w:firstLineChars="200"/>
        <w:rPr>
          <w:rFonts w:hint="default" w:ascii="黑体" w:hAnsi="黑体" w:eastAsia="黑体" w:cs="黑体"/>
          <w:sz w:val="32"/>
          <w:szCs w:val="32"/>
          <w:shd w:val="clear" w:color="auto" w:fill="FFFFFF"/>
        </w:rPr>
      </w:pPr>
      <w:r>
        <w:rPr>
          <w:rFonts w:ascii="方正楷体_GBK" w:hAnsi="楷体" w:eastAsia="方正楷体_GBK" w:cs="楷体"/>
          <w:bCs/>
          <w:sz w:val="32"/>
          <w:szCs w:val="32"/>
          <w:shd w:val="clear" w:color="auto" w:fill="FFFFFF"/>
        </w:rPr>
        <w:t>（一）收入支出决算总体情况说明</w:t>
      </w:r>
    </w:p>
    <w:p>
      <w:pPr>
        <w:pStyle w:val="7"/>
        <w:shd w:val="clear" w:color="auto" w:fill="FFFFFF"/>
        <w:spacing w:before="0" w:beforeAutospacing="0" w:after="0" w:afterAutospacing="0" w:line="560" w:lineRule="exact"/>
        <w:ind w:firstLine="640" w:firstLineChars="200"/>
        <w:rPr>
          <w:rFonts w:hint="default" w:ascii="Times New Roman" w:hAnsi="Times New Roman" w:eastAsia="黑体"/>
          <w:b/>
          <w:sz w:val="32"/>
          <w:szCs w:val="32"/>
          <w:shd w:val="clear" w:color="auto" w:fill="FFFFFF"/>
        </w:rPr>
      </w:pPr>
      <w:r>
        <w:rPr>
          <w:rStyle w:val="11"/>
          <w:rFonts w:hint="default" w:ascii="Times New Roman" w:hAnsi="Times New Roman" w:eastAsia="方正仿宋_GBK"/>
          <w:b w:val="0"/>
          <w:bCs/>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2023年度收入总计1583.02万元，支出总计</w:t>
      </w:r>
      <w:r>
        <w:rPr>
          <w:rFonts w:hint="default" w:ascii="Times New Roman" w:hAnsi="Times New Roman" w:eastAsia="方正仿宋_GBK"/>
          <w:sz w:val="32"/>
          <w:szCs w:val="32"/>
        </w:rPr>
        <w:t>1583.02</w:t>
      </w:r>
      <w:r>
        <w:rPr>
          <w:rFonts w:hint="default" w:ascii="Times New Roman" w:hAnsi="Times New Roman" w:eastAsia="方正仿宋_GBK"/>
          <w:sz w:val="32"/>
          <w:szCs w:val="32"/>
          <w:shd w:val="clear" w:color="auto" w:fill="FFFFFF"/>
        </w:rPr>
        <w:t>万元。收支较上年决算数增加312.79万元，增长24.62%，主要原因是本年度新招人员5名，经费调整预算增加及城市管理专项资金投入调整增加。</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 w:val="0"/>
          <w:bCs/>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2023年度收入合计1557.87万元，较上年决算数增加287.64万元，增长22.64%，主要原因是本年度新招人员5名，经费调整预算增加及城市管理专项资金投入调整增加。其中：财政拨款收入</w:t>
      </w:r>
      <w:r>
        <w:rPr>
          <w:rFonts w:hint="default" w:ascii="Times New Roman" w:hAnsi="Times New Roman" w:eastAsia="方正仿宋_GBK"/>
          <w:sz w:val="32"/>
          <w:szCs w:val="32"/>
        </w:rPr>
        <w:t>1557.87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25.15</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 w:val="0"/>
          <w:bCs/>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1583.02</w:t>
      </w:r>
      <w:r>
        <w:rPr>
          <w:rFonts w:hint="default" w:ascii="Times New Roman" w:hAnsi="Times New Roman" w:eastAsia="方正仿宋_GBK"/>
          <w:sz w:val="32"/>
          <w:szCs w:val="32"/>
          <w:shd w:val="clear" w:color="auto" w:fill="FFFFFF"/>
        </w:rPr>
        <w:t>万元，较上年决算数增加312.79万元，增长24.62%，主要原因是本年度新招人员5名，经费调整预算增加及城市管理专项资金投入增加。其中：基本支出</w:t>
      </w:r>
      <w:r>
        <w:rPr>
          <w:rFonts w:hint="default" w:ascii="Times New Roman" w:hAnsi="Times New Roman" w:eastAsia="方正仿宋_GBK"/>
          <w:sz w:val="32"/>
          <w:szCs w:val="32"/>
        </w:rPr>
        <w:t>800.47</w:t>
      </w:r>
      <w:r>
        <w:rPr>
          <w:rFonts w:hint="default" w:ascii="Times New Roman" w:hAnsi="Times New Roman" w:eastAsia="方正仿宋_GBK"/>
          <w:sz w:val="32"/>
          <w:szCs w:val="32"/>
          <w:shd w:val="clear" w:color="auto" w:fill="FFFFFF"/>
        </w:rPr>
        <w:t>万元，占50.57%；项目支出</w:t>
      </w:r>
      <w:r>
        <w:rPr>
          <w:rFonts w:hint="default" w:ascii="Times New Roman" w:hAnsi="Times New Roman" w:eastAsia="方正仿宋_GBK"/>
          <w:sz w:val="32"/>
          <w:szCs w:val="32"/>
        </w:rPr>
        <w:t>782.55</w:t>
      </w:r>
      <w:r>
        <w:rPr>
          <w:rFonts w:hint="default" w:ascii="Times New Roman" w:hAnsi="Times New Roman" w:eastAsia="方正仿宋_GBK"/>
          <w:sz w:val="32"/>
          <w:szCs w:val="32"/>
          <w:shd w:val="clear" w:color="auto" w:fill="FFFFFF"/>
        </w:rPr>
        <w:t>万元，占49.43%；经营支出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万元，较上年决算数无增减，与上年持平。</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2023年度财政拨款收、支总计1583.02万元。与2022年相比，财政拨款收、支总计各增加312.79万元，增长24.62%。主要原因是本年度新招人员5名，经费调整预算增加及城市管理专项资金投入调整增加。</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1557.87</w:t>
      </w:r>
      <w:r>
        <w:rPr>
          <w:rFonts w:hint="default" w:ascii="Times New Roman" w:hAnsi="Times New Roman" w:eastAsia="方正仿宋_GBK"/>
          <w:sz w:val="32"/>
          <w:szCs w:val="32"/>
          <w:shd w:val="clear" w:color="auto" w:fill="FFFFFF"/>
        </w:rPr>
        <w:t>万元，较上年决算数增加287.64万元，增长22.64%。主要原因是本年度新招人员5名，经费调整预算增加及城市管理专项资金投入调整增加。较年初预算数增加374.01万元，增长31.59%。主要原因是本年度新招人员5名，经费调整预算增加及城市管理专项资金投入调整增加。此外，年初财政拨款结转和结余</w:t>
      </w:r>
      <w:r>
        <w:rPr>
          <w:rFonts w:hint="default" w:ascii="Times New Roman" w:hAnsi="Times New Roman" w:eastAsia="方正仿宋_GBK"/>
          <w:sz w:val="32"/>
          <w:szCs w:val="32"/>
        </w:rPr>
        <w:t>25.15</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1583.02</w:t>
      </w:r>
      <w:r>
        <w:rPr>
          <w:rFonts w:hint="default" w:ascii="Times New Roman" w:hAnsi="Times New Roman" w:eastAsia="方正仿宋_GBK"/>
          <w:sz w:val="32"/>
          <w:szCs w:val="32"/>
          <w:shd w:val="clear" w:color="auto" w:fill="FFFFFF"/>
        </w:rPr>
        <w:t>万元，较上年决算数增加312.79万元，增长24.62%。主要原因是本年度新招人员5名，经费调整预算增加及城市管理专项资金投入增加。较年初预算数增加399.16万元，增长33.72%。主要原因是本年度新招人员5名，经费调整预算增加及城市管理专项资金投入增加。</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万元，较上年决算数无增减，与上年持平。</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11"/>
          <w:rFonts w:hint="default" w:ascii="Times New Roman" w:hAnsi="Times New Roman" w:eastAsia="方正仿宋_GBK"/>
          <w:b w:val="0"/>
          <w:bCs/>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156.22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9.87</w:t>
      </w:r>
      <w:r>
        <w:rPr>
          <w:rFonts w:hint="default" w:ascii="Times New Roman" w:hAnsi="Times New Roman" w:eastAsia="方正仿宋_GBK"/>
          <w:sz w:val="32"/>
          <w:szCs w:val="32"/>
          <w:shd w:val="clear" w:color="auto" w:fill="FFFFFF"/>
        </w:rPr>
        <w:t>%，较年初预算数增加60.96万元，增长63.99%，主要原因是政策性基数调整。</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29.58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1.87</w:t>
      </w:r>
      <w:r>
        <w:rPr>
          <w:rFonts w:hint="default" w:ascii="Times New Roman" w:hAnsi="Times New Roman" w:eastAsia="方正仿宋_GBK"/>
          <w:sz w:val="32"/>
          <w:szCs w:val="32"/>
          <w:shd w:val="clear" w:color="auto" w:fill="FFFFFF"/>
        </w:rPr>
        <w:t>%，较年初预算数增加0.23万元，增长0.78%，主要原因是政策性基数调整。</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pct10" w:color="auto" w:fill="FFFFFF"/>
        </w:rPr>
      </w:pPr>
      <w:r>
        <w:rPr>
          <w:rFonts w:hint="default" w:ascii="Times New Roman" w:hAnsi="Times New Roman" w:eastAsia="方正仿宋_GBK"/>
          <w:sz w:val="32"/>
          <w:szCs w:val="32"/>
          <w:shd w:val="clear" w:color="auto" w:fill="FFFFFF"/>
        </w:rPr>
        <w:t>（3）城乡社区支出</w:t>
      </w:r>
      <w:r>
        <w:rPr>
          <w:rFonts w:hint="default" w:ascii="Times New Roman" w:hAnsi="Times New Roman" w:eastAsia="方正仿宋_GBK"/>
          <w:sz w:val="32"/>
          <w:szCs w:val="32"/>
        </w:rPr>
        <w:t>1360.92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85.97</w:t>
      </w:r>
      <w:r>
        <w:rPr>
          <w:rFonts w:hint="default" w:ascii="Times New Roman" w:hAnsi="Times New Roman" w:eastAsia="方正仿宋_GBK"/>
          <w:sz w:val="32"/>
          <w:szCs w:val="32"/>
          <w:shd w:val="clear" w:color="auto" w:fill="FFFFFF"/>
        </w:rPr>
        <w:t>%，较年初预算数增加347.62万元，增长34.31%，主要原因是</w:t>
      </w:r>
      <w:r>
        <w:rPr>
          <w:rFonts w:hint="default" w:ascii="Times New Roman" w:hAnsi="Times New Roman" w:eastAsia="方正仿宋_GBK"/>
          <w:sz w:val="32"/>
          <w:szCs w:val="32"/>
        </w:rPr>
        <w:t>追加了项目资金即城市管理资金的投入。</w:t>
      </w:r>
    </w:p>
    <w:p>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住房保障支出36.30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2.29</w:t>
      </w:r>
      <w:r>
        <w:rPr>
          <w:rFonts w:hint="default" w:ascii="Times New Roman" w:hAnsi="Times New Roman" w:eastAsia="方正仿宋_GBK"/>
          <w:sz w:val="32"/>
          <w:szCs w:val="32"/>
          <w:shd w:val="clear" w:color="auto" w:fill="FFFFFF"/>
        </w:rPr>
        <w:t>%，较年初预算数减少9.65万元，下降21.00%，主要原因是政策性基数调整减少。</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sz w:val="32"/>
          <w:szCs w:val="32"/>
          <w:shd w:val="clear" w:color="auto" w:fill="FFFFFF"/>
        </w:rPr>
        <w:t> </w:t>
      </w: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800.47</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667.62</w:t>
      </w:r>
      <w:r>
        <w:rPr>
          <w:rFonts w:hint="default" w:ascii="Times New Roman" w:hAnsi="Times New Roman" w:eastAsia="方正仿宋_GBK"/>
          <w:sz w:val="32"/>
          <w:szCs w:val="32"/>
          <w:shd w:val="clear" w:color="auto" w:fill="FFFFFF"/>
        </w:rPr>
        <w:t>万元，较上年决算数增加72.58万元，增长12.20%，主要原因是本年度新招5人及政策性增资调整。人员经费用途主要包括基本工资、</w:t>
      </w:r>
      <w:r>
        <w:rPr>
          <w:rFonts w:hint="default" w:ascii="Times New Roman" w:hAnsi="Times New Roman" w:eastAsia="方正仿宋_GBK"/>
          <w:sz w:val="32"/>
          <w:szCs w:val="32"/>
        </w:rPr>
        <w:t>津贴补贴、奖金、社会保障缴费、住房公积金等支出。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132.85</w:t>
      </w:r>
      <w:r>
        <w:rPr>
          <w:rFonts w:hint="default" w:ascii="Times New Roman" w:hAnsi="Times New Roman" w:eastAsia="方正仿宋_GBK"/>
          <w:sz w:val="32"/>
          <w:szCs w:val="32"/>
          <w:shd w:val="clear" w:color="auto" w:fill="FFFFFF"/>
        </w:rPr>
        <w:t>万元，较上年决算数增加29.04万元，增长27.97%，主要原因是新招5人费用增加；二是增加了工会经费支出、县外实地法制培训费及接待区县交流学习费用。公用经费用途主要包括</w:t>
      </w:r>
      <w:r>
        <w:rPr>
          <w:rFonts w:hint="default" w:ascii="Times New Roman" w:hAnsi="Times New Roman" w:eastAsia="方正仿宋_GBK"/>
          <w:sz w:val="32"/>
          <w:szCs w:val="32"/>
        </w:rPr>
        <w:t>办公</w:t>
      </w:r>
      <w:r>
        <w:rPr>
          <w:rFonts w:ascii="方正仿宋_GBK" w:hAnsi="方正仿宋_GBK" w:eastAsia="方正仿宋_GBK" w:cs="方正仿宋_GBK"/>
          <w:sz w:val="32"/>
          <w:szCs w:val="32"/>
        </w:rPr>
        <w:t>费、水电费、公务车运行维护费、公务接待费、工会经费、劳务费、差旅费、培训费、邮电费、其他商品服务支出等支出。</w:t>
      </w:r>
    </w:p>
    <w:p>
      <w:pPr>
        <w:pStyle w:val="7"/>
        <w:snapToGrid w:val="0"/>
        <w:spacing w:before="0" w:beforeAutospacing="0" w:after="0" w:afterAutospacing="0" w:line="56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（五）政府性基金预算收支决算情况说明</w:t>
      </w:r>
    </w:p>
    <w:p>
      <w:pPr>
        <w:pStyle w:val="12"/>
        <w:autoSpaceDE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本单位2023年度无政府性基金预算财政拨款收支。</w:t>
      </w:r>
    </w:p>
    <w:p>
      <w:pPr>
        <w:pStyle w:val="12"/>
        <w:autoSpaceDE w:val="0"/>
        <w:spacing w:line="560" w:lineRule="exact"/>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12"/>
        <w:autoSpaceDE w:val="0"/>
        <w:spacing w:line="560" w:lineRule="exact"/>
        <w:ind w:firstLine="640"/>
        <w:rPr>
          <w:rFonts w:ascii="Times New Roman" w:hAnsi="Times New Roman" w:eastAsia="方正楷体_GBK"/>
          <w:bCs/>
          <w:sz w:val="32"/>
          <w:szCs w:val="32"/>
          <w:shd w:val="clear" w:color="auto" w:fill="FFFFFF"/>
        </w:rPr>
      </w:pPr>
      <w:r>
        <w:rPr>
          <w:rFonts w:ascii="Times New Roman" w:hAnsi="Times New Roman" w:eastAsia="方正仿宋_GBK"/>
          <w:sz w:val="32"/>
          <w:szCs w:val="32"/>
          <w:shd w:val="clear" w:color="auto" w:fill="FFFFFF"/>
        </w:rPr>
        <w:t>本单位2023年度无国有资本经营预算财政拨款支出。</w:t>
      </w:r>
    </w:p>
    <w:p>
      <w:pPr>
        <w:pStyle w:val="7"/>
        <w:shd w:val="clear" w:color="auto" w:fill="FFFFFF"/>
        <w:spacing w:before="0" w:beforeAutospacing="0" w:after="0" w:afterAutospacing="0" w:line="560" w:lineRule="exact"/>
        <w:ind w:firstLine="640" w:firstLineChars="200"/>
        <w:rPr>
          <w:rStyle w:val="11"/>
          <w:rFonts w:ascii="方正黑体_GBK" w:hAnsi="黑体" w:eastAsia="方正黑体_GBK" w:cs="黑体"/>
          <w:b w:val="0"/>
          <w:sz w:val="32"/>
          <w:szCs w:val="32"/>
          <w:shd w:val="clear" w:color="auto" w:fill="FFFFFF"/>
        </w:rPr>
      </w:pPr>
      <w:r>
        <w:rPr>
          <w:rStyle w:val="11"/>
          <w:rFonts w:ascii="方正黑体_GBK" w:hAnsi="黑体" w:eastAsia="方正黑体_GBK" w:cs="黑体"/>
          <w:b w:val="0"/>
          <w:sz w:val="32"/>
          <w:szCs w:val="32"/>
          <w:shd w:val="clear" w:color="auto" w:fill="FFFFFF"/>
        </w:rPr>
        <w:t>三、“三公”经费情况说明</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59.88</w:t>
      </w:r>
      <w:r>
        <w:rPr>
          <w:rFonts w:hint="default" w:ascii="Times New Roman" w:hAnsi="Times New Roman" w:eastAsia="方正仿宋_GBK"/>
          <w:sz w:val="32"/>
          <w:szCs w:val="32"/>
          <w:shd w:val="clear" w:color="auto" w:fill="FFFFFF"/>
        </w:rPr>
        <w:t>万元，较年初预算数增加40.88万元，增长215.16%，主要原因是新增公务车2台，预算调整增加。较上年支出数增加50.79万元，增长558.75%，主要原因是新增公务车购置费用、新增县外实地培训费及接待区县交流费用增加。</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万元，费用支出较年初预算数无增减较上年支出数无增减，本单位2023年度未发生因公出国（境）费用。</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48.36</w:t>
      </w:r>
      <w:r>
        <w:rPr>
          <w:rFonts w:hint="default" w:ascii="Times New Roman" w:hAnsi="Times New Roman" w:eastAsia="方正仿宋_GBK"/>
          <w:sz w:val="32"/>
          <w:szCs w:val="32"/>
          <w:shd w:val="clear" w:color="auto" w:fill="FFFFFF"/>
        </w:rPr>
        <w:t>万元，主要用于单位执法执勤及应急保障用车。费用支出较年初预算数增加48.36万元，增长100.00%，主要原因是执法业务增加，县政府批准新购公务车2台。较上年支出数增加48.36万元，增长100.00%，主要原因是执法业务增加，县政府批准新购公务车2台。</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11.14</w:t>
      </w:r>
      <w:r>
        <w:rPr>
          <w:rFonts w:hint="default" w:ascii="Times New Roman" w:hAnsi="Times New Roman" w:eastAsia="方正仿宋_GBK"/>
          <w:sz w:val="32"/>
          <w:szCs w:val="32"/>
          <w:shd w:val="clear" w:color="auto" w:fill="FFFFFF"/>
        </w:rPr>
        <w:t>万元，主要用于</w:t>
      </w:r>
      <w:r>
        <w:rPr>
          <w:rFonts w:hint="default" w:ascii="Times New Roman" w:hAnsi="Times New Roman" w:eastAsia="方正仿宋_GBK"/>
          <w:sz w:val="32"/>
          <w:szCs w:val="32"/>
        </w:rPr>
        <w:t>管辖区域主、次干道日常巡逻产生的车辆维修费、油料费；车辆保险费、年审费等。</w:t>
      </w:r>
      <w:r>
        <w:rPr>
          <w:rFonts w:hint="default" w:ascii="Times New Roman" w:hAnsi="Times New Roman" w:eastAsia="方正仿宋_GBK"/>
          <w:sz w:val="32"/>
          <w:szCs w:val="32"/>
          <w:shd w:val="clear" w:color="auto" w:fill="FFFFFF"/>
        </w:rPr>
        <w:t>费用支出较年初预算数减少6.86万元，下降38.11%，主要原因是公务车</w:t>
      </w:r>
      <w:r>
        <w:rPr>
          <w:rFonts w:hint="default" w:ascii="Times New Roman" w:hAnsi="Times New Roman" w:eastAsia="方正仿宋_GBK"/>
          <w:sz w:val="32"/>
          <w:szCs w:val="32"/>
        </w:rPr>
        <w:t>车辆维修费、油料费减少。</w:t>
      </w:r>
      <w:r>
        <w:rPr>
          <w:rFonts w:hint="default" w:ascii="Times New Roman" w:hAnsi="Times New Roman" w:eastAsia="方正仿宋_GBK"/>
          <w:sz w:val="32"/>
          <w:szCs w:val="32"/>
          <w:shd w:val="clear" w:color="auto" w:fill="FFFFFF"/>
        </w:rPr>
        <w:t>较上年支出数增加2.12万元，增长23.50%，主要原因是新增2台公务车，维护费、保险费等相应增加。</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0.38</w:t>
      </w:r>
      <w:r>
        <w:rPr>
          <w:rFonts w:hint="default" w:ascii="Times New Roman" w:hAnsi="Times New Roman" w:eastAsia="方正仿宋_GBK"/>
          <w:sz w:val="32"/>
          <w:szCs w:val="32"/>
          <w:shd w:val="clear" w:color="auto" w:fill="FFFFFF"/>
        </w:rPr>
        <w:t>万元，主要用于接待</w:t>
      </w:r>
      <w:r>
        <w:rPr>
          <w:rFonts w:hint="default" w:ascii="Times New Roman" w:hAnsi="Times New Roman" w:eastAsia="方正仿宋_GBK"/>
          <w:sz w:val="32"/>
          <w:szCs w:val="32"/>
        </w:rPr>
        <w:t>其他区县到我单位交流学习事宜发生的接待支出。</w:t>
      </w:r>
      <w:r>
        <w:rPr>
          <w:rFonts w:hint="default" w:ascii="Times New Roman" w:hAnsi="Times New Roman" w:eastAsia="方正仿宋_GBK"/>
          <w:sz w:val="32"/>
          <w:szCs w:val="32"/>
          <w:shd w:val="clear" w:color="auto" w:fill="FFFFFF"/>
        </w:rPr>
        <w:t>费用支出较年初预算数减少0.62万元，下降62.00%，主要原因是严格执行厉行节约原则。较上年支出数增加0.31万元，增长442.86%，主要原因是单位违法建设在重庆市年终考核成绩突出，其他区县来丰交流学习次数增加。</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6</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31</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122.19</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24.18</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1.86</w:t>
      </w:r>
      <w:r>
        <w:rPr>
          <w:rFonts w:hint="default" w:ascii="Times New Roman" w:hAnsi="Times New Roman" w:eastAsia="方正仿宋_GBK"/>
          <w:sz w:val="32"/>
          <w:szCs w:val="32"/>
          <w:shd w:val="clear" w:color="auto" w:fill="FFFFFF"/>
        </w:rPr>
        <w:t>万元。</w:t>
      </w:r>
    </w:p>
    <w:p>
      <w:pPr>
        <w:pStyle w:val="7"/>
        <w:shd w:val="clear" w:color="auto" w:fill="FFFFFF"/>
        <w:spacing w:before="0" w:beforeAutospacing="0" w:after="0" w:afterAutospacing="0" w:line="560" w:lineRule="exact"/>
        <w:ind w:firstLine="640" w:firstLineChars="200"/>
        <w:rPr>
          <w:rStyle w:val="11"/>
          <w:rFonts w:ascii="方正黑体_GBK" w:hAnsi="方正仿宋_GBK" w:eastAsia="方正黑体_GBK" w:cs="方正仿宋_GBK"/>
          <w:b w:val="0"/>
          <w:sz w:val="32"/>
          <w:szCs w:val="32"/>
          <w:shd w:val="clear" w:color="auto" w:fill="FFFFFF"/>
        </w:rPr>
      </w:pPr>
      <w:r>
        <w:rPr>
          <w:rStyle w:val="11"/>
          <w:rFonts w:ascii="方正黑体_GBK" w:hAnsi="黑体" w:eastAsia="方正黑体_GBK" w:cs="黑体"/>
          <w:b w:val="0"/>
          <w:sz w:val="32"/>
          <w:szCs w:val="32"/>
          <w:shd w:val="clear" w:color="auto" w:fill="FFFFFF"/>
        </w:rPr>
        <w:t>四、其他需要说明的事项</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7"/>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highlight w:val="yellow"/>
          <w:lang w:eastAsia="zh-CN"/>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万元，较上年决算数无增减，与上年持平。本年度培训费支出</w:t>
      </w:r>
      <w:r>
        <w:rPr>
          <w:rFonts w:hint="default" w:ascii="Times New Roman" w:hAnsi="Times New Roman" w:eastAsia="方正仿宋_GBK"/>
          <w:sz w:val="32"/>
          <w:szCs w:val="32"/>
        </w:rPr>
        <w:t>1.23</w:t>
      </w:r>
      <w:r>
        <w:rPr>
          <w:rFonts w:hint="default" w:ascii="Times New Roman" w:hAnsi="Times New Roman" w:eastAsia="方正仿宋_GBK"/>
          <w:sz w:val="32"/>
          <w:szCs w:val="32"/>
          <w:shd w:val="clear" w:color="auto" w:fill="FFFFFF"/>
        </w:rPr>
        <w:t>万元，较上年决算数增加0.90万元，增长272.73%，</w:t>
      </w:r>
      <w:r>
        <w:rPr>
          <w:rFonts w:ascii="方正仿宋_GBK" w:hAnsi="方正仿宋_GBK" w:eastAsia="方正仿宋_GBK" w:cs="方正仿宋_GBK"/>
          <w:sz w:val="32"/>
          <w:szCs w:val="32"/>
          <w:shd w:val="clear" w:color="auto" w:fill="FFFFFF"/>
        </w:rPr>
        <w:t>主要原因是本年新增了省外实地法制培训。</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132.85</w:t>
      </w:r>
      <w:r>
        <w:rPr>
          <w:rFonts w:hint="default" w:ascii="Times New Roman" w:hAnsi="Times New Roman" w:eastAsia="方正仿宋_GBK"/>
          <w:sz w:val="32"/>
          <w:szCs w:val="32"/>
          <w:shd w:val="clear" w:color="auto" w:fill="FFFFFF"/>
        </w:rPr>
        <w:t>万元，机关运行经费主要用于</w:t>
      </w:r>
      <w:r>
        <w:rPr>
          <w:rFonts w:hint="default" w:ascii="Times New Roman" w:hAnsi="Times New Roman" w:eastAsia="方正仿宋_GBK"/>
          <w:sz w:val="32"/>
          <w:szCs w:val="32"/>
        </w:rPr>
        <w:t>开支办公费、电费、公务车运行维护费、公务接待费、工会经费、劳务费、差旅费、培训费、邮电费、其他商品服务支出等。</w:t>
      </w:r>
      <w:r>
        <w:rPr>
          <w:rFonts w:hint="default" w:ascii="Times New Roman" w:hAnsi="Times New Roman" w:eastAsia="方正仿宋_GBK"/>
          <w:sz w:val="32"/>
          <w:szCs w:val="32"/>
          <w:shd w:val="clear" w:color="auto" w:fill="FFFFFF"/>
        </w:rPr>
        <w:t>机关运行经费较上年支出数增加29.04万元，增长27.97%，主要原因是新招5人费用增加；二是增加了工会经费支出、县外实地法制培训费及接待区县交流学习费用。</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12"/>
        <w:autoSpaceDE w:val="0"/>
        <w:spacing w:line="560" w:lineRule="exact"/>
        <w:ind w:firstLine="640"/>
        <w:rPr>
          <w:rFonts w:ascii="Times New Roman" w:hAnsi="Times New Roman" w:eastAsia="楷体"/>
          <w:b/>
          <w:bCs/>
          <w:sz w:val="32"/>
          <w:szCs w:val="32"/>
          <w:shd w:val="clear" w:color="auto" w:fill="FFFFFF"/>
        </w:rPr>
      </w:pPr>
      <w:r>
        <w:rPr>
          <w:rFonts w:ascii="Times New Roman" w:hAnsi="Times New Roman" w:eastAsia="方正仿宋_GBK"/>
          <w:sz w:val="32"/>
          <w:szCs w:val="32"/>
          <w:shd w:val="clear" w:color="auto" w:fill="FFFFFF"/>
        </w:rPr>
        <w:t>截至2023年12月31日，本单位共有车辆</w:t>
      </w:r>
      <w:r>
        <w:rPr>
          <w:rFonts w:ascii="Times New Roman" w:hAnsi="Times New Roman" w:eastAsia="方正仿宋_GBK"/>
          <w:sz w:val="32"/>
          <w:szCs w:val="32"/>
        </w:rPr>
        <w:t>12</w:t>
      </w:r>
      <w:r>
        <w:rPr>
          <w:rFonts w:ascii="Times New Roman" w:hAnsi="Times New Roman" w:eastAsia="方正仿宋_GBK"/>
          <w:sz w:val="32"/>
          <w:szCs w:val="32"/>
          <w:shd w:val="clear" w:color="auto" w:fill="FFFFFF"/>
        </w:rPr>
        <w:t>辆，其中，副部（省）级及以上领导用车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辆、主要</w:t>
      </w:r>
      <w:r>
        <w:rPr>
          <w:rFonts w:hint="eastAsia" w:ascii="Times New Roman" w:hAnsi="Times New Roman" w:eastAsia="方正仿宋_GBK"/>
          <w:sz w:val="32"/>
          <w:szCs w:val="32"/>
          <w:highlight w:val="none"/>
          <w:shd w:val="clear" w:color="auto" w:fill="FFFFFF"/>
          <w:lang w:eastAsia="zh-CN"/>
        </w:rPr>
        <w:t>领导干部</w:t>
      </w:r>
      <w:r>
        <w:rPr>
          <w:rFonts w:ascii="Times New Roman" w:hAnsi="Times New Roman" w:eastAsia="方正仿宋_GBK"/>
          <w:sz w:val="32"/>
          <w:szCs w:val="32"/>
          <w:shd w:val="clear" w:color="auto" w:fill="FFFFFF"/>
        </w:rPr>
        <w:t>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辆、机要通信用车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辆、应急保障用车</w:t>
      </w:r>
      <w:r>
        <w:rPr>
          <w:rFonts w:ascii="Times New Roman" w:hAnsi="Times New Roman" w:eastAsia="方正仿宋_GBK"/>
          <w:sz w:val="32"/>
          <w:szCs w:val="32"/>
        </w:rPr>
        <w:t>12</w:t>
      </w:r>
      <w:r>
        <w:rPr>
          <w:rFonts w:ascii="Times New Roman" w:hAnsi="Times New Roman" w:eastAsia="方正仿宋_GBK"/>
          <w:sz w:val="32"/>
          <w:szCs w:val="32"/>
          <w:shd w:val="clear" w:color="auto" w:fill="FFFFFF"/>
        </w:rPr>
        <w:t>辆、执法执勤用车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辆，特种专业技术用车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辆，离退休干部用车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台（套）。</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2023年度我单位未发生政府采购事项，无相关经费支出。</w:t>
      </w:r>
    </w:p>
    <w:p>
      <w:pPr>
        <w:pStyle w:val="7"/>
        <w:shd w:val="clear" w:color="auto" w:fill="FFFFFF"/>
        <w:spacing w:before="0" w:beforeAutospacing="0" w:after="0" w:afterAutospacing="0" w:line="560" w:lineRule="exact"/>
        <w:ind w:firstLine="640" w:firstLineChars="200"/>
        <w:rPr>
          <w:rStyle w:val="11"/>
          <w:rFonts w:ascii="方正黑体_GBK" w:hAnsi="黑体" w:eastAsia="方正黑体_GBK" w:cs="黑体"/>
          <w:b w:val="0"/>
          <w:sz w:val="32"/>
          <w:szCs w:val="32"/>
          <w:shd w:val="clear" w:color="auto" w:fill="FFFFFF"/>
        </w:rPr>
      </w:pPr>
      <w:r>
        <w:rPr>
          <w:rStyle w:val="11"/>
          <w:rFonts w:ascii="方正黑体_GBK" w:hAnsi="黑体" w:eastAsia="方正黑体_GBK" w:cs="黑体"/>
          <w:b w:val="0"/>
          <w:sz w:val="32"/>
          <w:szCs w:val="32"/>
          <w:shd w:val="clear" w:color="auto" w:fill="FFFFFF"/>
        </w:rPr>
        <w:t>五、预算绩效管理情况说明</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pPr>
        <w:pStyle w:val="13"/>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根据预算绩效管理要求，我单位对3个二级项目开展了绩效自评，涉及财政拨款项目支出资金784.10万元。</w:t>
      </w:r>
    </w:p>
    <w:tbl>
      <w:tblPr>
        <w:tblStyle w:val="8"/>
        <w:tblW w:w="14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8"/>
        <w:gridCol w:w="1248"/>
        <w:gridCol w:w="1212"/>
        <w:gridCol w:w="1692"/>
        <w:gridCol w:w="1392"/>
        <w:gridCol w:w="1224"/>
        <w:gridCol w:w="1440"/>
        <w:gridCol w:w="948"/>
        <w:gridCol w:w="696"/>
        <w:gridCol w:w="123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2022年驻村工作队补助经费（城管执法支队）</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50023022T000002455454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606-丰都县城市管理局</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006-经建科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王庆华</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17708365323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8"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4"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5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8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振兴乡村，使人民生活更加稳定、幸福美满。</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振兴乡村，使人民生活更加稳定、幸福美满。</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 </w:t>
            </w:r>
            <w:r>
              <w:rPr>
                <w:rStyle w:val="17"/>
                <w:lang w:val="en-US" w:eastAsia="zh-CN" w:bidi="ar"/>
              </w:rPr>
              <w:t>完成了当年乡村振兴目标任务，让居民生活更加幸福安康。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驻村人数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lang w:eastAsia="zh-CN"/>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任务按计划完成率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lang w:eastAsia="zh-CN"/>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总投入资金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lang w:eastAsia="zh-CN"/>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改善乡村面貌</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帮扶对象满意度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3"/>
        <w:autoSpaceDE w:val="0"/>
        <w:spacing w:before="0" w:beforeAutospacing="0" w:after="0" w:afterAutospacing="0" w:line="560" w:lineRule="exact"/>
        <w:rPr>
          <w:rFonts w:ascii="Times New Roman" w:hAnsi="Times New Roman" w:eastAsia="方正仿宋_GBK"/>
          <w:sz w:val="32"/>
          <w:szCs w:val="32"/>
          <w:shd w:val="clear" w:color="auto" w:fill="FFFFFF"/>
        </w:rPr>
      </w:pPr>
    </w:p>
    <w:p>
      <w:pPr>
        <w:pStyle w:val="13"/>
        <w:autoSpaceDE w:val="0"/>
        <w:spacing w:before="0" w:beforeAutospacing="0" w:after="0" w:afterAutospacing="0" w:line="560" w:lineRule="exact"/>
        <w:rPr>
          <w:rFonts w:ascii="Times New Roman" w:hAnsi="Times New Roman" w:eastAsia="方正仿宋_GBK"/>
          <w:sz w:val="32"/>
          <w:szCs w:val="32"/>
          <w:shd w:val="clear" w:color="auto" w:fill="FFFFFF"/>
        </w:rPr>
      </w:pPr>
    </w:p>
    <w:p>
      <w:pPr>
        <w:pStyle w:val="13"/>
        <w:autoSpaceDE w:val="0"/>
        <w:spacing w:before="0" w:beforeAutospacing="0" w:after="0" w:afterAutospacing="0" w:line="560" w:lineRule="exact"/>
        <w:rPr>
          <w:rFonts w:ascii="Times New Roman" w:hAnsi="Times New Roman" w:eastAsia="方正仿宋_GBK"/>
          <w:sz w:val="32"/>
          <w:szCs w:val="32"/>
          <w:shd w:val="clear" w:color="auto" w:fill="FFFFFF"/>
        </w:rPr>
      </w:pPr>
    </w:p>
    <w:p>
      <w:pPr>
        <w:pStyle w:val="13"/>
        <w:autoSpaceDE w:val="0"/>
        <w:spacing w:before="0" w:beforeAutospacing="0" w:after="0" w:afterAutospacing="0" w:line="560" w:lineRule="exact"/>
        <w:rPr>
          <w:rFonts w:ascii="Times New Roman" w:hAnsi="Times New Roman" w:eastAsia="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8"/>
        <w:tblW w:w="14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8"/>
        <w:gridCol w:w="36"/>
        <w:gridCol w:w="1212"/>
        <w:gridCol w:w="1200"/>
        <w:gridCol w:w="96"/>
        <w:gridCol w:w="1620"/>
        <w:gridCol w:w="72"/>
        <w:gridCol w:w="996"/>
        <w:gridCol w:w="1212"/>
        <w:gridCol w:w="1476"/>
        <w:gridCol w:w="996"/>
        <w:gridCol w:w="936"/>
        <w:gridCol w:w="123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2" w:hRule="atLeast"/>
        </w:trPr>
        <w:tc>
          <w:tcPr>
            <w:tcW w:w="1425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县城管执法支队编外人员经费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50023023T000003463215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2"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606-丰都县城市管理局</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006-经建科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秦春香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15826260955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8" w:hRule="atLeast"/>
        </w:trPr>
        <w:tc>
          <w:tcPr>
            <w:tcW w:w="1425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248" w:type="dxa"/>
            <w:gridSpan w:val="2"/>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48" w:type="dxa"/>
            <w:gridSpan w:val="2"/>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4"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248" w:type="dxa"/>
            <w:gridSpan w:val="2"/>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atLeast"/>
        </w:trPr>
        <w:tc>
          <w:tcPr>
            <w:tcW w:w="1425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58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85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加强城区主次干道市容市貌、市政设施的管理和维护，提升管理水平。改善城区居住环境、美化市容。为市民创造一个干净、整洁、靓丽的城市。取得广大市民的支持和肯定。</w:t>
            </w: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 </w:t>
            </w:r>
            <w:r>
              <w:rPr>
                <w:rStyle w:val="17"/>
                <w:rFonts w:hint="eastAsia"/>
                <w:lang w:val="en-US" w:eastAsia="zh-CN" w:bidi="ar"/>
              </w:rPr>
              <w:t>有效改善了城市主次干道的市容市貌，减少了城市污染，市政设施管护率达100%，项目任务按计划全部完成。取得了广大市民的支持和肯定。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425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聘请协勤人数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市政设施管护区域面积</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万平方公里</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市政维护项目合格率</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项目任务按计划完成率</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编外人员（协勤）平均补助标准</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促进就业、拉动经济增长</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改善城市环境及形象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减少城市污染</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autoSpaceDE w:val="0"/>
        <w:spacing w:line="560" w:lineRule="exact"/>
        <w:ind w:firstLine="640"/>
        <w:rPr>
          <w:rFonts w:hint="eastAsia" w:ascii="方正楷体_GBK" w:hAnsi="楷体" w:eastAsia="方正楷体_GBK" w:cs="楷体"/>
          <w:bCs/>
          <w:sz w:val="32"/>
          <w:szCs w:val="32"/>
          <w:shd w:val="clear" w:color="auto" w:fill="FFFFFF"/>
        </w:rPr>
      </w:pPr>
    </w:p>
    <w:p>
      <w:pPr>
        <w:pStyle w:val="12"/>
        <w:autoSpaceDE w:val="0"/>
        <w:spacing w:line="560" w:lineRule="exact"/>
        <w:ind w:firstLine="640"/>
        <w:rPr>
          <w:rFonts w:hint="eastAsia" w:ascii="方正楷体_GBK" w:hAnsi="楷体" w:eastAsia="方正楷体_GBK" w:cs="楷体"/>
          <w:bCs/>
          <w:sz w:val="32"/>
          <w:szCs w:val="32"/>
          <w:shd w:val="clear" w:color="auto" w:fill="FFFFFF"/>
        </w:rPr>
      </w:pPr>
    </w:p>
    <w:p>
      <w:pPr>
        <w:pStyle w:val="12"/>
        <w:autoSpaceDE w:val="0"/>
        <w:spacing w:line="560" w:lineRule="exact"/>
        <w:ind w:firstLine="640"/>
        <w:rPr>
          <w:rFonts w:hint="eastAsia" w:ascii="方正楷体_GBK" w:hAnsi="楷体" w:eastAsia="方正楷体_GBK" w:cs="楷体"/>
          <w:bCs/>
          <w:sz w:val="32"/>
          <w:szCs w:val="32"/>
          <w:shd w:val="clear" w:color="auto" w:fill="FFFFFF"/>
        </w:rPr>
      </w:pPr>
    </w:p>
    <w:p>
      <w:pPr>
        <w:pStyle w:val="12"/>
        <w:autoSpaceDE w:val="0"/>
        <w:spacing w:line="560" w:lineRule="exact"/>
        <w:ind w:left="0" w:leftChars="0" w:firstLine="0" w:firstLineChars="0"/>
        <w:rPr>
          <w:rFonts w:hint="eastAsia" w:ascii="方正楷体_GBK" w:hAnsi="楷体" w:eastAsia="方正楷体_GBK" w:cs="楷体"/>
          <w:bCs/>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8"/>
        <w:tblW w:w="187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8"/>
        <w:gridCol w:w="1248"/>
        <w:gridCol w:w="1212"/>
        <w:gridCol w:w="1692"/>
        <w:gridCol w:w="1392"/>
        <w:gridCol w:w="1224"/>
        <w:gridCol w:w="1440"/>
        <w:gridCol w:w="780"/>
        <w:gridCol w:w="864"/>
        <w:gridCol w:w="123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治乱、保畅工作经费</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50023023T000003665502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606-丰都县城市管理局</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006-经建科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13132357000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1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24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2,785,461.00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5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8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全面治理城区交通乱、堵，保持人、车辆通行，城区美观、漂亮。</w:t>
            </w: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全面治理城区交通乱、堵，保持人、车辆通行，城区美观、漂亮。</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22"/>
                <w:szCs w:val="22"/>
                <w:u w:val="none"/>
              </w:rPr>
            </w:pPr>
            <w:r>
              <w:rPr>
                <w:rStyle w:val="17"/>
                <w:rFonts w:hint="eastAsia"/>
                <w:lang w:val="en-US" w:eastAsia="zh-CN" w:bidi="ar"/>
              </w:rPr>
              <w:t>有效治理了城区交通乱、堵，保证了居民出行畅通，城区美观、漂亮。已按年初目标全面完成了任务。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atLeast"/>
        </w:trPr>
        <w:tc>
          <w:tcPr>
            <w:tcW w:w="142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县城区面积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公里/平方公里</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环境整洁保持率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项目总投入资金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街道整洁、道路通畅</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环境整洁漂亮</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项目可延续期</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2"/>
        <w:autoSpaceDE w:val="0"/>
        <w:spacing w:line="560" w:lineRule="exact"/>
        <w:ind w:left="0" w:leftChars="0" w:firstLine="0" w:firstLineChars="0"/>
        <w:rPr>
          <w:rFonts w:hint="eastAsia" w:ascii="方正楷体_GBK" w:hAnsi="楷体" w:eastAsia="方正楷体_GBK" w:cs="楷体"/>
          <w:bCs/>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pPr>
        <w:pStyle w:val="12"/>
        <w:autoSpaceDE w:val="0"/>
        <w:spacing w:line="560" w:lineRule="exact"/>
        <w:ind w:firstLine="640"/>
        <w:rPr>
          <w:rFonts w:hint="eastAsia" w:ascii="方正楷体_GBK" w:hAnsi="楷体" w:eastAsia="方正楷体_GBK" w:cs="楷体"/>
          <w:bCs/>
          <w:sz w:val="32"/>
          <w:szCs w:val="32"/>
          <w:shd w:val="clear" w:color="auto" w:fill="FFFFFF"/>
        </w:rPr>
      </w:pPr>
    </w:p>
    <w:p>
      <w:pPr>
        <w:pStyle w:val="12"/>
        <w:autoSpaceDE w:val="0"/>
        <w:spacing w:line="560" w:lineRule="exact"/>
        <w:ind w:firstLine="640"/>
        <w:rPr>
          <w:rFonts w:hint="eastAsia" w:ascii="方正楷体_GBK" w:hAnsi="楷体" w:eastAsia="方正楷体_GBK" w:cs="楷体"/>
          <w:bCs/>
          <w:sz w:val="32"/>
          <w:szCs w:val="32"/>
          <w:shd w:val="clear" w:color="auto" w:fill="FFFFFF"/>
        </w:rPr>
      </w:pP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pPr>
        <w:pStyle w:val="12"/>
        <w:autoSpaceDE w:val="0"/>
        <w:spacing w:line="560" w:lineRule="exact"/>
        <w:ind w:firstLine="640"/>
        <w:rPr>
          <w:rFonts w:hint="eastAsia"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我单位未组织开展绩效评价</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12"/>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highlight w:val="none"/>
          <w:shd w:val="clear" w:color="auto" w:fill="FFFFFF"/>
          <w:lang w:val="en-US" w:eastAsia="zh-CN"/>
        </w:rPr>
        <w:t>县</w:t>
      </w:r>
      <w:r>
        <w:rPr>
          <w:rFonts w:hint="eastAsia" w:ascii="方正仿宋_GBK" w:hAnsi="楷体" w:eastAsia="方正仿宋_GBK" w:cs="楷体"/>
          <w:bCs/>
          <w:sz w:val="32"/>
          <w:szCs w:val="32"/>
          <w:shd w:val="clear" w:color="auto" w:fill="FFFFFF"/>
        </w:rPr>
        <w:t>财政局未委托第三方对我单位开展绩效评价。</w:t>
      </w:r>
    </w:p>
    <w:p>
      <w:pPr>
        <w:pStyle w:val="7"/>
        <w:shd w:val="clear" w:color="auto" w:fill="FFFFFF"/>
        <w:spacing w:before="0" w:beforeAutospacing="0" w:after="0" w:afterAutospacing="0" w:line="560" w:lineRule="exact"/>
        <w:ind w:firstLine="640" w:firstLineChars="200"/>
        <w:rPr>
          <w:rStyle w:val="11"/>
          <w:rFonts w:ascii="方正黑体_GBK" w:hAnsi="方正仿宋_GBK" w:eastAsia="方正黑体_GBK" w:cs="方正仿宋_GBK"/>
          <w:b w:val="0"/>
          <w:sz w:val="32"/>
          <w:szCs w:val="32"/>
          <w:shd w:val="clear" w:color="auto" w:fill="FFFFFF"/>
        </w:rPr>
      </w:pPr>
      <w:r>
        <w:rPr>
          <w:rStyle w:val="11"/>
          <w:rFonts w:ascii="方正黑体_GBK" w:hAnsi="黑体" w:eastAsia="方正黑体_GBK" w:cs="黑体"/>
          <w:b w:val="0"/>
          <w:sz w:val="32"/>
          <w:szCs w:val="32"/>
          <w:shd w:val="clear" w:color="auto" w:fill="FFFFFF"/>
        </w:rPr>
        <w:t>六、专业名词解释</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（二）事业收入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（三）经营收入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（四）其他收入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（五）使用非财政拨款结余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（六）年初结转和结余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（七）结余分配</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（八）年末结转和结余</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（九）基本支出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（十）项目支出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（十一）经营支出</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（十二）“三公”经费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（十三）机关运行经费</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（十四）工资福利支出（支出经济分类科目类级）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（十五）商品和服务支出（支出经济分类科目类级）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（十六）对个人和家庭的补助（支出经济分类科目类级）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60" w:lineRule="exact"/>
        <w:ind w:firstLine="640" w:firstLineChars="200"/>
        <w:rPr>
          <w:rStyle w:val="11"/>
          <w:rFonts w:ascii="方正黑体_GBK" w:hAnsi="方正仿宋_GBK" w:eastAsia="方正黑体_GBK" w:cs="方正仿宋_GBK"/>
          <w:b w:val="0"/>
          <w:sz w:val="32"/>
          <w:szCs w:val="32"/>
          <w:shd w:val="clear" w:color="auto" w:fill="FFFFFF"/>
        </w:rPr>
      </w:pPr>
      <w:r>
        <w:rPr>
          <w:rStyle w:val="11"/>
          <w:rFonts w:ascii="方正黑体_GBK" w:hAnsi="黑体" w:eastAsia="方正黑体_GBK" w:cs="黑体"/>
          <w:b w:val="0"/>
          <w:sz w:val="32"/>
          <w:szCs w:val="32"/>
          <w:shd w:val="clear" w:color="auto" w:fill="FFFFFF"/>
        </w:rPr>
        <w:t>七、决算公开联系方式及信息反馈渠道</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7"/>
        <w:snapToGrid w:val="0"/>
        <w:spacing w:before="0" w:beforeAutospacing="0" w:after="0" w:afterAutospacing="0" w:line="560" w:lineRule="exact"/>
        <w:ind w:firstLine="640" w:firstLineChars="200"/>
        <w:jc w:val="both"/>
        <w:rPr>
          <w:rStyle w:val="11"/>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z w:val="32"/>
          <w:szCs w:val="32"/>
          <w:highlight w:val="none"/>
          <w:shd w:val="clear" w:color="auto" w:fill="FFFFFF"/>
          <w:lang w:val="en-US" w:eastAsia="zh-CN"/>
        </w:rPr>
        <w:t>王庆华</w:t>
      </w:r>
      <w:r>
        <w:rPr>
          <w:rFonts w:hint="eastAsia" w:ascii="Times New Roman" w:hAnsi="Times New Roman" w:eastAsia="方正仿宋_GBK"/>
          <w:sz w:val="32"/>
          <w:szCs w:val="32"/>
          <w:shd w:val="clear" w:color="auto" w:fill="FFFFFF"/>
          <w:lang w:val="en-US" w:eastAsia="zh-CN"/>
        </w:rPr>
        <w:t xml:space="preserve">     </w:t>
      </w:r>
      <w:r>
        <w:rPr>
          <w:rFonts w:hint="default" w:ascii="Times New Roman" w:hAnsi="Times New Roman" w:eastAsia="方正仿宋_GBK"/>
          <w:sz w:val="32"/>
          <w:szCs w:val="32"/>
          <w:shd w:val="clear" w:color="auto" w:fill="FFFFFF"/>
        </w:rPr>
        <w:t>023-7073665</w:t>
      </w:r>
      <w:bookmarkStart w:id="0" w:name="_GoBack"/>
      <w:bookmarkEnd w:id="0"/>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仿宋S"/>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0OTA5OWNmOWM4NzcxYTdiZTUyNjg0MjllOGUyMjUifQ=="/>
  </w:docVars>
  <w:rsids>
    <w:rsidRoot w:val="00172A27"/>
    <w:rsid w:val="000C70BB"/>
    <w:rsid w:val="001D3BB7"/>
    <w:rsid w:val="002031EB"/>
    <w:rsid w:val="002B254B"/>
    <w:rsid w:val="002E797F"/>
    <w:rsid w:val="00466C9B"/>
    <w:rsid w:val="00486541"/>
    <w:rsid w:val="004C4EE8"/>
    <w:rsid w:val="004D62B0"/>
    <w:rsid w:val="00550ABE"/>
    <w:rsid w:val="00560256"/>
    <w:rsid w:val="006706E7"/>
    <w:rsid w:val="006D13FE"/>
    <w:rsid w:val="007110C7"/>
    <w:rsid w:val="00770383"/>
    <w:rsid w:val="007819D4"/>
    <w:rsid w:val="007B419D"/>
    <w:rsid w:val="007B7C4B"/>
    <w:rsid w:val="007C35EC"/>
    <w:rsid w:val="007D3D39"/>
    <w:rsid w:val="008A11F7"/>
    <w:rsid w:val="00994AF7"/>
    <w:rsid w:val="009B67B8"/>
    <w:rsid w:val="009D2B67"/>
    <w:rsid w:val="00A566F9"/>
    <w:rsid w:val="00A6191D"/>
    <w:rsid w:val="00AE5A6B"/>
    <w:rsid w:val="00AF2751"/>
    <w:rsid w:val="00B03CCD"/>
    <w:rsid w:val="00BD70A1"/>
    <w:rsid w:val="00BE2B89"/>
    <w:rsid w:val="00C10E9E"/>
    <w:rsid w:val="00C20C3E"/>
    <w:rsid w:val="00C50860"/>
    <w:rsid w:val="00C73B98"/>
    <w:rsid w:val="00C96E91"/>
    <w:rsid w:val="00CC488B"/>
    <w:rsid w:val="00EC2151"/>
    <w:rsid w:val="00EF06E4"/>
    <w:rsid w:val="00F0476D"/>
    <w:rsid w:val="00F73F90"/>
    <w:rsid w:val="00F9066A"/>
    <w:rsid w:val="01474EBF"/>
    <w:rsid w:val="01F3521E"/>
    <w:rsid w:val="03B87EA0"/>
    <w:rsid w:val="03E3214F"/>
    <w:rsid w:val="044C50BA"/>
    <w:rsid w:val="05BC6D49"/>
    <w:rsid w:val="06194FF1"/>
    <w:rsid w:val="062E2566"/>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0000D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FB545A"/>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0C59DF"/>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C4A5D"/>
    <w:rsid w:val="4DA4771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101CB7"/>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4E03F2"/>
    <w:rsid w:val="72DB435C"/>
    <w:rsid w:val="72E2613A"/>
    <w:rsid w:val="72F771F4"/>
    <w:rsid w:val="73934AD2"/>
    <w:rsid w:val="750837F0"/>
    <w:rsid w:val="754758CF"/>
    <w:rsid w:val="764F62AB"/>
    <w:rsid w:val="765C45EC"/>
    <w:rsid w:val="768A7619"/>
    <w:rsid w:val="772E1EBA"/>
    <w:rsid w:val="777FF11C"/>
    <w:rsid w:val="781926BC"/>
    <w:rsid w:val="796D60A4"/>
    <w:rsid w:val="79A031D5"/>
    <w:rsid w:val="7A1525F7"/>
    <w:rsid w:val="7B420052"/>
    <w:rsid w:val="7BD06A28"/>
    <w:rsid w:val="7C3A7C0B"/>
    <w:rsid w:val="7C5248E4"/>
    <w:rsid w:val="7C566698"/>
    <w:rsid w:val="7C5866A3"/>
    <w:rsid w:val="7D7406BB"/>
    <w:rsid w:val="7DE94331"/>
    <w:rsid w:val="7F446A19"/>
    <w:rsid w:val="7F7452B9"/>
    <w:rsid w:val="FAFE3F88"/>
    <w:rsid w:val="FBEAE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10061</Words>
  <Characters>12618</Characters>
  <Lines>96</Lines>
  <Paragraphs>27</Paragraphs>
  <TotalTime>312</TotalTime>
  <ScaleCrop>false</ScaleCrop>
  <LinksUpToDate>false</LinksUpToDate>
  <CharactersWithSpaces>13696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2024-09-25T15:14:53Z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