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丰都县住房和城乡建设委员会（本级）</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丰都县住房和城乡建设委员会是县政府工作部门，为正科级，挂丰都县人民防空办公室牌子。主要职能职责：1．负责推进住房和城乡建设事业改革发展。2．负责住房和城乡建设财政性资金的监督管理。负责城市建设配套费征收和管理。3．负责房地产行业的监督管理。4．负责建筑行业的监督管理。5．负责勘察设计行业的监督管理。6．负责住房保障工作。7．统筹推进城市基础设施建设工作。8．负责统筹推进城市提升工作。9．统筹城市人居环境改善工作。10．负责城镇排水与污水处理的监督管理。指导乡镇污水处理管理工作。11．负责推进城市修补和有机更新。12．指导村镇建设。13．负责建设科技推广应用。14．负责绿色建筑与建筑节能管理。15．负责建设工程消防设计审查验收相关工作。16．负责住房和城建档案管理，指导行业人才队伍建设，承担建筑工程专业技术资格管理工作。17．完成县委、县政府交办的其他任务。</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Times New Roman"/>
          <w:sz w:val="32"/>
          <w:szCs w:val="32"/>
          <w:shd w:val="clear" w:color="auto" w:fill="FFFFFF"/>
        </w:rPr>
        <w:t>丰都县住房和城乡建设委员会内设8个职能科室：即办公室、法规与安全科、设计与绿色发展科（消防科）、建筑业管理科（行政审批服务科）、市政工程科（人防科）、村镇建设科、房地产管理科、住房管理科。</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napToGrid w:val="0"/>
        <w:spacing w:line="520" w:lineRule="exact"/>
        <w:ind w:firstLine="642" w:firstLineChars="200"/>
        <w:rPr>
          <w:rFonts w:hint="default" w:ascii="Times New Roman" w:hAnsi="Times New Roman" w:eastAsia="方正仿宋_GBK" w:cs="Times New Roman"/>
          <w:sz w:val="32"/>
          <w:szCs w:val="32"/>
          <w:shd w:val="clear" w:color="auto" w:fill="FFFFFF"/>
          <w:lang w:val="en-US" w:eastAsia="zh-CN" w:bidi="ar-SA"/>
        </w:rPr>
      </w:pPr>
      <w:r>
        <w:rPr>
          <w:rStyle w:val="11"/>
          <w:rFonts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2023年度收入总计24492.75万元，支出总计</w:t>
      </w:r>
      <w:r>
        <w:rPr>
          <w:rFonts w:hint="default" w:ascii="Times New Roman" w:hAnsi="Times New Roman" w:eastAsia="方正仿宋_GBK" w:cs="Times New Roman"/>
          <w:sz w:val="32"/>
          <w:szCs w:val="32"/>
        </w:rPr>
        <w:t>24492.75</w:t>
      </w:r>
      <w:r>
        <w:rPr>
          <w:rFonts w:hint="default" w:ascii="Times New Roman" w:hAnsi="Times New Roman" w:eastAsia="方正仿宋_GBK" w:cs="Times New Roman"/>
          <w:sz w:val="32"/>
          <w:szCs w:val="32"/>
          <w:shd w:val="clear" w:color="auto" w:fill="FFFFFF"/>
        </w:rPr>
        <w:t>万元。收支较上年决算数增加4420.61万元，增长22.02%，</w:t>
      </w:r>
      <w:r>
        <w:rPr>
          <w:rFonts w:hint="default" w:ascii="Times New Roman" w:hAnsi="Times New Roman" w:eastAsia="方正仿宋_GBK" w:cs="Times New Roman"/>
          <w:sz w:val="32"/>
          <w:szCs w:val="32"/>
          <w:shd w:val="clear" w:color="auto" w:fill="FFFFFF"/>
          <w:lang w:val="en-US" w:eastAsia="zh-CN" w:bidi="ar-SA"/>
        </w:rPr>
        <w:t>主要原因是老旧小区改造提升等项目、开展工作购买办公用品及人员调薪资有所增加。</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2023年度收入合计24041.48万元，较上年决算数增加11577.34万元，增长92.89%，主要原因是新增丰都县国家级传统村落第六批申报、栗子乡美丽宜居示范乡镇项目、横五路项目征地拆迁费用等</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24041.48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451.28</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24492.75</w:t>
      </w:r>
      <w:r>
        <w:rPr>
          <w:rFonts w:hint="default" w:ascii="Times New Roman" w:hAnsi="Times New Roman" w:eastAsia="方正仿宋_GBK" w:cs="Times New Roman"/>
          <w:sz w:val="32"/>
          <w:szCs w:val="32"/>
          <w:shd w:val="clear" w:color="auto" w:fill="FFFFFF"/>
        </w:rPr>
        <w:t>万元，较上年决算数增加4420.61万元，增长22.02%，主要原因是</w:t>
      </w:r>
      <w:r>
        <w:rPr>
          <w:rFonts w:hint="default" w:ascii="Times New Roman" w:hAnsi="Times New Roman" w:eastAsia="仿宋_GB2312" w:cs="Times New Roman"/>
          <w:b w:val="0"/>
          <w:sz w:val="32"/>
          <w:szCs w:val="32"/>
        </w:rPr>
        <w:t>老旧小区改造提升项目等有所增加、开展工作购买办公用品及人员调薪资</w:t>
      </w:r>
      <w:r>
        <w:rPr>
          <w:rFonts w:hint="default" w:ascii="Times New Roman" w:hAnsi="Times New Roman" w:eastAsia="方正仿宋_GBK" w:cs="Times New Roman"/>
          <w:sz w:val="32"/>
          <w:szCs w:val="32"/>
          <w:shd w:val="clear" w:color="auto" w:fill="FFFFFF"/>
        </w:rPr>
        <w:t>其中</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基本支出</w:t>
      </w:r>
      <w:r>
        <w:rPr>
          <w:rFonts w:hint="default" w:ascii="Times New Roman" w:hAnsi="Times New Roman" w:eastAsia="方正仿宋_GBK" w:cs="Times New Roman"/>
          <w:sz w:val="32"/>
          <w:szCs w:val="32"/>
        </w:rPr>
        <w:t>690.88</w:t>
      </w:r>
      <w:r>
        <w:rPr>
          <w:rFonts w:hint="default" w:ascii="Times New Roman" w:hAnsi="Times New Roman" w:eastAsia="方正仿宋_GBK" w:cs="Times New Roman"/>
          <w:sz w:val="32"/>
          <w:szCs w:val="32"/>
          <w:shd w:val="clear" w:color="auto" w:fill="FFFFFF"/>
        </w:rPr>
        <w:t>万元，占2.82%；项目支出</w:t>
      </w:r>
      <w:r>
        <w:rPr>
          <w:rFonts w:hint="default" w:ascii="Times New Roman" w:hAnsi="Times New Roman" w:eastAsia="方正仿宋_GBK" w:cs="Times New Roman"/>
          <w:sz w:val="32"/>
          <w:szCs w:val="32"/>
        </w:rPr>
        <w:t>23801.87</w:t>
      </w:r>
      <w:r>
        <w:rPr>
          <w:rFonts w:hint="default" w:ascii="Times New Roman" w:hAnsi="Times New Roman" w:eastAsia="方正仿宋_GBK" w:cs="Times New Roman"/>
          <w:sz w:val="32"/>
          <w:szCs w:val="32"/>
          <w:shd w:val="clear" w:color="auto" w:fill="FFFFFF"/>
        </w:rPr>
        <w:t>万元，占97.18%；经营支出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2023年度财政拨款收、支总计24492.75万元。与2022年相比，财政拨款收、支总计各增加4420.61万元，增长22.02%。主要原因是</w:t>
      </w:r>
      <w:r>
        <w:rPr>
          <w:rFonts w:hint="default" w:ascii="Times New Roman" w:hAnsi="Times New Roman" w:eastAsia="方正仿宋_GBK" w:cs="Times New Roman"/>
          <w:sz w:val="32"/>
          <w:szCs w:val="32"/>
          <w:shd w:val="clear" w:color="auto" w:fill="FFFFFF"/>
          <w:lang w:val="en-US" w:eastAsia="zh-CN" w:bidi="ar-SA"/>
        </w:rPr>
        <w:t>老旧小区改造提升项目等有所增加、开展工作购买办公用品及人员调薪资。</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9828.13</w:t>
      </w:r>
      <w:r>
        <w:rPr>
          <w:rFonts w:hint="default" w:ascii="Times New Roman" w:hAnsi="Times New Roman" w:eastAsia="方正仿宋_GBK" w:cs="Times New Roman"/>
          <w:sz w:val="32"/>
          <w:szCs w:val="32"/>
          <w:shd w:val="clear" w:color="auto" w:fill="FFFFFF"/>
        </w:rPr>
        <w:t>万元，较上年决算数增加2246.12万元，增长29.62%。主要原因是</w:t>
      </w:r>
      <w:r>
        <w:rPr>
          <w:rFonts w:hint="default" w:ascii="Times New Roman" w:hAnsi="Times New Roman" w:eastAsia="方正仿宋_GBK" w:cs="Times New Roman"/>
          <w:sz w:val="32"/>
          <w:szCs w:val="32"/>
          <w:shd w:val="clear" w:color="auto" w:fill="FFFFFF"/>
          <w:lang w:val="en-US" w:eastAsia="zh-CN" w:bidi="ar-SA"/>
        </w:rPr>
        <w:t>老旧小区改造提升项目等有所增加、开展工作购买办公用品及人员调薪资。</w:t>
      </w:r>
      <w:r>
        <w:rPr>
          <w:rFonts w:hint="default" w:ascii="Times New Roman" w:hAnsi="Times New Roman" w:eastAsia="方正仿宋_GBK" w:cs="Times New Roman"/>
          <w:sz w:val="32"/>
          <w:szCs w:val="32"/>
          <w:shd w:val="clear" w:color="auto" w:fill="FFFFFF"/>
        </w:rPr>
        <w:t>较年初预算数减少3965.20万元，下降28.75%。主要原因是</w:t>
      </w:r>
      <w:r>
        <w:rPr>
          <w:rFonts w:hint="default" w:ascii="Times New Roman" w:hAnsi="Times New Roman" w:eastAsia="方正仿宋_GBK" w:cs="Times New Roman"/>
          <w:sz w:val="32"/>
          <w:szCs w:val="32"/>
          <w:shd w:val="clear" w:color="auto" w:fill="FFFFFF"/>
          <w:lang w:val="en-US" w:eastAsia="zh-CN"/>
        </w:rPr>
        <w:t>本年度</w:t>
      </w:r>
      <w:r>
        <w:rPr>
          <w:rFonts w:hint="default" w:ascii="Times New Roman" w:hAnsi="Times New Roman" w:eastAsia="方正仿宋_GBK" w:cs="Times New Roman"/>
          <w:color w:val="auto"/>
          <w:sz w:val="32"/>
          <w:szCs w:val="32"/>
          <w:shd w:val="clear" w:color="auto" w:fill="FFFFFF"/>
          <w:lang w:val="en-US" w:eastAsia="zh-CN"/>
        </w:rPr>
        <w:t>部分项目资金未到位以及部分项目未完成，当年预算调整收回指标。</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447.28</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10275.40</w:t>
      </w:r>
      <w:r>
        <w:rPr>
          <w:rFonts w:hint="default" w:ascii="Times New Roman" w:hAnsi="Times New Roman" w:eastAsia="方正仿宋_GBK" w:cs="Times New Roman"/>
          <w:sz w:val="32"/>
          <w:szCs w:val="32"/>
          <w:shd w:val="clear" w:color="auto" w:fill="FFFFFF"/>
        </w:rPr>
        <w:t>万元，较上年决算数增加2693.39万元，增长35.52%。主要原因是</w:t>
      </w:r>
      <w:r>
        <w:rPr>
          <w:rFonts w:hint="default" w:ascii="Times New Roman" w:hAnsi="Times New Roman" w:eastAsia="方正仿宋_GBK" w:cs="Times New Roman"/>
          <w:sz w:val="32"/>
          <w:szCs w:val="32"/>
          <w:shd w:val="clear" w:color="auto" w:fill="FFFFFF"/>
          <w:lang w:val="en-US" w:eastAsia="zh-CN" w:bidi="ar-SA"/>
        </w:rPr>
        <w:t>老旧小区改造提升项目等有所增加、开展工作购买办公用品及人员调薪资。</w:t>
      </w:r>
      <w:r>
        <w:rPr>
          <w:rFonts w:hint="default" w:ascii="Times New Roman" w:hAnsi="Times New Roman" w:eastAsia="方正仿宋_GBK" w:cs="Times New Roman"/>
          <w:sz w:val="32"/>
          <w:szCs w:val="32"/>
          <w:shd w:val="clear" w:color="auto" w:fill="FFFFFF"/>
        </w:rPr>
        <w:t>较年初预算数减少3517.93万元，下降25.50%。主要原因是</w:t>
      </w:r>
      <w:r>
        <w:rPr>
          <w:rFonts w:hint="default" w:ascii="Times New Roman" w:hAnsi="Times New Roman" w:eastAsia="方正仿宋_GBK" w:cs="Times New Roman"/>
          <w:sz w:val="32"/>
          <w:szCs w:val="32"/>
          <w:shd w:val="clear" w:color="auto" w:fill="FFFFFF"/>
          <w:lang w:val="en-US" w:eastAsia="zh-CN"/>
        </w:rPr>
        <w:t>本年度</w:t>
      </w:r>
      <w:r>
        <w:rPr>
          <w:rFonts w:hint="default" w:ascii="Times New Roman" w:hAnsi="Times New Roman" w:eastAsia="方正仿宋_GBK" w:cs="Times New Roman"/>
          <w:color w:val="auto"/>
          <w:sz w:val="32"/>
          <w:szCs w:val="32"/>
          <w:shd w:val="clear" w:color="auto" w:fill="FFFFFF"/>
          <w:lang w:val="en-US" w:eastAsia="zh-CN"/>
        </w:rPr>
        <w:t>部分项目资金未到位以及部分项目未完成，当年预算调整收回指标。</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12.35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%，较年初预算数减少13.89万元，下降52.93%，主要原因是</w:t>
      </w:r>
      <w:r>
        <w:rPr>
          <w:rFonts w:hint="default" w:ascii="Times New Roman" w:hAnsi="Times New Roman" w:eastAsia="方正仿宋_GBK" w:cs="Times New Roman"/>
          <w:sz w:val="32"/>
          <w:szCs w:val="32"/>
          <w:shd w:val="clear" w:color="auto" w:fill="FFFFFF"/>
          <w:lang w:val="en-US" w:eastAsia="zh-CN"/>
        </w:rPr>
        <w:t>年初预算时，基本工资错误填列到本支出，后预算调整导致本支出较年初预算数减少。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217.37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2.12</w:t>
      </w:r>
      <w:r>
        <w:rPr>
          <w:rFonts w:hint="default" w:ascii="Times New Roman" w:hAnsi="Times New Roman" w:eastAsia="方正仿宋_GBK" w:cs="Times New Roman"/>
          <w:sz w:val="32"/>
          <w:szCs w:val="32"/>
          <w:shd w:val="clear" w:color="auto" w:fill="FFFFFF"/>
        </w:rPr>
        <w:t>%，较年初预算数增加55.68万元，增长34.44%，主要原因是</w:t>
      </w:r>
      <w:r>
        <w:rPr>
          <w:rFonts w:hint="default" w:ascii="Times New Roman" w:hAnsi="Times New Roman" w:eastAsia="方正仿宋_GBK" w:cs="Times New Roman"/>
          <w:sz w:val="32"/>
          <w:szCs w:val="32"/>
          <w:shd w:val="clear" w:color="auto" w:fill="FFFFFF"/>
          <w:lang w:val="en-US" w:eastAsia="zh-CN"/>
        </w:rPr>
        <w:t>本年度调整社保缴费基数，导致本支出较年初预算增加。</w:t>
      </w:r>
    </w:p>
    <w:p>
      <w:pPr>
        <w:pStyle w:val="7"/>
        <w:snapToGrid w:val="0"/>
        <w:spacing w:before="0" w:beforeAutospacing="0" w:after="0" w:afterAutospacing="0" w:line="600" w:lineRule="exact"/>
        <w:ind w:firstLine="640" w:firstLineChars="200"/>
        <w:jc w:val="both"/>
        <w:rPr>
          <w:rFonts w:hint="default" w:ascii="Times New Roman" w:hAnsi="Times New Roman" w:cs="Times New Roman"/>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28.89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0.28</w:t>
      </w:r>
      <w:r>
        <w:rPr>
          <w:rFonts w:hint="default" w:ascii="Times New Roman" w:hAnsi="Times New Roman" w:eastAsia="方正仿宋_GBK" w:cs="Times New Roman"/>
          <w:sz w:val="32"/>
          <w:szCs w:val="32"/>
          <w:shd w:val="clear" w:color="auto" w:fill="FFFFFF"/>
        </w:rPr>
        <w:t>%，较年初预算数减少0.35万元，下降1.20%，主要原因是</w:t>
      </w:r>
      <w:r>
        <w:rPr>
          <w:rFonts w:hint="default" w:ascii="Times New Roman" w:hAnsi="Times New Roman" w:eastAsia="方正仿宋_GBK" w:cs="Times New Roman"/>
          <w:color w:val="auto"/>
          <w:sz w:val="32"/>
          <w:szCs w:val="32"/>
          <w:shd w:val="clear" w:color="auto" w:fill="FFFFFF"/>
          <w:lang w:val="en-US" w:eastAsia="zh-CN"/>
        </w:rPr>
        <w:t>本年度人员调动，导致医保相关支出减少。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3084.44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30.02</w:t>
      </w:r>
      <w:r>
        <w:rPr>
          <w:rFonts w:hint="default" w:ascii="Times New Roman" w:hAnsi="Times New Roman" w:eastAsia="方正仿宋_GBK" w:cs="Times New Roman"/>
          <w:sz w:val="32"/>
          <w:szCs w:val="32"/>
          <w:shd w:val="clear" w:color="auto" w:fill="FFFFFF"/>
        </w:rPr>
        <w:t>%，较年初预算数减少2087.53万元，下降40.36%，主要原因是</w:t>
      </w:r>
      <w:r>
        <w:rPr>
          <w:rFonts w:hint="default" w:ascii="Times New Roman" w:hAnsi="Times New Roman" w:eastAsia="方正仿宋_GBK" w:cs="Times New Roman"/>
          <w:color w:val="auto"/>
          <w:sz w:val="32"/>
          <w:szCs w:val="32"/>
          <w:shd w:val="clear" w:color="auto" w:fill="FFFFFF"/>
          <w:lang w:val="en-US" w:eastAsia="zh-CN"/>
        </w:rPr>
        <w:t>项目未完成以及资金未到位，导致本支出较年初预算数减少。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3073.27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29.91</w:t>
      </w:r>
      <w:r>
        <w:rPr>
          <w:rFonts w:hint="default" w:ascii="Times New Roman" w:hAnsi="Times New Roman" w:eastAsia="方正仿宋_GBK" w:cs="Times New Roman"/>
          <w:sz w:val="32"/>
          <w:szCs w:val="32"/>
          <w:shd w:val="clear" w:color="auto" w:fill="FFFFFF"/>
        </w:rPr>
        <w:t>%，较年初预算数增加2689.64万元，增长701.10%，主要原因是新增丰都县国家级传统村落第六批申报、栗子乡美丽宜居示范乡镇项目、横五路项目征地拆迁费用等。</w:t>
      </w:r>
      <w:r>
        <w:rPr>
          <w:rFonts w:hint="default" w:ascii="Times New Roman" w:hAnsi="Times New Roman" w:eastAsia="方正仿宋_GBK" w:cs="Times New Roman"/>
          <w:color w:val="auto"/>
          <w:sz w:val="32"/>
          <w:szCs w:val="32"/>
          <w:shd w:val="clear" w:color="auto" w:fill="FFFFFF"/>
          <w:lang w:val="en-US" w:eastAsia="zh-CN"/>
        </w:rPr>
        <w:t>导致本支出较年初预算数增加。</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318.56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3.10</w:t>
      </w:r>
      <w:r>
        <w:rPr>
          <w:rFonts w:hint="default" w:ascii="Times New Roman" w:hAnsi="Times New Roman" w:eastAsia="方正仿宋_GBK" w:cs="Times New Roman"/>
          <w:sz w:val="32"/>
          <w:szCs w:val="32"/>
          <w:shd w:val="clear" w:color="auto" w:fill="FFFFFF"/>
        </w:rPr>
        <w:t>%，较年初预算数增加318.56万元，增长100.00%，主要原因是</w:t>
      </w:r>
      <w:r>
        <w:rPr>
          <w:rFonts w:hint="default" w:ascii="Times New Roman" w:hAnsi="Times New Roman" w:eastAsia="方正仿宋_GBK" w:cs="Times New Roman"/>
          <w:color w:val="auto"/>
          <w:sz w:val="32"/>
          <w:szCs w:val="32"/>
          <w:shd w:val="clear" w:color="auto" w:fill="FFFFFF"/>
          <w:lang w:val="en-US" w:eastAsia="zh-CN"/>
        </w:rPr>
        <w:t>新增高家镇人居环境配套项目等，导致本支出较年初预算数增加。</w:t>
      </w:r>
    </w:p>
    <w:p>
      <w:pPr>
        <w:ind w:firstLine="640" w:firstLineChars="200"/>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住房保障支出3540.53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34.46</w:t>
      </w:r>
      <w:r>
        <w:rPr>
          <w:rFonts w:hint="default" w:ascii="Times New Roman" w:hAnsi="Times New Roman" w:eastAsia="方正仿宋_GBK" w:cs="Times New Roman"/>
          <w:sz w:val="32"/>
          <w:szCs w:val="32"/>
          <w:shd w:val="clear" w:color="auto" w:fill="FFFFFF"/>
        </w:rPr>
        <w:t>%，较年初预算数减少4480.03万元，下降55.86%，主要原因是</w:t>
      </w:r>
      <w:r>
        <w:rPr>
          <w:rFonts w:hint="default" w:ascii="Times New Roman" w:hAnsi="Times New Roman" w:eastAsia="方正仿宋_GBK" w:cs="Times New Roman"/>
          <w:color w:val="auto"/>
          <w:sz w:val="32"/>
          <w:szCs w:val="32"/>
          <w:shd w:val="clear" w:color="auto" w:fill="FFFFFF"/>
          <w:lang w:val="en-US" w:eastAsia="zh-CN"/>
        </w:rPr>
        <w:t>老旧小区改造相关项目未完成，资金未到位，导致本支出较年初预算数减少。</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690.88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628.11</w:t>
      </w:r>
      <w:r>
        <w:rPr>
          <w:rFonts w:hint="default" w:ascii="Times New Roman" w:hAnsi="Times New Roman" w:eastAsia="方正仿宋_GBK" w:cs="Times New Roman"/>
          <w:sz w:val="32"/>
          <w:szCs w:val="32"/>
          <w:shd w:val="clear" w:color="auto" w:fill="FFFFFF"/>
        </w:rPr>
        <w:t>万元，较上年决算数增加66.10万元，增长11.76%，主要原因是</w:t>
      </w:r>
      <w:r>
        <w:rPr>
          <w:rFonts w:hint="default" w:ascii="Times New Roman" w:hAnsi="Times New Roman" w:eastAsia="方正仿宋_GBK" w:cs="Times New Roman"/>
          <w:color w:val="auto"/>
          <w:sz w:val="32"/>
          <w:szCs w:val="32"/>
          <w:shd w:val="clear" w:color="auto" w:fill="FFFFFF"/>
          <w:lang w:val="en-US" w:eastAsia="zh-CN"/>
        </w:rPr>
        <w:t>本年度社保基数调整、人员工资调标等。</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工资福利支出、社会保险费、住房公积金等。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62.77</w:t>
      </w:r>
      <w:r>
        <w:rPr>
          <w:rFonts w:hint="default" w:ascii="Times New Roman" w:hAnsi="Times New Roman" w:eastAsia="方正仿宋_GBK" w:cs="Times New Roman"/>
          <w:sz w:val="32"/>
          <w:szCs w:val="32"/>
          <w:shd w:val="clear" w:color="auto" w:fill="FFFFFF"/>
        </w:rPr>
        <w:t>万元，较上年决算数增加12.76万元，增长25.51%，主要原因是</w:t>
      </w:r>
      <w:r>
        <w:rPr>
          <w:rFonts w:hint="default" w:ascii="Times New Roman" w:hAnsi="Times New Roman" w:eastAsia="方正仿宋_GBK" w:cs="Times New Roman"/>
          <w:color w:val="auto"/>
          <w:sz w:val="32"/>
          <w:szCs w:val="32"/>
          <w:shd w:val="clear" w:color="auto" w:fill="FFFFFF"/>
          <w:lang w:val="en-US" w:eastAsia="zh-CN"/>
        </w:rPr>
        <w:t>本年度对接乡镇工作增多，差旅费增加以及新增房地产推介会等相关会议支出增加。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水电费、差旅费、劳务费、会议费、培训费等。</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7313.35</w:t>
      </w:r>
      <w:r>
        <w:rPr>
          <w:rFonts w:hint="default" w:ascii="Times New Roman" w:hAnsi="Times New Roman" w:eastAsia="方正仿宋_GBK" w:cs="Times New Roman"/>
          <w:sz w:val="32"/>
          <w:szCs w:val="32"/>
          <w:shd w:val="clear" w:color="auto" w:fill="FFFFFF"/>
        </w:rPr>
        <w:t>万元，较上年决算数增加2431.22万元，增长49.80%，主要原因是</w:t>
      </w:r>
      <w:r>
        <w:rPr>
          <w:rFonts w:hint="default" w:ascii="Times New Roman" w:hAnsi="Times New Roman" w:eastAsia="方正仿宋_GBK" w:cs="Times New Roman"/>
          <w:color w:val="auto"/>
          <w:sz w:val="32"/>
          <w:szCs w:val="32"/>
          <w:shd w:val="clear" w:color="auto" w:fill="FFFFFF"/>
          <w:lang w:val="en-US" w:eastAsia="zh-CN"/>
        </w:rPr>
        <w:t>水环境治理ppp项目财政拨款增加。</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7317.35</w:t>
      </w:r>
      <w:r>
        <w:rPr>
          <w:rFonts w:hint="default" w:ascii="Times New Roman" w:hAnsi="Times New Roman" w:eastAsia="方正仿宋_GBK" w:cs="Times New Roman"/>
          <w:sz w:val="32"/>
          <w:szCs w:val="32"/>
          <w:shd w:val="clear" w:color="auto" w:fill="FFFFFF"/>
        </w:rPr>
        <w:t>万元，较上年决算数减少5172.78万元，下降41.41%，主要原因是</w:t>
      </w:r>
      <w:r>
        <w:rPr>
          <w:rFonts w:hint="default" w:ascii="Times New Roman" w:hAnsi="Times New Roman" w:eastAsia="方正仿宋_GBK" w:cs="Times New Roman"/>
          <w:color w:val="auto"/>
          <w:sz w:val="32"/>
          <w:szCs w:val="32"/>
          <w:shd w:val="clear" w:color="auto" w:fill="FFFFFF"/>
          <w:lang w:val="en-US" w:eastAsia="zh-CN"/>
        </w:rPr>
        <w:t>本年度只有水环境治理PPP项目为政府性基金预算项目，支出减少。</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6900.00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6900.00</w:t>
      </w:r>
      <w:r>
        <w:rPr>
          <w:rFonts w:hint="default" w:ascii="Times New Roman" w:hAnsi="Times New Roman" w:eastAsia="方正仿宋_GBK" w:cs="Times New Roman"/>
          <w:sz w:val="32"/>
          <w:szCs w:val="32"/>
          <w:shd w:val="clear" w:color="auto" w:fill="FFFFFF"/>
        </w:rPr>
        <w:t>万元，主要用途用于</w:t>
      </w:r>
      <w:r>
        <w:rPr>
          <w:rFonts w:hint="default" w:ascii="Times New Roman" w:hAnsi="Times New Roman" w:eastAsia="方正仿宋_GBK" w:cs="Times New Roman"/>
          <w:color w:val="auto"/>
          <w:sz w:val="32"/>
          <w:szCs w:val="32"/>
          <w:shd w:val="clear" w:color="auto" w:fill="FFFFFF"/>
          <w:lang w:val="en-US" w:eastAsia="zh-CN"/>
        </w:rPr>
        <w:t>棚户区改造项目。</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较上年支出数增加3.51万元，增长235.57%，主要原因是</w:t>
      </w:r>
      <w:r>
        <w:rPr>
          <w:rFonts w:hint="default" w:ascii="Times New Roman" w:hAnsi="Times New Roman" w:eastAsia="方正仿宋_GBK" w:cs="Times New Roman"/>
          <w:color w:val="auto"/>
          <w:sz w:val="32"/>
          <w:szCs w:val="32"/>
          <w:shd w:val="clear" w:color="auto" w:fill="FFFFFF"/>
          <w:lang w:val="en-US" w:eastAsia="zh-CN"/>
        </w:rPr>
        <w:t>为招商引资，带动经济增长，本年度公务接待批次及人次大幅上升，导致三公经费增加。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市</w:t>
      </w:r>
      <w:r>
        <w:rPr>
          <w:rFonts w:hint="default" w:ascii="Times New Roman" w:hAnsi="Times New Roman" w:eastAsia="方正仿宋_GBK" w:cs="Times New Roman"/>
          <w:color w:val="auto"/>
          <w:sz w:val="32"/>
          <w:szCs w:val="32"/>
          <w:shd w:val="clear" w:color="auto" w:fill="FFFFFF"/>
          <w:lang w:eastAsia="zh-CN"/>
        </w:rPr>
        <w:t>级</w:t>
      </w:r>
      <w:r>
        <w:rPr>
          <w:rFonts w:hint="default" w:ascii="Times New Roman" w:hAnsi="Times New Roman" w:eastAsia="方正仿宋_GBK" w:cs="Times New Roman"/>
          <w:color w:val="auto"/>
          <w:sz w:val="32"/>
          <w:szCs w:val="32"/>
          <w:shd w:val="clear" w:color="auto" w:fill="FFFFFF"/>
          <w:lang w:val="en-US" w:eastAsia="zh-CN"/>
        </w:rPr>
        <w:t>检查、房地产企业负责人等，</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较上年支出数增加3.51万元，增长235.57%，主要原因是</w:t>
      </w:r>
      <w:r>
        <w:rPr>
          <w:rFonts w:hint="default" w:ascii="Times New Roman" w:hAnsi="Times New Roman" w:eastAsia="方正仿宋_GBK" w:cs="Times New Roman"/>
          <w:color w:val="auto"/>
          <w:sz w:val="32"/>
          <w:szCs w:val="32"/>
          <w:shd w:val="clear" w:color="auto" w:fill="FFFFFF"/>
          <w:lang w:val="en-US" w:eastAsia="zh-CN"/>
        </w:rPr>
        <w:t>为招商引资，带动经济增长，本年度公务接待批次及人次大幅上升。</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316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158.23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12.19</w:t>
      </w:r>
      <w:r>
        <w:rPr>
          <w:rFonts w:hint="default" w:ascii="Times New Roman" w:hAnsi="Times New Roman" w:eastAsia="方正仿宋_GBK" w:cs="Times New Roman"/>
          <w:sz w:val="32"/>
          <w:szCs w:val="32"/>
          <w:shd w:val="clear" w:color="auto" w:fill="FFFFFF"/>
        </w:rPr>
        <w:t>万元，较上年决算数增加12.13万元，增长20216.67%，主要原因是</w:t>
      </w:r>
      <w:r>
        <w:rPr>
          <w:rFonts w:hint="default" w:ascii="Times New Roman" w:hAnsi="Times New Roman" w:eastAsia="方正仿宋_GBK" w:cs="Times New Roman"/>
          <w:sz w:val="32"/>
          <w:szCs w:val="32"/>
          <w:shd w:val="clear" w:color="auto" w:fill="FFFFFF"/>
          <w:lang w:val="en-US" w:eastAsia="zh-CN"/>
        </w:rPr>
        <w:t>本年度开展房地产推介会，相关会议支出增加</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5.13</w:t>
      </w:r>
      <w:r>
        <w:rPr>
          <w:rFonts w:hint="default" w:ascii="Times New Roman" w:hAnsi="Times New Roman" w:eastAsia="方正仿宋_GBK" w:cs="Times New Roman"/>
          <w:sz w:val="32"/>
          <w:szCs w:val="32"/>
          <w:shd w:val="clear" w:color="auto" w:fill="FFFFFF"/>
        </w:rPr>
        <w:t>万元，较上年决算数增加5.13万元，增长100.00%，主要原因是</w:t>
      </w:r>
      <w:r>
        <w:rPr>
          <w:rFonts w:hint="default" w:ascii="Times New Roman" w:hAnsi="Times New Roman" w:eastAsia="方正仿宋_GBK" w:cs="Times New Roman"/>
          <w:sz w:val="32"/>
          <w:szCs w:val="32"/>
          <w:shd w:val="clear" w:color="auto" w:fill="FFFFFF"/>
          <w:lang w:val="en-US" w:eastAsia="zh-CN"/>
        </w:rPr>
        <w:t>本年度开展建筑节能专项培训，相关培训费增加</w:t>
      </w:r>
      <w:r>
        <w:rPr>
          <w:rFonts w:hint="default" w:ascii="Times New Roman" w:hAnsi="Times New Roman" w:eastAsia="方正仿宋_GBK" w:cs="Times New Roman"/>
          <w:sz w:val="32"/>
          <w:szCs w:val="32"/>
          <w:shd w:val="clear" w:color="auto" w:fill="FFFFFF"/>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62.77</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水电费、差旅费、劳务费、邮电费、会议费、培训费等。</w:t>
      </w:r>
      <w:r>
        <w:rPr>
          <w:rFonts w:hint="default" w:ascii="Times New Roman" w:hAnsi="Times New Roman" w:eastAsia="方正仿宋_GBK" w:cs="Times New Roman"/>
          <w:sz w:val="32"/>
          <w:szCs w:val="32"/>
          <w:shd w:val="clear" w:color="auto" w:fill="FFFFFF"/>
        </w:rPr>
        <w:t>机关运行经费较上年支出数增加12.76万元，增长25.51%，主要原因是</w:t>
      </w:r>
      <w:r>
        <w:rPr>
          <w:rFonts w:hint="default" w:ascii="Times New Roman" w:hAnsi="Times New Roman" w:eastAsia="方正仿宋_GBK" w:cs="Times New Roman"/>
          <w:color w:val="auto"/>
          <w:sz w:val="32"/>
          <w:szCs w:val="32"/>
          <w:shd w:val="clear" w:color="auto" w:fill="FFFFFF"/>
          <w:lang w:val="en-US" w:eastAsia="zh-CN"/>
        </w:rPr>
        <w:t>本年度对接乡镇工作增多，差旅费增加以及新增房地产推介会等相关会议支出增加。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辆、主要领导干部用车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辆。单价100万元（含）以上设备</w:t>
      </w:r>
      <w:r>
        <w:rPr>
          <w:rFonts w:ascii="Times New Roman" w:hAnsi="Times New Roman" w:eastAsia="方正仿宋_GBK"/>
          <w:sz w:val="32"/>
          <w:szCs w:val="32"/>
          <w:highlight w:val="none"/>
          <w:shd w:val="clear" w:color="auto" w:fill="FFFFFF"/>
        </w:rPr>
        <w:t>（不含车辆）</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shd w:val="clear" w:color="auto" w:fill="FFFFFF"/>
        </w:rPr>
        <w:t>台（套）。</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snapToGrid w:val="0"/>
        <w:spacing w:before="0" w:beforeAutospacing="0" w:after="0" w:afterAutospacing="0" w:line="600" w:lineRule="exact"/>
        <w:ind w:left="0" w:lef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pPr>
        <w:pStyle w:val="7"/>
        <w:snapToGrid w:val="0"/>
        <w:spacing w:before="0" w:beforeAutospacing="0" w:after="0" w:afterAutospacing="0" w:line="600" w:lineRule="exact"/>
        <w:ind w:left="0" w:leftChars="0" w:firstLine="640" w:firstLineChars="200"/>
        <w:jc w:val="both"/>
        <w:rPr>
          <w:rFonts w:hint="eastAsia" w:ascii="Times New Roman" w:hAnsi="Times New Roman" w:eastAsia="方正仿宋_GBK" w:cs="Times New Roman"/>
          <w:color w:val="auto"/>
          <w:sz w:val="32"/>
          <w:szCs w:val="32"/>
          <w:highlight w:val="yellow"/>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59</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13210.05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7"/>
        <w:shd w:val="clear" w:color="auto" w:fill="FFFFFF"/>
        <w:ind w:firstLine="640" w:firstLineChars="200"/>
        <w:rPr>
          <w:rFonts w:hint="default" w:ascii="Times New Roman" w:hAnsi="Times New Roman" w:eastAsia="方正仿宋_GBK" w:cs="Times New Roman"/>
          <w:sz w:val="32"/>
          <w:szCs w:val="32"/>
          <w:highlight w:val="none"/>
          <w:shd w:val="clear" w:color="auto" w:fill="FFFFFF"/>
          <w:lang w:eastAsia="zh-CN"/>
        </w:rPr>
      </w:pPr>
      <w:r>
        <w:rPr>
          <w:rFonts w:ascii="Times New Roman" w:hAnsi="Times New Roman" w:eastAsia="方正仿宋_GBK"/>
          <w:sz w:val="32"/>
          <w:szCs w:val="32"/>
          <w:highlight w:val="none"/>
          <w:shd w:val="clear" w:color="auto" w:fill="FFFFFF"/>
        </w:rPr>
        <w:t>2023年度项目绩效自评表见附件</w:t>
      </w:r>
      <w:r>
        <w:rPr>
          <w:rFonts w:hint="eastAsia" w:ascii="Times New Roman" w:hAnsi="Times New Roman" w:eastAsia="方正仿宋_GBK"/>
          <w:sz w:val="32"/>
          <w:szCs w:val="32"/>
          <w:highlight w:val="none"/>
          <w:shd w:val="clear" w:color="auto" w:fill="FFFFFF"/>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2"/>
        <w:autoSpaceDE w:val="0"/>
        <w:ind w:firstLine="643"/>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我单位未组织开展绩效评价</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2"/>
        <w:autoSpaceDE w:val="0"/>
        <w:ind w:firstLine="643"/>
        <w:rPr>
          <w:rFonts w:hint="default"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highlight w:val="none"/>
          <w:shd w:val="clear" w:color="auto" w:fill="FFFFFF"/>
          <w:lang w:val="en-US" w:eastAsia="zh-CN"/>
        </w:rPr>
        <w:t>县</w:t>
      </w:r>
      <w:r>
        <w:rPr>
          <w:rFonts w:hint="default" w:ascii="Times New Roman" w:hAnsi="Times New Roman" w:eastAsia="方正仿宋_GBK" w:cs="Times New Roman"/>
          <w:sz w:val="32"/>
          <w:szCs w:val="32"/>
          <w:shd w:val="clear" w:color="auto" w:fill="FFFFFF"/>
        </w:rPr>
        <w:t>财政局委托第三方对我单位</w:t>
      </w:r>
      <w:r>
        <w:rPr>
          <w:rFonts w:hint="default" w:ascii="Times New Roman" w:hAnsi="Times New Roman" w:eastAsia="方正仿宋_GBK" w:cs="Times New Roman"/>
          <w:sz w:val="32"/>
          <w:szCs w:val="32"/>
          <w:shd w:val="clear" w:color="auto" w:fill="FFFFFF"/>
          <w:lang w:val="en-US" w:eastAsia="zh-CN"/>
        </w:rPr>
        <w:t>污水处理厂（站）运行经费项目</w:t>
      </w:r>
      <w:r>
        <w:rPr>
          <w:rFonts w:hint="default" w:ascii="Times New Roman" w:hAnsi="Times New Roman" w:eastAsia="方正仿宋_GBK" w:cs="Times New Roman"/>
          <w:sz w:val="32"/>
          <w:szCs w:val="32"/>
          <w:shd w:val="clear" w:color="auto" w:fill="FFFFFF"/>
        </w:rPr>
        <w:t>开展绩效评价</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涉及财政拨款项目资金3932.56万元，评价得分68.57分，评价等级为中，绩效评价发现了部分污水处理站无法办理资产确权、观望那个破顺、农村污水处理站设施闲置等问题，提出了加强项目管理、尽快恢复破损管网、停运处于长期闲置的污水处理设施等下一步工作建议</w:t>
      </w:r>
      <w:r>
        <w:rPr>
          <w:rFonts w:hint="default" w:ascii="Times New Roman" w:hAnsi="Times New Roman" w:eastAsia="方正仿宋_GBK" w:cs="Times New Roman"/>
          <w:sz w:val="32"/>
          <w:szCs w:val="32"/>
          <w:shd w:val="clear" w:color="auto" w:fill="FFFFFF"/>
          <w:lang w:eastAsia="zh-CN"/>
        </w:rPr>
        <w:t>。</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lang w:eastAsia="zh-CN"/>
        </w:rPr>
        <w:t>蔡光鸿</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lang w:val="en-US" w:eastAsia="zh-CN"/>
        </w:rPr>
        <w:t>023-70702811</w:t>
      </w:r>
    </w:p>
    <w:p>
      <w:pPr>
        <w:rPr>
          <w:rFonts w:hint="default" w:cs="宋体"/>
          <w:sz w:val="21"/>
          <w:szCs w:val="21"/>
        </w:rPr>
      </w:pPr>
    </w:p>
    <w:p>
      <w:pPr>
        <w:rPr>
          <w:rFonts w:hint="default" w:cs="宋体"/>
          <w:sz w:val="21"/>
          <w:szCs w:val="21"/>
        </w:rPr>
      </w:pPr>
    </w:p>
    <w:p>
      <w:pPr>
        <w:rPr>
          <w:rFonts w:hint="eastAsia" w:eastAsia="宋体" w:cs="宋体"/>
          <w:sz w:val="20"/>
          <w:szCs w:val="20"/>
          <w:lang w:eastAsia="zh-CN"/>
        </w:rPr>
      </w:pPr>
      <w:bookmarkStart w:id="0" w:name="_GoBack"/>
      <w:bookmarkEnd w:id="0"/>
    </w:p>
    <w:p>
      <w:pPr>
        <w:rPr>
          <w:rFonts w:hint="eastAsia" w:eastAsia="宋体" w:cs="宋体"/>
          <w:sz w:val="20"/>
          <w:szCs w:val="20"/>
          <w:lang w:eastAsia="zh-CN"/>
        </w:rPr>
      </w:pPr>
    </w:p>
    <w:sectPr>
      <w:headerReference r:id="rId3" w:type="default"/>
      <w:footerReference r:id="rId4" w:type="default"/>
      <w:pgSz w:w="11907" w:h="16839"/>
      <w:pgMar w:top="1440" w:right="1803" w:bottom="1440" w:left="1803" w:header="0" w:footer="283"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AkEpLs4AEAAMIDAAAOAAAAAAAAAAEAIAAAADQBAABkcnMvZTJvRG9jLnhtbFBLBQYAAAAA&#10;BgAGAFkBAACGBQ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1905" r="0" b="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828800"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false" upright="true">
                      <a:noAutofit/>
                    </wps:bodyPr>
                  </wps:wsp>
                </a:graphicData>
              </a:graphic>
            </wp:anchor>
          </w:drawing>
        </mc:Choice>
        <mc:Fallback>
          <w:pict>
            <v:shape id="Text Box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0Ij6J1gAAAAoBAAAPAAAAAAAAAAEAIAAAADgAAABkcnMvZG93bnJldi54&#10;bWxQSwECFAAUAAAACACHTuJA3985ROYBAADBAwAADgAAAAAAAAABACAAAAA7AQAAZHJzL2Uyb0Rv&#10;Yy54bWxQSwUGAAAAAAYABgBZAQAAkwU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HorizontalSpacing w:val="120"/>
  <w:drawingGridVerticalSpacing w:val="16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DEzZDk3OWE2YWZmMjE3OGJlMTYwYzgxNWE1MzkifQ=="/>
  </w:docVars>
  <w:rsids>
    <w:rsidRoot w:val="00B03CCD"/>
    <w:rsid w:val="001D3BB7"/>
    <w:rsid w:val="002B254B"/>
    <w:rsid w:val="00466C9B"/>
    <w:rsid w:val="00550ABE"/>
    <w:rsid w:val="006B49AF"/>
    <w:rsid w:val="00770383"/>
    <w:rsid w:val="007819D4"/>
    <w:rsid w:val="007B419D"/>
    <w:rsid w:val="007B7C4B"/>
    <w:rsid w:val="007D3D39"/>
    <w:rsid w:val="00994AF7"/>
    <w:rsid w:val="009B67B8"/>
    <w:rsid w:val="009D2B67"/>
    <w:rsid w:val="00A566F9"/>
    <w:rsid w:val="00AF2751"/>
    <w:rsid w:val="00B03CCD"/>
    <w:rsid w:val="00BC1213"/>
    <w:rsid w:val="00BE2B89"/>
    <w:rsid w:val="00C10E9E"/>
    <w:rsid w:val="00C20C3E"/>
    <w:rsid w:val="00F73F90"/>
    <w:rsid w:val="01474EBF"/>
    <w:rsid w:val="01F3521E"/>
    <w:rsid w:val="03B87EA0"/>
    <w:rsid w:val="03E3214F"/>
    <w:rsid w:val="044C50BA"/>
    <w:rsid w:val="05BC6D49"/>
    <w:rsid w:val="05FB42C6"/>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AC1B74"/>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F910E4"/>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F27066"/>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350EEE"/>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347532"/>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BF7A877"/>
    <w:rsid w:val="7C3A7C0B"/>
    <w:rsid w:val="7C5248E4"/>
    <w:rsid w:val="7C566698"/>
    <w:rsid w:val="7C5866A3"/>
    <w:rsid w:val="7D7406BB"/>
    <w:rsid w:val="7DE94331"/>
    <w:rsid w:val="7F446A19"/>
    <w:rsid w:val="7F7452B9"/>
    <w:rsid w:val="7FD750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XTC</Company>
  <Pages>29</Pages>
  <Words>3073</Words>
  <Characters>17520</Characters>
  <Lines>146</Lines>
  <Paragraphs>41</Paragraphs>
  <TotalTime>3</TotalTime>
  <ScaleCrop>false</ScaleCrop>
  <LinksUpToDate>false</LinksUpToDate>
  <CharactersWithSpaces>20552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2024-09-24T06:36:00Z</dcterms:created>
  <dc:creator>Administrator</dc:creator>
  <cp:lastModifiedBy>fengdu</cp:lastModifiedBy>
  <dcterms:modified xsi:type="dcterms:W3CDTF">2024-09-26T17:41:21Z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DE40C9EA72A54AA1BC8341EF2852F305_13</vt:lpwstr>
  </property>
</Properties>
</file>