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eastAsia="方正黑体_GBK"/>
          <w:color w:val="000000"/>
          <w:kern w:val="0"/>
          <w:sz w:val="32"/>
          <w:szCs w:val="32"/>
        </w:rPr>
      </w:pPr>
      <w:r>
        <w:rPr>
          <w:rFonts w:eastAsia="方正黑体_GBK"/>
          <w:color w:val="000000"/>
          <w:kern w:val="0"/>
          <w:sz w:val="32"/>
          <w:szCs w:val="32"/>
        </w:rPr>
        <w:t>附件1</w:t>
      </w:r>
    </w:p>
    <w:p>
      <w:pPr>
        <w:widowControl/>
        <w:jc w:val="center"/>
        <w:textAlignment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丰都县住房城乡建设委员会202</w:t>
      </w:r>
      <w:r>
        <w:rPr>
          <w:rFonts w:hint="default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  <w:woUserID w:val="1"/>
        </w:rPr>
        <w:t>4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年度行政执法数据统计表</w:t>
      </w:r>
    </w:p>
    <w:p>
      <w:pPr>
        <w:widowControl/>
        <w:tabs>
          <w:tab w:val="left" w:pos="7282"/>
          <w:tab w:val="left" w:pos="7978"/>
        </w:tabs>
        <w:jc w:val="center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第一部分  行政许可实施情况统计表</w:t>
      </w:r>
    </w:p>
    <w:tbl>
      <w:tblPr>
        <w:tblStyle w:val="6"/>
        <w:tblW w:w="136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188"/>
        <w:gridCol w:w="1224"/>
        <w:gridCol w:w="1104"/>
        <w:gridCol w:w="1044"/>
        <w:gridCol w:w="1644"/>
        <w:gridCol w:w="2616"/>
        <w:gridCol w:w="1176"/>
        <w:gridCol w:w="1080"/>
        <w:gridCol w:w="10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0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行政许可实施数量（件）</w:t>
            </w:r>
          </w:p>
        </w:tc>
        <w:tc>
          <w:tcPr>
            <w:tcW w:w="2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撤销行政许可数量（件）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1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申请数量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受理数量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许可数量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不予许可数量</w:t>
            </w:r>
          </w:p>
        </w:tc>
        <w:tc>
          <w:tcPr>
            <w:tcW w:w="2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丰都县住房城乡建设委员会（本部）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240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239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212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下属执法单位之二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eastAsia="方正楷体_GBK" w:cs="宋体"/>
                <w:color w:val="000000"/>
                <w:sz w:val="24"/>
              </w:rPr>
            </w:pPr>
            <w:r>
              <w:rPr>
                <w:rFonts w:hint="eastAsia" w:ascii="方正楷体_GBK" w:hAnsi="楷体" w:eastAsia="方正楷体_GBK" w:cs="楷体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cs="宋体"/>
                <w:color w:val="000000"/>
                <w:sz w:val="24"/>
              </w:rPr>
            </w:pPr>
          </w:p>
        </w:tc>
      </w:tr>
    </w:tbl>
    <w:p>
      <w:pPr>
        <w:widowControl/>
        <w:ind w:left="420" w:hanging="420" w:hangingChars="200"/>
        <w:textAlignment w:val="center"/>
        <w:rPr>
          <w:rFonts w:hint="default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 xml:space="preserve"> 填报人：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彭楠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 xml:space="preserve">                                                            联系电话：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13310274993</w:t>
      </w:r>
    </w:p>
    <w:p>
      <w:pPr>
        <w:widowControl/>
        <w:spacing w:line="280" w:lineRule="exact"/>
        <w:ind w:left="420" w:hanging="420" w:hangingChars="200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>
      <w:pPr>
        <w:widowControl/>
        <w:spacing w:line="280" w:lineRule="exact"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统计范围为1月1日至12月31日期间</w:t>
      </w:r>
      <w:r>
        <w:rPr>
          <w:rFonts w:hint="eastAsia" w:eastAsia="方正仿宋_GBK"/>
          <w:color w:val="000000"/>
          <w:kern w:val="0"/>
          <w:szCs w:val="21"/>
        </w:rPr>
        <w:t>收到当事人许可申请、作出受理决定、许可决定、不予许可决定、撤销许可决定的数量，</w:t>
      </w:r>
      <w:r>
        <w:rPr>
          <w:rFonts w:eastAsia="方正仿宋_GBK"/>
          <w:color w:val="000000"/>
          <w:kern w:val="0"/>
          <w:szCs w:val="21"/>
        </w:rPr>
        <w:t>以及进行法制审核的数量。</w:t>
      </w:r>
    </w:p>
    <w:p>
      <w:pPr>
        <w:widowControl/>
        <w:spacing w:line="280" w:lineRule="exact"/>
        <w:ind w:firstLine="420" w:firstLineChars="200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准予变更、延续和不予变更、延续的数量，分别计入“许可数量”“不予许可数量”。</w:t>
      </w:r>
    </w:p>
    <w:p>
      <w:pPr>
        <w:widowControl/>
        <w:spacing w:line="280" w:lineRule="exact"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eastAsia="方正仿宋_GBK"/>
          <w:color w:val="000000"/>
          <w:kern w:val="0"/>
          <w:szCs w:val="21"/>
        </w:rPr>
        <w:t>行政执法机关的下属单位包括：本行政执法机关垂直管理的分支机构，依法设立的派出机构，主管的依法授权具有行政执法权的组织，依法委托的组织，主管的其他具有行政执法权的机构。</w:t>
      </w:r>
    </w:p>
    <w:p>
      <w:pPr>
        <w:widowControl/>
        <w:ind w:left="420" w:leftChars="200"/>
        <w:jc w:val="center"/>
        <w:textAlignment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楷体" w:hAnsi="楷体" w:eastAsia="楷体" w:cs="楷体"/>
          <w:color w:val="000000"/>
          <w:kern w:val="0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第二部分  行政处罚实施情况统计表</w:t>
      </w:r>
    </w:p>
    <w:tbl>
      <w:tblPr>
        <w:tblStyle w:val="6"/>
        <w:tblW w:w="1377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771"/>
        <w:gridCol w:w="601"/>
        <w:gridCol w:w="732"/>
        <w:gridCol w:w="773"/>
        <w:gridCol w:w="810"/>
        <w:gridCol w:w="564"/>
        <w:gridCol w:w="633"/>
        <w:gridCol w:w="585"/>
        <w:gridCol w:w="702"/>
        <w:gridCol w:w="600"/>
        <w:gridCol w:w="826"/>
        <w:gridCol w:w="846"/>
        <w:gridCol w:w="674"/>
        <w:gridCol w:w="627"/>
        <w:gridCol w:w="504"/>
        <w:gridCol w:w="1109"/>
        <w:gridCol w:w="98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60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行政处罚实施数量（件）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罚没金额（万元）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简易程序数量（件）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一般程序数量（件）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法制审核数量（件）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涉嫌犯罪移送案件数量（件）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司法机关受理案件数量（件）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警告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罚款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没收违法所得、没收非法财物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暂扣许可证、执照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责令停产停业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吊销许可证、执照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行政拘留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其他行政处罚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审核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数量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纠错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数量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kern w:val="0"/>
                <w:sz w:val="18"/>
                <w:szCs w:val="18"/>
              </w:rPr>
              <w:t>丰都县住房城乡建设委员会（本部）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71A1D"/>
                <w:spacing w:val="0"/>
                <w:sz w:val="20"/>
                <w:szCs w:val="20"/>
                <w:shd w:val="clear" w:fill="FFFFFF"/>
              </w:rPr>
              <w:t>21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21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71A1D"/>
                <w:spacing w:val="0"/>
                <w:sz w:val="20"/>
                <w:szCs w:val="20"/>
                <w:shd w:val="clear" w:fill="FFFFFF"/>
              </w:rPr>
              <w:t>2.64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21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丰都县城市管理综合行政执法支队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614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104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718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608.69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560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154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158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67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highlight w:val="none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丰都县住房和城乡建设执法支队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highlight w:val="none"/>
                <w:lang w:val="en-US" w:eastAsia="zh-CN"/>
              </w:rPr>
              <w:t>9.6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eastAsia="方正楷体_GBK" w:cs="宋体"/>
                <w:color w:val="000000"/>
                <w:szCs w:val="21"/>
              </w:rPr>
            </w:pPr>
            <w:r>
              <w:rPr>
                <w:rFonts w:hint="eastAsia" w:ascii="方正楷体_GBK" w:hAnsi="楷体" w:eastAsia="方正楷体_GBK" w:cs="楷体"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</w:tr>
    </w:tbl>
    <w:p>
      <w:pPr>
        <w:widowControl/>
        <w:jc w:val="left"/>
        <w:textAlignment w:val="center"/>
        <w:rPr>
          <w:rFonts w:eastAsia="方正仿宋_GBK"/>
          <w:color w:val="000000"/>
          <w:kern w:val="0"/>
          <w:szCs w:val="21"/>
        </w:rPr>
      </w:pPr>
    </w:p>
    <w:p>
      <w:pPr>
        <w:widowControl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说明：</w:t>
      </w:r>
    </w:p>
    <w:p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统计范围为1月1日至12月31日期间作出行政处罚决定以及法制审核的数量（包括经行政复议或者行政诉讼被撤销的行政处罚决定数量）。</w:t>
      </w:r>
    </w:p>
    <w:p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其他行政处罚，为法律、行政法规规定的其他行政处罚，比如驱逐出境等。</w:t>
      </w:r>
    </w:p>
    <w:p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单处一个类别行政处罚的，计入相应的行政处罚类别；并处两种以上行政处罚的，计入一件行政处罚，计入最重的行政处罚类别。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</w:t>
      </w:r>
      <w:r>
        <w:rPr>
          <w:rFonts w:eastAsia="方正仿宋_GBK"/>
          <w:color w:val="000000"/>
          <w:kern w:val="0"/>
          <w:szCs w:val="21"/>
        </w:rPr>
        <w:t>序：（1）警告，（2）罚款，（3）没收违法所得、没收非法财物，（4）暂扣许可证、执照，（5）责令停产停业，（6）吊销许可证、执照，（7）行政拘留。</w:t>
      </w:r>
    </w:p>
    <w:p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4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没收违法所得、没收非法财物能确定金额的，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计入“罚没金额”；不能确定金额的，不计入“罚没金额”。“罚没金额”以处罚决定书确定的金额为准。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br w:type="page"/>
      </w:r>
    </w:p>
    <w:p>
      <w:pPr>
        <w:widowControl/>
        <w:jc w:val="center"/>
        <w:textAlignment w:val="center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第三部分  行政强制措施实施情况统计表</w:t>
      </w:r>
    </w:p>
    <w:tbl>
      <w:tblPr>
        <w:tblStyle w:val="6"/>
        <w:tblW w:w="137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2746"/>
        <w:gridCol w:w="1398"/>
        <w:gridCol w:w="1257"/>
        <w:gridCol w:w="1531"/>
        <w:gridCol w:w="1531"/>
        <w:gridCol w:w="1531"/>
        <w:gridCol w:w="1531"/>
        <w:gridCol w:w="153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7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行政强制措施实施数量（件）</w:t>
            </w:r>
          </w:p>
        </w:tc>
        <w:tc>
          <w:tcPr>
            <w:tcW w:w="15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查封场所、设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施或者财物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扣押财物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冻结存款、汇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其他行政强制措施</w:t>
            </w:r>
          </w:p>
        </w:tc>
        <w:tc>
          <w:tcPr>
            <w:tcW w:w="1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审核</w:t>
            </w:r>
          </w:p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纠错</w:t>
            </w:r>
          </w:p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XX局</w:t>
            </w:r>
            <w:r>
              <w:rPr>
                <w:rFonts w:eastAsia="方正仿宋_GBK"/>
                <w:color w:val="000000"/>
                <w:kern w:val="0"/>
                <w:sz w:val="24"/>
              </w:rPr>
              <w:t>（本部）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丰都县城市管理综合行政执法支队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下属执法单位之二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…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下属执法单位之…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eastAsia="方正楷体_GBK" w:cs="宋体"/>
                <w:color w:val="000000"/>
                <w:sz w:val="24"/>
              </w:rPr>
            </w:pPr>
            <w:r>
              <w:rPr>
                <w:rFonts w:hint="eastAsia" w:ascii="方正楷体_GBK" w:hAnsi="楷体" w:eastAsia="方正楷体_GBK" w:cs="楷体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</w:tbl>
    <w:p>
      <w:pPr>
        <w:widowControl/>
        <w:jc w:val="left"/>
        <w:textAlignment w:val="center"/>
        <w:rPr>
          <w:rFonts w:ascii="宋体" w:cs="宋体"/>
          <w:color w:val="000000"/>
          <w:kern w:val="0"/>
          <w:szCs w:val="21"/>
        </w:rPr>
      </w:pPr>
    </w:p>
    <w:p>
      <w:pPr>
        <w:widowControl/>
        <w:ind w:left="420" w:hanging="420" w:hangingChars="20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说明：</w:t>
      </w:r>
    </w:p>
    <w:p>
      <w:pPr>
        <w:widowControl/>
        <w:ind w:firstLine="420" w:firstLineChars="200"/>
        <w:jc w:val="left"/>
        <w:textAlignment w:val="center"/>
        <w:rPr>
          <w:rFonts w:ascii="宋体" w:cs="宋体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统计范围为1月1日至12月31日期间作出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“查封场所、设施或者财物”“扣押财物”“冻结存款、汇款”或者“其他行政强制措施”决</w:t>
      </w:r>
      <w:r>
        <w:rPr>
          <w:rFonts w:eastAsia="方正仿宋_GBK"/>
          <w:color w:val="000000"/>
          <w:kern w:val="0"/>
          <w:szCs w:val="21"/>
        </w:rPr>
        <w:t>定的数量，以及法制审核数量。</w:t>
      </w:r>
    </w:p>
    <w:p>
      <w:pPr>
        <w:rPr>
          <w:rFonts w:ascii="仿宋" w:hAnsi="仿宋" w:eastAsia="仿宋" w:cs="仿宋"/>
          <w:sz w:val="10"/>
          <w:szCs w:val="10"/>
        </w:rPr>
      </w:pPr>
      <w:r>
        <w:rPr>
          <w:rFonts w:ascii="仿宋" w:hAnsi="仿宋" w:eastAsia="仿宋" w:cs="仿宋"/>
          <w:sz w:val="10"/>
          <w:szCs w:val="10"/>
        </w:rPr>
        <w:br w:type="page"/>
      </w:r>
    </w:p>
    <w:p>
      <w:pPr>
        <w:widowControl/>
        <w:jc w:val="center"/>
        <w:textAlignment w:val="center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第四部分  行政强制执行情况统计表</w:t>
      </w:r>
    </w:p>
    <w:tbl>
      <w:tblPr>
        <w:tblStyle w:val="6"/>
        <w:tblW w:w="139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2730"/>
        <w:gridCol w:w="764"/>
        <w:gridCol w:w="690"/>
        <w:gridCol w:w="1243"/>
        <w:gridCol w:w="1135"/>
        <w:gridCol w:w="1040"/>
        <w:gridCol w:w="1179"/>
        <w:gridCol w:w="1179"/>
        <w:gridCol w:w="1179"/>
        <w:gridCol w:w="1179"/>
        <w:gridCol w:w="118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2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行政强制执行实施数量（件）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合计</w:t>
            </w:r>
          </w:p>
        </w:tc>
        <w:tc>
          <w:tcPr>
            <w:tcW w:w="23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行政机关强制执行</w:t>
            </w:r>
          </w:p>
          <w:p>
            <w:pPr>
              <w:spacing w:line="42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60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行政机关强制执行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申请法院强制执行</w:t>
            </w:r>
          </w:p>
        </w:tc>
        <w:tc>
          <w:tcPr>
            <w:tcW w:w="11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3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加处罚款或者滞纳金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划拨存款、汇款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拍卖或者依法处理查封、扣押的场所、设施或者财物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排除妨碍、恢复原状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代履行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其他强制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执行方式</w:t>
            </w: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审核</w:t>
            </w:r>
          </w:p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纠错</w:t>
            </w:r>
          </w:p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XX局</w:t>
            </w:r>
            <w:r>
              <w:rPr>
                <w:rFonts w:eastAsia="方正仿宋_GBK"/>
                <w:color w:val="000000"/>
                <w:kern w:val="0"/>
                <w:sz w:val="24"/>
              </w:rPr>
              <w:t>（本部）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丰都县城市管理综合行政执法支队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60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77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77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下属执法单位之二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下属执法单位之…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eastAsia="方正楷体_GBK" w:cs="宋体"/>
                <w:color w:val="000000"/>
                <w:sz w:val="24"/>
              </w:rPr>
            </w:pPr>
            <w:r>
              <w:rPr>
                <w:rFonts w:hint="eastAsia" w:ascii="方正楷体_GBK" w:hAnsi="楷体" w:eastAsia="方正楷体_GBK" w:cs="楷体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</w:tbl>
    <w:p>
      <w:pPr>
        <w:widowControl/>
        <w:jc w:val="left"/>
        <w:textAlignment w:val="center"/>
        <w:rPr>
          <w:rFonts w:ascii="宋体" w:cs="宋体"/>
          <w:color w:val="000000"/>
          <w:kern w:val="0"/>
          <w:szCs w:val="21"/>
        </w:rPr>
      </w:pPr>
    </w:p>
    <w:p>
      <w:pPr>
        <w:widowControl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统计范围</w:t>
      </w:r>
      <w:r>
        <w:rPr>
          <w:rFonts w:eastAsia="方正仿宋_GBK"/>
          <w:color w:val="000000"/>
          <w:kern w:val="0"/>
          <w:szCs w:val="21"/>
        </w:rPr>
        <w:t>为1月1日至12月31日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期间作出“加处罚款或者滞纳金”“划拨存款、汇款”“拍卖或者依法处理查封、扣押的场所、设施或者财物”“排除妨碍、恢复原状”“代履行”和“其他强制执行方式”等执行完毕或者终结执行的</w:t>
      </w:r>
      <w:r>
        <w:rPr>
          <w:rFonts w:eastAsia="方正仿宋_GBK"/>
          <w:color w:val="000000"/>
          <w:kern w:val="0"/>
          <w:szCs w:val="21"/>
        </w:rPr>
        <w:t>数量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，以及对行政机关强制执行的予以法制审核的数量。</w:t>
      </w:r>
    </w:p>
    <w:p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其他强制执行方式，如《城乡规划法》规定的强制拆除；《煤炭法》规定的强制停产、强制消除安全隐患等。</w:t>
      </w:r>
    </w:p>
    <w:p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申请法院强制执行数量的统计时间以申请日期为准。</w:t>
      </w:r>
    </w:p>
    <w:p>
      <w:pPr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10"/>
          <w:szCs w:val="10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第五部分  行政征收实施情况统计表</w:t>
      </w:r>
    </w:p>
    <w:tbl>
      <w:tblPr>
        <w:tblStyle w:val="6"/>
        <w:tblW w:w="1386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52"/>
        <w:gridCol w:w="3705"/>
        <w:gridCol w:w="2186"/>
        <w:gridCol w:w="2065"/>
        <w:gridCol w:w="26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行政征收实施数量（件）</w:t>
            </w:r>
          </w:p>
        </w:tc>
        <w:tc>
          <w:tcPr>
            <w:tcW w:w="4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法制审核数量（件）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26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丰都县住房城乡建设委员会（本部）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27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下属执法单位之一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下属执法单位之二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…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下属执法单位之…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eastAsia="方正楷体_GBK" w:cs="宋体"/>
                <w:color w:val="000000"/>
                <w:sz w:val="24"/>
              </w:rPr>
            </w:pPr>
            <w:r>
              <w:rPr>
                <w:rFonts w:hint="eastAsia" w:ascii="方正楷体_GBK" w:hAnsi="楷体" w:eastAsia="方正楷体_GBK" w:cs="楷体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</w:tbl>
    <w:p>
      <w:pPr>
        <w:widowControl/>
        <w:jc w:val="left"/>
        <w:textAlignment w:val="center"/>
        <w:rPr>
          <w:rFonts w:ascii="宋体" w:cs="宋体"/>
          <w:color w:val="000000"/>
          <w:kern w:val="0"/>
          <w:sz w:val="24"/>
        </w:rPr>
      </w:pPr>
    </w:p>
    <w:p>
      <w:pPr>
        <w:widowControl/>
        <w:ind w:left="420" w:hanging="420" w:hangingChars="20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说明：</w:t>
      </w:r>
    </w:p>
    <w:p>
      <w:pPr>
        <w:widowControl/>
        <w:ind w:firstLine="420" w:firstLineChars="20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行政征收的统计范围为1月1日至12月31日期间</w:t>
      </w:r>
      <w:r>
        <w:rPr>
          <w:rFonts w:hint="eastAsia" w:eastAsia="方正仿宋_GBK"/>
          <w:color w:val="000000"/>
          <w:kern w:val="0"/>
          <w:szCs w:val="21"/>
        </w:rPr>
        <w:t>实施数量</w:t>
      </w:r>
      <w:r>
        <w:rPr>
          <w:rFonts w:eastAsia="方正仿宋_GBK"/>
          <w:color w:val="000000"/>
          <w:kern w:val="0"/>
          <w:szCs w:val="21"/>
        </w:rPr>
        <w:t>。（因征税属于中央垂直管理，不列入统计范围）</w:t>
      </w:r>
    </w:p>
    <w:p>
      <w:pPr>
        <w:widowControl/>
        <w:ind w:firstLine="420" w:firstLineChars="200"/>
        <w:jc w:val="left"/>
        <w:textAlignment w:val="center"/>
        <w:rPr>
          <w:rFonts w:eastAsia="方正仿宋_GBK"/>
          <w:color w:val="00000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土地、房屋征收实施数量的统计，以政府正式批文为准。</w:t>
      </w:r>
    </w:p>
    <w:p>
      <w:pPr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第六部分  行政征用实施情况统计表</w:t>
      </w:r>
    </w:p>
    <w:tbl>
      <w:tblPr>
        <w:tblStyle w:val="6"/>
        <w:tblW w:w="1390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60"/>
        <w:gridCol w:w="4030"/>
        <w:gridCol w:w="1920"/>
        <w:gridCol w:w="1800"/>
        <w:gridCol w:w="28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0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行政征用实施数量（件）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40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2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XX局</w:t>
            </w:r>
            <w:r>
              <w:rPr>
                <w:rFonts w:eastAsia="方正仿宋_GBK"/>
                <w:color w:val="000000"/>
                <w:kern w:val="0"/>
                <w:sz w:val="24"/>
              </w:rPr>
              <w:t>（本部）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无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下属执法单位之一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下属执法单位之二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…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下属执法单位之…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</w:tbl>
    <w:p>
      <w:pPr>
        <w:widowControl/>
        <w:jc w:val="left"/>
        <w:textAlignment w:val="center"/>
        <w:rPr>
          <w:rFonts w:ascii="宋体" w:cs="宋体"/>
          <w:color w:val="000000"/>
          <w:kern w:val="0"/>
          <w:sz w:val="24"/>
        </w:rPr>
      </w:pPr>
    </w:p>
    <w:p>
      <w:pPr>
        <w:widowControl/>
        <w:ind w:left="420" w:hanging="420" w:hanging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>
      <w:pPr>
        <w:widowControl/>
        <w:ind w:left="420" w:left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eastAsia="方正仿宋_GBK"/>
          <w:color w:val="000000"/>
          <w:kern w:val="0"/>
          <w:szCs w:val="21"/>
        </w:rPr>
        <w:t>统计范围为1月1日至12月31日期间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因抢险、救灾、反恐等公共利益需要而作出的行政征用决定的数量。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第七部分  行政检查实施情况统计表</w:t>
      </w:r>
    </w:p>
    <w:tbl>
      <w:tblPr>
        <w:tblStyle w:val="6"/>
        <w:tblW w:w="140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2073"/>
        <w:gridCol w:w="4360"/>
        <w:gridCol w:w="4280"/>
        <w:gridCol w:w="291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行政检查实施数量（次）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检查后作出行政处罚数量（件）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丰都县住房城乡建设委员会（本部）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363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丰都县城市管理综合行政执法支队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522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187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下属执法单位之二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…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下属执法单位之…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eastAsia="方正楷体_GBK" w:cs="宋体"/>
                <w:color w:val="000000"/>
                <w:sz w:val="24"/>
              </w:rPr>
            </w:pPr>
            <w:r>
              <w:rPr>
                <w:rFonts w:hint="eastAsia" w:ascii="方正楷体_GBK" w:hAnsi="楷体" w:eastAsia="方正楷体_GBK" w:cs="楷体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</w:tbl>
    <w:p>
      <w:pPr>
        <w:widowControl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</w:p>
    <w:p>
      <w:pPr>
        <w:widowControl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统计</w:t>
      </w:r>
      <w:r>
        <w:rPr>
          <w:rFonts w:eastAsia="方正仿宋_GBK"/>
          <w:color w:val="000000"/>
          <w:kern w:val="0"/>
          <w:szCs w:val="21"/>
        </w:rPr>
        <w:t>范围为1月1日至12月31日期间开展的行政检查次数</w:t>
      </w:r>
      <w:r>
        <w:rPr>
          <w:rFonts w:hint="eastAsia" w:eastAsia="方正仿宋_GBK"/>
          <w:color w:val="000000"/>
          <w:kern w:val="0"/>
          <w:szCs w:val="21"/>
        </w:rPr>
        <w:t>(行政检查为法律法规规章明确规定的行政检查)</w:t>
      </w:r>
      <w:r>
        <w:rPr>
          <w:rFonts w:eastAsia="方正仿宋_GBK"/>
          <w:color w:val="000000"/>
          <w:kern w:val="0"/>
          <w:szCs w:val="21"/>
        </w:rPr>
        <w:t>。检查1个检查对象，有完整、详细的检查记录，计为检查1次。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无特定检查对象的巡查、巡逻，无完整、详细检查记录的，均不计为检查次数。</w:t>
      </w:r>
    </w:p>
    <w:p>
      <w:pPr>
        <w:pStyle w:val="2"/>
        <w:ind w:left="210" w:right="210"/>
      </w:pPr>
    </w:p>
    <w:p>
      <w:pPr>
        <w:pStyle w:val="3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汉仪仿宋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汉仪楷体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firstLine="5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wordWrap w:val="0"/>
                            <w:ind w:firstLine="56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wordWrap w:val="0"/>
                      <w:ind w:firstLine="560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0MGUzMDRkYTliYjgyNmZmZTAxNTBhMDczZTcwMDMifQ=="/>
    <w:docVar w:name="KSO_WPS_MARK_KEY" w:val="30b7d25b-ce6d-49fe-9cd1-c87d8bf2ccca"/>
  </w:docVars>
  <w:rsids>
    <w:rsidRoot w:val="002C063B"/>
    <w:rsid w:val="000142EB"/>
    <w:rsid w:val="000A6E6B"/>
    <w:rsid w:val="002C063B"/>
    <w:rsid w:val="004277AA"/>
    <w:rsid w:val="004C101B"/>
    <w:rsid w:val="005139E6"/>
    <w:rsid w:val="005B49AF"/>
    <w:rsid w:val="005D1D01"/>
    <w:rsid w:val="00707493"/>
    <w:rsid w:val="00740191"/>
    <w:rsid w:val="00744D2A"/>
    <w:rsid w:val="00770F6E"/>
    <w:rsid w:val="00827753"/>
    <w:rsid w:val="008A78E1"/>
    <w:rsid w:val="008D2B0F"/>
    <w:rsid w:val="009445D3"/>
    <w:rsid w:val="00A75293"/>
    <w:rsid w:val="00A76731"/>
    <w:rsid w:val="00AA6EA3"/>
    <w:rsid w:val="00BD18E3"/>
    <w:rsid w:val="00BE00F3"/>
    <w:rsid w:val="00CF755E"/>
    <w:rsid w:val="00D359B2"/>
    <w:rsid w:val="00D74BEF"/>
    <w:rsid w:val="00DC7974"/>
    <w:rsid w:val="00E033D3"/>
    <w:rsid w:val="00EC2DAE"/>
    <w:rsid w:val="00EE7157"/>
    <w:rsid w:val="042A0FA8"/>
    <w:rsid w:val="06782E0E"/>
    <w:rsid w:val="134753CA"/>
    <w:rsid w:val="16C45739"/>
    <w:rsid w:val="17FD6B62"/>
    <w:rsid w:val="18995FEF"/>
    <w:rsid w:val="1A623791"/>
    <w:rsid w:val="1B8B32C6"/>
    <w:rsid w:val="20724C92"/>
    <w:rsid w:val="24255486"/>
    <w:rsid w:val="25C350A1"/>
    <w:rsid w:val="289474F3"/>
    <w:rsid w:val="293E2CB1"/>
    <w:rsid w:val="2C1F5370"/>
    <w:rsid w:val="30A72F11"/>
    <w:rsid w:val="3386432C"/>
    <w:rsid w:val="3AD71B97"/>
    <w:rsid w:val="3C1001A0"/>
    <w:rsid w:val="41C645C6"/>
    <w:rsid w:val="439711A6"/>
    <w:rsid w:val="444C23FD"/>
    <w:rsid w:val="48F55BB2"/>
    <w:rsid w:val="5082052F"/>
    <w:rsid w:val="51617008"/>
    <w:rsid w:val="540D3E5E"/>
    <w:rsid w:val="606C1CD0"/>
    <w:rsid w:val="636846B3"/>
    <w:rsid w:val="6F007D99"/>
    <w:rsid w:val="795B1D53"/>
    <w:rsid w:val="7C563870"/>
    <w:rsid w:val="FDFDB170"/>
    <w:rsid w:val="FEDB9E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ind w:left="100" w:leftChars="100" w:right="100" w:rightChars="100"/>
    </w:p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8">
    <w:name w:val="Hyperlink"/>
    <w:basedOn w:val="7"/>
    <w:qFormat/>
    <w:uiPriority w:val="0"/>
    <w:rPr>
      <w:color w:val="333333"/>
      <w:u w:val="none"/>
    </w:rPr>
  </w:style>
  <w:style w:type="paragraph" w:customStyle="1" w:styleId="9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方正仿宋_GBK" w:eastAsia="方正仿宋_GBK"/>
      <w:color w:val="000000"/>
      <w:kern w:val="0"/>
      <w:sz w:val="24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正文文本 Char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5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HP Inc.</Company>
  <Pages>8</Pages>
  <Words>2142</Words>
  <Characters>2218</Characters>
  <Lines>44</Lines>
  <Paragraphs>12</Paragraphs>
  <TotalTime>46</TotalTime>
  <ScaleCrop>false</ScaleCrop>
  <LinksUpToDate>false</LinksUpToDate>
  <CharactersWithSpaces>2307</CharactersWithSpaces>
  <Application>WWO_openplatform_20210902171309-902389ccc8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2019-12-20T01:35:00Z</dcterms:created>
  <dc:creator>a'a</dc:creator>
  <cp:lastModifiedBy>汐汐卡</cp:lastModifiedBy>
  <cp:lastPrinted>2025-02-26T18:12:00Z</cp:lastPrinted>
  <dcterms:modified xsi:type="dcterms:W3CDTF">2025-03-03T15:29:03Z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4FDF9E81332542F782C85AF2CB429F7B_13</vt:lpwstr>
  </property>
  <property fmtid="{D5CDD505-2E9C-101B-9397-08002B2CF9AE}" pid="4" name="KSOTemplateDocerSaveRecord">
    <vt:lpwstr>eyJoZGlkIjoiNjhmYWFmNWMwMDAwNGJkNGNlYTIwOTUzZDUyMDM3OTkiLCJ1c2VySWQiOiIxNDcwMzQwODI0In0=</vt:lpwstr>
  </property>
</Properties>
</file>