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484"/>
          <w:tab w:val="center" w:pos="4535"/>
        </w:tabs>
        <w:spacing w:line="520" w:lineRule="atLeast"/>
        <w:jc w:val="center"/>
        <w:rPr>
          <w:rFonts w:hint="default" w:ascii="Times New Roman" w:hAnsi="Times New Roman" w:eastAsia="方正小标宋_GBK" w:cs="Times New Roman"/>
          <w:sz w:val="44"/>
          <w:szCs w:val="44"/>
        </w:rPr>
      </w:pPr>
    </w:p>
    <w:p>
      <w:pPr>
        <w:tabs>
          <w:tab w:val="left" w:pos="2484"/>
          <w:tab w:val="center" w:pos="4535"/>
        </w:tabs>
        <w:spacing w:line="520" w:lineRule="atLeast"/>
        <w:jc w:val="center"/>
        <w:rPr>
          <w:rFonts w:hint="default" w:ascii="Times New Roman" w:hAnsi="Times New Roman" w:eastAsia="方正小标宋_GBK" w:cs="Times New Roman"/>
          <w:sz w:val="44"/>
          <w:szCs w:val="44"/>
        </w:rPr>
      </w:pPr>
    </w:p>
    <w:p>
      <w:pPr>
        <w:tabs>
          <w:tab w:val="left" w:pos="2484"/>
          <w:tab w:val="center" w:pos="4535"/>
        </w:tabs>
        <w:spacing w:line="520" w:lineRule="atLeast"/>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丰工改办〔20</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号</w:t>
      </w:r>
    </w:p>
    <w:p>
      <w:pPr>
        <w:pStyle w:val="8"/>
        <w:rPr>
          <w:rFonts w:hint="default" w:ascii="Times New Roman" w:hAnsi="Times New Roman" w:eastAsia="方正仿宋_GBK" w:cs="Times New Roman"/>
          <w:color w:val="000000"/>
          <w:sz w:val="32"/>
          <w:szCs w:val="32"/>
        </w:rPr>
      </w:pPr>
    </w:p>
    <w:p>
      <w:pPr>
        <w:pStyle w:val="8"/>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丰都县工程建设项目审批制度改革工作领导</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小组办公室关于印发《丰都县工程建设项目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审批“体外循环”和“隐性审批”专项整治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工作实施方案》的通知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县工改办各成员单位：</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重庆市工程建设项目审批“体外循环”和“隐性审批”专项整治工作实施方案》（渝工改办〔2021〕2号）要求，我办制定了《丰都县工程建设项目审批“体外循环”和“隐性审批”专项整治工作实施方案》，现印发给你们，请认真贯彻实施，并按要求将实施情况报告我办。</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（联系人：杨富程，电话：70702789）</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丰都县建设工程项目审批制度改革工作的领导小组办公室</w:t>
      </w:r>
    </w:p>
    <w:p>
      <w:pPr>
        <w:keepNext w:val="0"/>
        <w:keepLines w:val="0"/>
        <w:pageBreakBefore w:val="0"/>
        <w:widowControl w:val="0"/>
        <w:kinsoku/>
        <w:wordWrap/>
        <w:overflowPunct/>
        <w:topLinePunct w:val="0"/>
        <w:autoSpaceDE/>
        <w:autoSpaceDN/>
        <w:bidi w:val="0"/>
        <w:adjustRightInd/>
        <w:snapToGrid/>
        <w:spacing w:line="560" w:lineRule="exact"/>
        <w:ind w:leftChars="0" w:firstLine="4800" w:firstLineChars="1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月2</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日</w:t>
      </w:r>
    </w:p>
    <w:p>
      <w:pPr>
        <w:keepNext w:val="0"/>
        <w:keepLines w:val="0"/>
        <w:pageBreakBefore w:val="0"/>
        <w:kinsoku/>
        <w:wordWrap/>
        <w:overflowPunct/>
        <w:topLinePunct w:val="0"/>
        <w:autoSpaceDE w:val="0"/>
        <w:autoSpaceDN w:val="0"/>
        <w:bidi w:val="0"/>
        <w:adjustRightInd w:val="0"/>
        <w:snapToGrid w:val="0"/>
        <w:spacing w:line="540" w:lineRule="exact"/>
        <w:ind w:left="0" w:leftChars="0"/>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丰都县工程建设项目审批“体外循环”和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“隐性审批”专项整治工作实施方案</w:t>
      </w:r>
    </w:p>
    <w:p>
      <w:pPr>
        <w:keepNext w:val="0"/>
        <w:keepLines w:val="0"/>
        <w:pageBreakBefore w:val="0"/>
        <w:widowControl w:val="0"/>
        <w:kinsoku/>
        <w:wordWrap/>
        <w:overflowPunct/>
        <w:topLinePunct w:val="0"/>
        <w:autoSpaceDE/>
        <w:autoSpaceDN/>
        <w:bidi w:val="0"/>
        <w:adjustRightInd/>
        <w:snapToGrid/>
        <w:spacing w:line="560" w:lineRule="exact"/>
        <w:ind w:leftChars="0" w:firstLine="880" w:firstLineChars="200"/>
        <w:jc w:val="both"/>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重庆市建设工程项目审批制度改革工作的领导小组办公室《关于印发重庆市工程建设项目审批“体外循环”和“隐性审批”专项整治工作实施方案》（渝工改办〔2021〕2号）要求，结合我县实际，特制定本实施方案。</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一、总体目标</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进一步深化工程建设项目审批制度改革，提高行政审批效率，优化营商环境，通过开展工程建设项目审批“体外循环”和“隐性审批”专项整治，着力解决当前存在的审批不规范、违规增设审批环节、全流程管理不到位等问题，进一步规范工程建设项目审批行为，完善全流程审批监督管理机制，促进审批全过程数据最大程度共享，努力实现“清单之外无审批、流程之外无环节、指南之外无材料”，切实提高企业群众对工程建设项目审批制度改革的满意度和获得感。</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二、整治范围及问题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（一）整治范围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中市要求，将工程建设项目从立项到竣工验收和公共设施接入全过程的审批服务事项和环节纳入整治，具体包括行政许可、技术审查、中介服务、市政公用服务、备案等事项，专家评审、会议审查、征求意见、现场核验、公示公告等环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（二）整治问题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体外循环”主要问题。未按国家工改要求，将工程建设项目审批服务事项和环节纳入本地工程审批综合服务窗口和工程审批管理系统统一管理；强制或变相强制申请人在提交正式申请前进行预审查；在审批前强制设定预审程序，未按照全流程、全覆盖的要求统计工程审批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隐性审批”主要包括：违规设立或实施审批；违规扩大审查内容或审批服务事项适用范围；违规将政府职责交由申请人或其他单位承担；通过引导推荐、利用行业影响力等方式强制或变相强制申请人接受特定机构审查、服务。</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三、工作步骤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(一)清理自查阶段(2021年8月30日前)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1.对标对表排查问题。县工改办各成员单位按照要求组织全面排查本行业内在审批办理事项中存在的“体外循环”“隐性审批”及相关问题。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清理有关事项及要素。县工改办各成员单位对照《重庆市工程建设目审批及办理事项清单》（附件1），修订完善本行业部门在工程建设项目审批管理系统和“渝快办”中的事项名称、申请材料、办理流程(含专家评审、会议审查、征求意见、现场核验、公示公告等特殊环节)、办理时限等事项和办事指南等要素，形成同一工程建设项目审批及办理事项各要素规范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3.建立健全问题台账。县工改办各成员单位根据排查和清理工作中发现的问题，在“专项整治问题排查表”(附件2)如实记录自查情况，针对问题科学拟定整改措施，合理制定整改时限。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(二)集中整改阶段(2021年10月15日前)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县工改办各成员单位自本通知下发之日起，即查即改，并根据问题清单，逐一研究并按整改措施和完成时限抓紧落实。对可以立即整改的问题，立行立改；对需要一定时间整改的问题，倒排时间，按时整改；对因条件所限一时无法解决的问题，整体谋划、分步实施。县政府办（政务科）督促指导各成员单位整改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(三)总结提升阶段(2021年10月30日前)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县工改办全面梳理总结此次专项整治工作的组织实施情况，重点反映采取的推进措施、取得的工作成效、办事效率和服务质量提升情况等，于10月20日前形成工作总结书面材料(盖章后)，并将“专项整治问题排查表”(附件2)附后报送县工改办。</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(一)加强组织领导。</w:t>
      </w:r>
      <w:r>
        <w:rPr>
          <w:rFonts w:hint="default" w:ascii="Times New Roman" w:hAnsi="Times New Roman" w:eastAsia="方正仿宋_GBK" w:cs="Times New Roman"/>
          <w:sz w:val="32"/>
          <w:szCs w:val="32"/>
          <w:lang w:val="en-US" w:eastAsia="zh-CN"/>
        </w:rPr>
        <w:t>县工改办各成员单位要切实以企业群众的实际感受为评判标准，切实提高对专项整治工作重要性的认识，把开展专项整治工作作为深化工程建设项目审批制度改革的重要内容，认真做好组织实施，广泛收集问题线索，推动问题整改，对发现的重大问题，应及时上报县工改办。</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(二)推进标准化服务。</w:t>
      </w:r>
      <w:r>
        <w:rPr>
          <w:rFonts w:hint="default" w:ascii="Times New Roman" w:hAnsi="Times New Roman" w:eastAsia="方正仿宋_GBK" w:cs="Times New Roman"/>
          <w:sz w:val="32"/>
          <w:szCs w:val="32"/>
          <w:lang w:val="en-US" w:eastAsia="zh-CN"/>
        </w:rPr>
        <w:t>县工改办各成员单位要加强行政服务中心“一窗通办”服务窗口管理，做到审批服务事项和环节应进必进。进一步明确审批事项的审批依据、审批前置条件、审批范围、审批环节，包括是否涉及中介服务、委托专家或机构进行技术审查、现场核验、公示公告等。各成员单位加强协作，进一步细化量化工程建设项目审批标准，压缩自由裁量权，实现同一事项无差别受理、同标准办理。</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(三)推行电子化指南。</w:t>
      </w:r>
      <w:r>
        <w:rPr>
          <w:rFonts w:hint="default" w:ascii="Times New Roman" w:hAnsi="Times New Roman" w:eastAsia="方正仿宋_GBK" w:cs="Times New Roman"/>
          <w:sz w:val="32"/>
          <w:szCs w:val="32"/>
          <w:lang w:val="en-US" w:eastAsia="zh-CN"/>
        </w:rPr>
        <w:t>县工改办、县行政服务中心应参照市工程建设项目审批服务大厅做法，在保障为服务对象提供办事指南免费实时打印的同时，将办事指南网上链接至“渝快办”的办事指南二维码在县行政服务中心工程建设项目审批服务窗口展示，实现办事指南线上线下同源展示。</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(四)加强协作共享信息。</w:t>
      </w:r>
      <w:r>
        <w:rPr>
          <w:rFonts w:hint="default" w:ascii="Times New Roman" w:hAnsi="Times New Roman" w:eastAsia="方正仿宋_GBK" w:cs="Times New Roman"/>
          <w:sz w:val="32"/>
          <w:szCs w:val="32"/>
          <w:lang w:val="en-US" w:eastAsia="zh-CN"/>
        </w:rPr>
        <w:t>县工改办各成员单位要切实加强部门自建系统与工程建设项目审批管理系统的对接管理，加快推进工程建设项目全流程在线审批，切实做到信息一次填报、材料一次上传、相关评审意见等过程信息和审批结果信息即时推送，实现数据的互联互通和实时共享，不断提升数据共享质量、时效性和完整性。</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(五)强化常态化管理。</w:t>
      </w:r>
      <w:r>
        <w:rPr>
          <w:rFonts w:hint="default" w:ascii="Times New Roman" w:hAnsi="Times New Roman" w:eastAsia="方正仿宋_GBK" w:cs="Times New Roman"/>
          <w:sz w:val="32"/>
          <w:szCs w:val="32"/>
          <w:lang w:val="en-US" w:eastAsia="zh-CN"/>
        </w:rPr>
        <w:t>县工改办着力围绕专项整治工作中发现的问题，不断完善工作制度，强化日常监督管理，依托工程建设项目审批管理系统，常态化分析研判审批全流程中各环节存在的问题，采取有针对性的措施推动解决。同时畅通社会参与渠道，广泛听取企业群众意见，鼓励调动新闻媒体力量，充分发挥社会监督作用。</w:t>
      </w:r>
    </w:p>
    <w:p>
      <w:pPr>
        <w:pStyle w:val="8"/>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附件：1.重庆市工程建设项目审批及办理事项清单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6" w:leftChars="760" w:hanging="320" w:hangingChars="1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2.工程建设项目审批“体外循环”和“隐性审批”专项整治问题排查表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p>
    <w:p>
      <w:pPr>
        <w:spacing w:line="600" w:lineRule="exact"/>
        <w:rPr>
          <w:rFonts w:hint="default" w:ascii="Times New Roman" w:hAnsi="Times New Roman" w:eastAsia="方正黑体_GBK" w:cs="Times New Roman"/>
          <w:sz w:val="32"/>
          <w:szCs w:val="32"/>
        </w:rPr>
      </w:pPr>
    </w:p>
    <w:p>
      <w:pPr>
        <w:spacing w:line="600" w:lineRule="exact"/>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1</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重庆市工程建设项目审批及办理事项清单</w:t>
      </w:r>
    </w:p>
    <w:tbl>
      <w:tblPr>
        <w:tblStyle w:val="5"/>
        <w:tblW w:w="9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5500"/>
        <w:gridCol w:w="2260"/>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blHeader/>
          <w:jc w:val="center"/>
        </w:trPr>
        <w:tc>
          <w:tcPr>
            <w:tcW w:w="743" w:type="dxa"/>
            <w:shd w:val="clear" w:color="auto" w:fill="auto"/>
            <w:vAlign w:val="center"/>
          </w:tcPr>
          <w:p>
            <w:pPr>
              <w:widowControl/>
              <w:spacing w:line="32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序号</w:t>
            </w:r>
          </w:p>
        </w:tc>
        <w:tc>
          <w:tcPr>
            <w:tcW w:w="5500" w:type="dxa"/>
            <w:shd w:val="clear" w:color="auto" w:fill="auto"/>
            <w:vAlign w:val="center"/>
          </w:tcPr>
          <w:p>
            <w:pPr>
              <w:widowControl/>
              <w:spacing w:line="32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事项名称</w:t>
            </w:r>
          </w:p>
        </w:tc>
        <w:tc>
          <w:tcPr>
            <w:tcW w:w="2260" w:type="dxa"/>
            <w:shd w:val="clear" w:color="auto" w:fill="auto"/>
            <w:noWrap/>
            <w:vAlign w:val="center"/>
          </w:tcPr>
          <w:p>
            <w:pPr>
              <w:widowControl/>
              <w:spacing w:line="32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办理部门（单位）</w:t>
            </w:r>
          </w:p>
        </w:tc>
        <w:tc>
          <w:tcPr>
            <w:tcW w:w="1360" w:type="dxa"/>
            <w:shd w:val="clear" w:color="auto" w:fill="auto"/>
            <w:noWrap/>
            <w:vAlign w:val="center"/>
          </w:tcPr>
          <w:p>
            <w:pPr>
              <w:widowControl/>
              <w:spacing w:line="32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550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市发展改革委审批、核准权限范围内企业、事业单位、社会团体等投资建设的固定资产投资项目核准</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发展改革部门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江北国际机场的机场地区外总体规划区域内建设项目备案</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发展改革部门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区县权限内的企业投资项目备案</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发展改革部门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政府投资项目可研审批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发展改革部门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企业投资项目核准</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经济信息部门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工业及信息领域企业投资项目备案</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经济信息部门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建设项目用地预审</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规划自然资源部门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建设项目选址意见书核发</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规划自然资源部门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划拨、出让、租赁、作价出资（入股）国有建设用地使用权供应审查（国有建设用地使用权出让审查）</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规划自然资源部门</w:t>
            </w:r>
          </w:p>
        </w:tc>
        <w:tc>
          <w:tcPr>
            <w:tcW w:w="1360" w:type="dxa"/>
            <w:shd w:val="clear" w:color="auto" w:fill="auto"/>
            <w:noWrap/>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建设用地规划许可证核发</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规划自然资源部门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11</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建设项目压覆重要矿床（矿产资源）审批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规划自然资源部门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12</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文物保护单位建设控制地带内建设工程设计方案审核</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文化旅游部门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涉及国家安全事项的建设项目审批（涉及国家安全事项的建设项目选址审查）</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国家安全部门</w:t>
            </w:r>
          </w:p>
        </w:tc>
        <w:tc>
          <w:tcPr>
            <w:tcW w:w="1360" w:type="dxa"/>
            <w:shd w:val="clear" w:color="auto" w:fill="auto"/>
            <w:noWrap/>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建设项目使用林地及在森林和野生动物类型自然保护区建设审批（核）</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林业部门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15</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建设项目对湿地公园影响的批复</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林业部门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16</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新建、扩建、改建建设工程避免危害气象探测环境审批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气象部门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17</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建设工程（含临时建设）规划许可证核发</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规划自然资源部门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大型基本建设工程文物考古调查、勘探审批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文化旅游部门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19</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涉及国家安全事项的建设项目审批（建设项目涉及国家安全事项审查）</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国家安全部门</w:t>
            </w:r>
          </w:p>
        </w:tc>
        <w:tc>
          <w:tcPr>
            <w:tcW w:w="1360" w:type="dxa"/>
            <w:shd w:val="clear" w:color="auto" w:fill="auto"/>
            <w:noWrap/>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危及市政公用设施安全的建设项目规划审查</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城市管理部门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21</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建设项目附属园林绿化工程设计方案审查</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城市管理部门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22</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危险化学品生产、储存建设项目安全条件审查</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应急管理部门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23</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建设项目涉及机场净空安全管理事项的审查</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民航监管部门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24</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建设项目涉及防空地下室设置事项审批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人民防空部门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25</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建设项目涉及无线电管理事项的审查</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经济信息部门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26</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电力设施保护区内施工作业审批、在电力设施周围进行爆破及其他可能危及电力设施安全作业审批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经济信息部门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27</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重大市政公用设施工程规划设计方案审查</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28</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轨道交通控制保护区范围内建设项目方案设计专项审查</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29</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政府投资房屋建筑和市政基础设施工程建设项目初步设计审批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30</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轨道交通控制保护区范围内建设项目初步设计专项审查</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31</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超限高层建筑工程抗震设防审批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32</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建筑工程施工许可证核发</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33</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主城区建设总规模在25万平方米以上（含25万平方米）房地产开发项目建设方案备案</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34</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轨道交通控制保护区内建设项目安全保护方案备案</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35</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施工图审查备案</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36</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主城区建设总规模在25万平方米以上（含25万平方米）房地产开发项目资本金监督管理</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37</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建设工程消防设计审查</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38</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城镇排水与污水处理规划范围内有关建设项目建设工程规划许可审核</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39</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城市建设配套费征收（含加收滞纳金）</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40</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城镇污水（临时）排入排水管网许可</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41</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市政设施建设类审批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城市管理部门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42</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占用、迁移、拆除城市道路照明设施审核</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城市管理部门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43</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工程建设涉及城市绿地、树木审批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城市管理部门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44</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因工程建设需要拆除、改动、迁移供水、排水与污水处理设施审核</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住房城乡建设部门/城市管理部门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45</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政府投资项目概算审批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发展改革部门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46</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改动市政天然气设施审批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经济信息部门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47</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雷电防护装置设计审核和竣工验收（雷电防护装置设计审核）</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气象部门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48</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矿山、金属冶炼建设项目和用于生产、储存危险物品的建设项目的安全设施设计审查</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应急管理部门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49</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人防设计审核确认</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人民防空部门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50</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防空地下室易地建设费征收</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人民防空部门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51</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人防工程和设施拆除、损毁审批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人民防空部门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52</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人防工程和设施补建审批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人民防空部门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53</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建设工程消防验收</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54</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建设工程消防验收备案</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55</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建筑能效测评</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56</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建设工程档案专项验收</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57</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房屋建筑和市政基础设施工程竣工验收备案</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58</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建设工程质量监督</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59</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建设项目防空地下室竣工验收备案</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人民防空部门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60</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建设项目人防验收</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人民防空部门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61</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建设工程规划核验（验收）</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规划自然资源部门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62</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光纤到户通信设施竣工验收备案</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通信管理部门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63</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涉及国家安全事项的建设项目审批（涉及国家安全事项的建设项目竣工验收）</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国家安全部门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64</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雷电防护装置设计审核和竣工验收（雷电防护装置竣工验收）</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气象部门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65</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天然气设施建设工程竣工验收情况备案</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经济信息部门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66</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固定资产投资项目节能评估和审查</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发展改革部门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67</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建设工程地震安全性评价结果的审定及抗震设防要求的确定</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地震部门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68</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航道通航条件影响评价审核</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交通部门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69</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建设项目环境影响评价审批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生态环境部门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70</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夜间作业审核</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生态环境部门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71</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江河、湖泊新建、改建或者扩大排污口审核</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生态环境部门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72</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划拨、出让、租赁、作价出资（入股）国有建设用地使用权供应审查（国有建设用地使用权划拨审查）</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规划自然资源部门</w:t>
            </w:r>
          </w:p>
        </w:tc>
        <w:tc>
          <w:tcPr>
            <w:tcW w:w="1360" w:type="dxa"/>
            <w:shd w:val="clear" w:color="auto" w:fill="auto"/>
            <w:noWrap/>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73</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通信设备的安装、调试、开通</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电信移动联通公司</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74</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广播电视设备的安装、调试、开通</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重庆有线电视网络股份有限公司</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75</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居民零星用水办理</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重庆市水务公司</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76</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燃气报装</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燃气公司</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77</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高压新装</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国网重庆市电力公司</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78</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低压非居民新装</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国网重庆市电力公司</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79</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生产建设项目水土保持方案审批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80</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洪水影响评价审批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81</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取水许可</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82</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一般水文测站设立和调整审批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83</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专用水文测站的审批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84</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水利基建项目初步设计文件审批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85</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农村集体经济组织或者其他单位和个人修建水库审批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86</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在不同行政区域之间的边界河流上建设水资源开发、利用项目的批准</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87</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工程质量监督手续办理</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88</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安全监管属地备案</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89</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生产建设项目水土保持设施自主验收报备</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90</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水利工程建设项目开工备案</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91</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水利水电工程可行性研究报告（或项目申请报告）技术审查</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92</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水利工程建设项目阶段验收</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93</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水利工程建设项目竣工验收</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94</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水利工程建设项目档案专项验收</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95</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通航水域岸线安全使用和水上水下活动许可</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交通部门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96</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跨越、穿越公路及在公路用地范围内架设、埋设管线、电缆等设施，或者利用公路桥梁、公路隧道、涵洞铺设电缆等设施许可</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交通部门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97</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公路水运工程建设项目设计文件审批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交通部门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98</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公路建设项目施工许可</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交通部门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99</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公路工程建设项目竣工验收审批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交通部门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100</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国家重点水运工程建设项目竣工验收</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交通部门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101</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水运工程建设项目竣工验收审批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交通部门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bl>
    <w:p>
      <w:pPr>
        <w:rPr>
          <w:rFonts w:hint="default" w:ascii="Times New Roman" w:hAnsi="Times New Roman" w:cs="Times New Roman"/>
        </w:rPr>
        <w:sectPr>
          <w:headerReference r:id="rId4" w:type="first"/>
          <w:footerReference r:id="rId6" w:type="first"/>
          <w:headerReference r:id="rId3" w:type="default"/>
          <w:footerReference r:id="rId5" w:type="default"/>
          <w:pgSz w:w="11906" w:h="16838"/>
          <w:pgMar w:top="1814" w:right="1474" w:bottom="1701" w:left="1588" w:header="851" w:footer="992" w:gutter="0"/>
          <w:pgNumType w:fmt="numberInDash"/>
          <w:cols w:space="425" w:num="1"/>
          <w:titlePg/>
          <w:docGrid w:type="lines" w:linePitch="312" w:charSpace="0"/>
        </w:sectPr>
      </w:pPr>
    </w:p>
    <w:p>
      <w:pPr>
        <w:spacing w:line="400" w:lineRule="exact"/>
        <w:jc w:val="left"/>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2</w:t>
      </w:r>
    </w:p>
    <w:p>
      <w:pPr>
        <w:spacing w:line="400" w:lineRule="exact"/>
        <w:jc w:val="center"/>
        <w:rPr>
          <w:rFonts w:hint="default" w:ascii="Times New Roman" w:hAnsi="Times New Roman" w:cs="Times New Roman"/>
        </w:rPr>
      </w:pPr>
    </w:p>
    <w:p>
      <w:pPr>
        <w:spacing w:line="4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工程建设项目审批“体外循环”和“隐性审批”专项整治问题排查表</w:t>
      </w:r>
    </w:p>
    <w:p>
      <w:pPr>
        <w:spacing w:line="600" w:lineRule="exact"/>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填报部门（单位）：                                   联系人及电话：                               填报日期：</w:t>
      </w:r>
    </w:p>
    <w:tbl>
      <w:tblPr>
        <w:tblStyle w:val="6"/>
        <w:tblW w:w="16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851"/>
        <w:gridCol w:w="2035"/>
        <w:gridCol w:w="3969"/>
        <w:gridCol w:w="2802"/>
        <w:gridCol w:w="3119"/>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843" w:type="dxa"/>
          </w:tcPr>
          <w:p>
            <w:pPr>
              <w:spacing w:line="240" w:lineRule="atLeas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序号</w:t>
            </w:r>
          </w:p>
        </w:tc>
        <w:tc>
          <w:tcPr>
            <w:tcW w:w="2886" w:type="dxa"/>
            <w:gridSpan w:val="2"/>
          </w:tcPr>
          <w:p>
            <w:pPr>
              <w:spacing w:line="240" w:lineRule="atLeas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重点整治问题</w:t>
            </w:r>
          </w:p>
        </w:tc>
        <w:tc>
          <w:tcPr>
            <w:tcW w:w="3969" w:type="dxa"/>
          </w:tcPr>
          <w:p>
            <w:pPr>
              <w:spacing w:line="240" w:lineRule="atLeas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问题描述</w:t>
            </w:r>
          </w:p>
        </w:tc>
        <w:tc>
          <w:tcPr>
            <w:tcW w:w="2802" w:type="dxa"/>
          </w:tcPr>
          <w:p>
            <w:pPr>
              <w:spacing w:line="240" w:lineRule="atLeas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自查情况</w:t>
            </w:r>
          </w:p>
        </w:tc>
        <w:tc>
          <w:tcPr>
            <w:tcW w:w="3119" w:type="dxa"/>
          </w:tcPr>
          <w:p>
            <w:pPr>
              <w:spacing w:line="240" w:lineRule="atLeas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整改措施</w:t>
            </w:r>
          </w:p>
        </w:tc>
        <w:tc>
          <w:tcPr>
            <w:tcW w:w="1417" w:type="dxa"/>
          </w:tcPr>
          <w:p>
            <w:pPr>
              <w:spacing w:line="240" w:lineRule="atLeas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完成时限</w:t>
            </w:r>
          </w:p>
        </w:tc>
        <w:tc>
          <w:tcPr>
            <w:tcW w:w="992" w:type="dxa"/>
          </w:tcPr>
          <w:p>
            <w:pPr>
              <w:spacing w:line="240" w:lineRule="atLeas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restart"/>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851" w:type="dxa"/>
            <w:vMerge w:val="restart"/>
            <w:vAlign w:val="center"/>
          </w:tcPr>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“体外循环”主要问题</w:t>
            </w: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“体外循环”主要问题</w:t>
            </w:r>
          </w:p>
        </w:tc>
        <w:tc>
          <w:tcPr>
            <w:tcW w:w="2035" w:type="dxa"/>
            <w:vMerge w:val="restart"/>
            <w:vAlign w:val="center"/>
          </w:tcPr>
          <w:p>
            <w:pPr>
              <w:spacing w:line="240" w:lineRule="atLeast"/>
              <w:jc w:val="left"/>
              <w:rPr>
                <w:rFonts w:hint="default" w:ascii="Times New Roman" w:hAnsi="Times New Roman" w:cs="Times New Roman"/>
                <w:sz w:val="24"/>
                <w:szCs w:val="24"/>
              </w:rPr>
            </w:pPr>
            <w:r>
              <w:rPr>
                <w:rFonts w:hint="default" w:ascii="Times New Roman" w:hAnsi="Times New Roman" w:cs="Times New Roman"/>
                <w:sz w:val="24"/>
                <w:szCs w:val="24"/>
              </w:rPr>
              <w:t>未按照国家工程建设项目审批制度改革要求，将工程建设项目审批服务事项和环节纳入本地区工程建设项目审批综合服务窗口和工程建设项目审批管理系统统一管理</w:t>
            </w: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（1）同一审批服务事项或环节要求申请人在不同窗口重复申报、重复提交材料</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continue"/>
            <w:vAlign w:val="center"/>
          </w:tcPr>
          <w:p>
            <w:pPr>
              <w:spacing w:line="240" w:lineRule="atLeast"/>
              <w:jc w:val="center"/>
              <w:rPr>
                <w:rFonts w:hint="default" w:ascii="Times New Roman" w:hAnsi="Times New Roman" w:cs="Times New Roman"/>
                <w:sz w:val="24"/>
                <w:szCs w:val="24"/>
              </w:rPr>
            </w:pP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continue"/>
            <w:vAlign w:val="center"/>
          </w:tcPr>
          <w:p>
            <w:pPr>
              <w:spacing w:line="240" w:lineRule="atLeast"/>
              <w:jc w:val="left"/>
              <w:rPr>
                <w:rFonts w:hint="default" w:ascii="Times New Roman" w:hAnsi="Times New Roman" w:cs="Times New Roman"/>
                <w:sz w:val="24"/>
                <w:szCs w:val="24"/>
              </w:rPr>
            </w:pP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（2）相关部门审批信息系统与工程建设项目审批管理系统尚未完全实现互联互通，同一审批服务事项或环节要求申请人或审批人员在不同系统重复填报、重复提交材料</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continue"/>
            <w:vAlign w:val="center"/>
          </w:tcPr>
          <w:p>
            <w:pPr>
              <w:spacing w:line="240" w:lineRule="atLeast"/>
              <w:jc w:val="center"/>
              <w:rPr>
                <w:rFonts w:hint="default" w:ascii="Times New Roman" w:hAnsi="Times New Roman" w:cs="Times New Roman"/>
                <w:sz w:val="24"/>
                <w:szCs w:val="24"/>
              </w:rPr>
            </w:pP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continue"/>
            <w:vAlign w:val="center"/>
          </w:tcPr>
          <w:p>
            <w:pPr>
              <w:spacing w:line="240" w:lineRule="atLeast"/>
              <w:jc w:val="left"/>
              <w:rPr>
                <w:rFonts w:hint="default" w:ascii="Times New Roman" w:hAnsi="Times New Roman" w:cs="Times New Roman"/>
                <w:sz w:val="24"/>
                <w:szCs w:val="24"/>
              </w:rPr>
            </w:pP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（3）审批部门线下审批通过后再进行线上补录</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continue"/>
            <w:vAlign w:val="center"/>
          </w:tcPr>
          <w:p>
            <w:pPr>
              <w:spacing w:line="240" w:lineRule="atLeast"/>
              <w:jc w:val="center"/>
              <w:rPr>
                <w:rFonts w:hint="default" w:ascii="Times New Roman" w:hAnsi="Times New Roman" w:cs="Times New Roman"/>
                <w:sz w:val="24"/>
                <w:szCs w:val="24"/>
              </w:rPr>
            </w:pP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continue"/>
            <w:vAlign w:val="center"/>
          </w:tcPr>
          <w:p>
            <w:pPr>
              <w:spacing w:line="240" w:lineRule="atLeast"/>
              <w:jc w:val="left"/>
              <w:rPr>
                <w:rFonts w:hint="default" w:ascii="Times New Roman" w:hAnsi="Times New Roman" w:cs="Times New Roman"/>
                <w:sz w:val="24"/>
                <w:szCs w:val="24"/>
              </w:rPr>
            </w:pP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（4）未将技术审查、中介服务、市政公用服务、专家评审、会议审查、征求意见、现场核验等纳入系统管理</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continue"/>
            <w:vAlign w:val="center"/>
          </w:tcPr>
          <w:p>
            <w:pPr>
              <w:spacing w:line="240" w:lineRule="atLeast"/>
              <w:jc w:val="center"/>
              <w:rPr>
                <w:rFonts w:hint="default" w:ascii="Times New Roman" w:hAnsi="Times New Roman" w:cs="Times New Roman"/>
                <w:sz w:val="24"/>
                <w:szCs w:val="24"/>
              </w:rPr>
            </w:pP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continue"/>
            <w:vAlign w:val="center"/>
          </w:tcPr>
          <w:p>
            <w:pPr>
              <w:spacing w:line="240" w:lineRule="atLeast"/>
              <w:jc w:val="left"/>
              <w:rPr>
                <w:rFonts w:hint="default" w:ascii="Times New Roman" w:hAnsi="Times New Roman" w:cs="Times New Roman"/>
                <w:sz w:val="24"/>
                <w:szCs w:val="24"/>
              </w:rPr>
            </w:pP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（…）其他</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restart"/>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restart"/>
            <w:vAlign w:val="center"/>
          </w:tcPr>
          <w:p>
            <w:pPr>
              <w:spacing w:line="240" w:lineRule="atLeast"/>
              <w:jc w:val="left"/>
              <w:rPr>
                <w:rFonts w:hint="default" w:ascii="Times New Roman" w:hAnsi="Times New Roman" w:cs="Times New Roman"/>
                <w:sz w:val="24"/>
                <w:szCs w:val="24"/>
              </w:rPr>
            </w:pPr>
            <w:r>
              <w:rPr>
                <w:rFonts w:hint="default" w:ascii="Times New Roman" w:hAnsi="Times New Roman" w:cs="Times New Roman"/>
                <w:sz w:val="24"/>
                <w:szCs w:val="24"/>
              </w:rPr>
              <w:t>强制或变相强制申请人在提交正式申请前进行预审查</w:t>
            </w: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（1）在设计方案审查、竣工验收等审批前强制设定预审程序，或以提前服务、咨询、沟通等名义变相实施预审，要求申请人在符合申请条件后才能正式提交申请材料</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continue"/>
            <w:vAlign w:val="center"/>
          </w:tcPr>
          <w:p>
            <w:pPr>
              <w:spacing w:line="240" w:lineRule="atLeast"/>
              <w:jc w:val="center"/>
              <w:rPr>
                <w:rFonts w:hint="default" w:ascii="Times New Roman" w:hAnsi="Times New Roman" w:cs="Times New Roman"/>
                <w:sz w:val="24"/>
                <w:szCs w:val="24"/>
              </w:rPr>
            </w:pP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continue"/>
            <w:vAlign w:val="center"/>
          </w:tcPr>
          <w:p>
            <w:pPr>
              <w:spacing w:line="240" w:lineRule="atLeast"/>
              <w:jc w:val="left"/>
              <w:rPr>
                <w:rFonts w:hint="default" w:ascii="Times New Roman" w:hAnsi="Times New Roman" w:cs="Times New Roman"/>
                <w:sz w:val="24"/>
                <w:szCs w:val="24"/>
              </w:rPr>
            </w:pP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（…）其他</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restart"/>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restart"/>
            <w:vAlign w:val="center"/>
          </w:tcPr>
          <w:p>
            <w:pPr>
              <w:spacing w:line="240" w:lineRule="atLeast"/>
              <w:jc w:val="left"/>
              <w:rPr>
                <w:rFonts w:hint="default" w:ascii="Times New Roman" w:hAnsi="Times New Roman" w:cs="Times New Roman"/>
                <w:sz w:val="24"/>
                <w:szCs w:val="24"/>
              </w:rPr>
            </w:pPr>
            <w:r>
              <w:rPr>
                <w:rFonts w:hint="default" w:ascii="Times New Roman" w:hAnsi="Times New Roman" w:cs="Times New Roman"/>
                <w:sz w:val="24"/>
                <w:szCs w:val="24"/>
              </w:rPr>
              <w:t>未按照全流程、全覆盖的要求统计工程建设项目审批时间</w:t>
            </w: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（1）未将施工图设计文件审查、公共设施报装和验收接入等时间计入全流程审批用时</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continue"/>
            <w:vAlign w:val="center"/>
          </w:tcPr>
          <w:p>
            <w:pPr>
              <w:spacing w:line="240" w:lineRule="atLeast"/>
              <w:jc w:val="center"/>
              <w:rPr>
                <w:rFonts w:hint="default" w:ascii="Times New Roman" w:hAnsi="Times New Roman" w:cs="Times New Roman"/>
                <w:sz w:val="24"/>
                <w:szCs w:val="24"/>
              </w:rPr>
            </w:pP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continue"/>
            <w:vAlign w:val="center"/>
          </w:tcPr>
          <w:p>
            <w:pPr>
              <w:spacing w:line="240" w:lineRule="atLeast"/>
              <w:jc w:val="left"/>
              <w:rPr>
                <w:rFonts w:hint="default" w:ascii="Times New Roman" w:hAnsi="Times New Roman" w:cs="Times New Roman"/>
                <w:sz w:val="24"/>
                <w:szCs w:val="24"/>
              </w:rPr>
            </w:pP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（2）未将审批部门在审批中组织、委托或购买服务的技术审查、专家评审、会议审查、征求意见、现场核验等时间计入审批用时</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continue"/>
            <w:vAlign w:val="center"/>
          </w:tcPr>
          <w:p>
            <w:pPr>
              <w:spacing w:line="240" w:lineRule="atLeast"/>
              <w:jc w:val="center"/>
              <w:rPr>
                <w:rFonts w:hint="default" w:ascii="Times New Roman" w:hAnsi="Times New Roman" w:cs="Times New Roman"/>
                <w:sz w:val="24"/>
                <w:szCs w:val="24"/>
              </w:rPr>
            </w:pP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continue"/>
            <w:vAlign w:val="center"/>
          </w:tcPr>
          <w:p>
            <w:pPr>
              <w:spacing w:line="240" w:lineRule="atLeast"/>
              <w:jc w:val="left"/>
              <w:rPr>
                <w:rFonts w:hint="default" w:ascii="Times New Roman" w:hAnsi="Times New Roman" w:cs="Times New Roman"/>
                <w:sz w:val="24"/>
                <w:szCs w:val="24"/>
              </w:rPr>
            </w:pP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（3）为规避审批逾期，在临近办结时限前强制或变相强制申请人重新提交申请</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continue"/>
            <w:vAlign w:val="center"/>
          </w:tcPr>
          <w:p>
            <w:pPr>
              <w:spacing w:line="240" w:lineRule="atLeast"/>
              <w:jc w:val="center"/>
              <w:rPr>
                <w:rFonts w:hint="default" w:ascii="Times New Roman" w:hAnsi="Times New Roman" w:cs="Times New Roman"/>
                <w:sz w:val="24"/>
                <w:szCs w:val="24"/>
              </w:rPr>
            </w:pP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continue"/>
            <w:vAlign w:val="center"/>
          </w:tcPr>
          <w:p>
            <w:pPr>
              <w:spacing w:line="240" w:lineRule="atLeast"/>
              <w:jc w:val="left"/>
              <w:rPr>
                <w:rFonts w:hint="default" w:ascii="Times New Roman" w:hAnsi="Times New Roman" w:cs="Times New Roman"/>
                <w:sz w:val="24"/>
                <w:szCs w:val="24"/>
              </w:rPr>
            </w:pP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（…）其他</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restart"/>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851" w:type="dxa"/>
            <w:vMerge w:val="restart"/>
            <w:vAlign w:val="center"/>
          </w:tcPr>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“隐性审批”主要问题</w:t>
            </w: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“隐性审批”主要问题</w:t>
            </w:r>
          </w:p>
        </w:tc>
        <w:tc>
          <w:tcPr>
            <w:tcW w:w="2035" w:type="dxa"/>
            <w:vMerge w:val="restart"/>
            <w:vAlign w:val="center"/>
          </w:tcPr>
          <w:p>
            <w:pPr>
              <w:spacing w:line="240" w:lineRule="atLeast"/>
              <w:jc w:val="left"/>
              <w:rPr>
                <w:rFonts w:hint="default" w:ascii="Times New Roman" w:hAnsi="Times New Roman" w:cs="Times New Roman"/>
                <w:sz w:val="24"/>
                <w:szCs w:val="24"/>
              </w:rPr>
            </w:pPr>
            <w:r>
              <w:rPr>
                <w:rFonts w:hint="default" w:ascii="Times New Roman" w:hAnsi="Times New Roman" w:cs="Times New Roman"/>
                <w:sz w:val="24"/>
                <w:szCs w:val="24"/>
              </w:rPr>
              <w:t>违规设立或实施审批</w:t>
            </w: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（1）要求申请人办理或提交没有明确法律法规依据、与工程建设项目审批制度改革要求不符或已公布清单以外的审批服务事项、环节和申请材料</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continue"/>
            <w:vAlign w:val="center"/>
          </w:tcPr>
          <w:p>
            <w:pPr>
              <w:spacing w:line="240" w:lineRule="atLeast"/>
              <w:jc w:val="center"/>
              <w:rPr>
                <w:rFonts w:hint="default" w:ascii="Times New Roman" w:hAnsi="Times New Roman" w:cs="Times New Roman"/>
                <w:sz w:val="24"/>
                <w:szCs w:val="24"/>
              </w:rPr>
            </w:pP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continue"/>
            <w:vAlign w:val="center"/>
          </w:tcPr>
          <w:p>
            <w:pPr>
              <w:spacing w:line="240" w:lineRule="atLeast"/>
              <w:jc w:val="left"/>
              <w:rPr>
                <w:rFonts w:hint="default" w:ascii="Times New Roman" w:hAnsi="Times New Roman" w:cs="Times New Roman"/>
                <w:sz w:val="24"/>
                <w:szCs w:val="24"/>
              </w:rPr>
            </w:pP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（2）将备案非行政许可事项变相实施为行政许可事项;通过要求报送信息、提供证明等方式将已取消的审批事项转化为审批前置条件</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continue"/>
            <w:vAlign w:val="center"/>
          </w:tcPr>
          <w:p>
            <w:pPr>
              <w:spacing w:line="240" w:lineRule="atLeast"/>
              <w:jc w:val="center"/>
              <w:rPr>
                <w:rFonts w:hint="default" w:ascii="Times New Roman" w:hAnsi="Times New Roman" w:cs="Times New Roman"/>
                <w:sz w:val="24"/>
                <w:szCs w:val="24"/>
              </w:rPr>
            </w:pP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continue"/>
            <w:vAlign w:val="center"/>
          </w:tcPr>
          <w:p>
            <w:pPr>
              <w:spacing w:line="240" w:lineRule="atLeast"/>
              <w:jc w:val="left"/>
              <w:rPr>
                <w:rFonts w:hint="default" w:ascii="Times New Roman" w:hAnsi="Times New Roman" w:cs="Times New Roman"/>
                <w:sz w:val="24"/>
                <w:szCs w:val="24"/>
              </w:rPr>
            </w:pP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（…）其他</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restart"/>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restart"/>
            <w:vAlign w:val="center"/>
          </w:tcPr>
          <w:p>
            <w:pPr>
              <w:spacing w:line="240" w:lineRule="atLeast"/>
              <w:jc w:val="left"/>
              <w:rPr>
                <w:rFonts w:hint="default" w:ascii="Times New Roman" w:hAnsi="Times New Roman" w:cs="Times New Roman"/>
                <w:sz w:val="24"/>
                <w:szCs w:val="24"/>
              </w:rPr>
            </w:pPr>
            <w:r>
              <w:rPr>
                <w:rFonts w:hint="default" w:ascii="Times New Roman" w:hAnsi="Times New Roman" w:cs="Times New Roman"/>
                <w:sz w:val="24"/>
                <w:szCs w:val="24"/>
              </w:rPr>
              <w:t>违规扩大审查内容或审批服务事项适用范围</w:t>
            </w: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（1）扩大设计方案、施工图设计文件等审查内容</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continue"/>
            <w:vAlign w:val="center"/>
          </w:tcPr>
          <w:p>
            <w:pPr>
              <w:spacing w:line="240" w:lineRule="atLeast"/>
              <w:jc w:val="center"/>
              <w:rPr>
                <w:rFonts w:hint="default" w:ascii="Times New Roman" w:hAnsi="Times New Roman" w:cs="Times New Roman"/>
                <w:sz w:val="24"/>
                <w:szCs w:val="24"/>
              </w:rPr>
            </w:pP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continue"/>
            <w:vAlign w:val="center"/>
          </w:tcPr>
          <w:p>
            <w:pPr>
              <w:spacing w:line="240" w:lineRule="atLeast"/>
              <w:jc w:val="left"/>
              <w:rPr>
                <w:rFonts w:hint="default" w:ascii="Times New Roman" w:hAnsi="Times New Roman" w:cs="Times New Roman"/>
                <w:sz w:val="24"/>
                <w:szCs w:val="24"/>
              </w:rPr>
            </w:pP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（2）扩大水土保持等评估评价事项适用范围</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continue"/>
            <w:vAlign w:val="center"/>
          </w:tcPr>
          <w:p>
            <w:pPr>
              <w:spacing w:line="240" w:lineRule="atLeast"/>
              <w:jc w:val="center"/>
              <w:rPr>
                <w:rFonts w:hint="default" w:ascii="Times New Roman" w:hAnsi="Times New Roman" w:cs="Times New Roman"/>
                <w:sz w:val="24"/>
                <w:szCs w:val="24"/>
              </w:rPr>
            </w:pP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continue"/>
            <w:vAlign w:val="center"/>
          </w:tcPr>
          <w:p>
            <w:pPr>
              <w:spacing w:line="240" w:lineRule="atLeast"/>
              <w:jc w:val="left"/>
              <w:rPr>
                <w:rFonts w:hint="default" w:ascii="Times New Roman" w:hAnsi="Times New Roman" w:cs="Times New Roman"/>
                <w:sz w:val="24"/>
                <w:szCs w:val="24"/>
              </w:rPr>
            </w:pP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（…）其他</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restart"/>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restart"/>
            <w:vAlign w:val="center"/>
          </w:tcPr>
          <w:p>
            <w:pPr>
              <w:spacing w:line="240" w:lineRule="atLeast"/>
              <w:jc w:val="left"/>
              <w:rPr>
                <w:rFonts w:hint="default" w:ascii="Times New Roman" w:hAnsi="Times New Roman" w:cs="Times New Roman"/>
                <w:sz w:val="24"/>
                <w:szCs w:val="24"/>
              </w:rPr>
            </w:pPr>
            <w:r>
              <w:rPr>
                <w:rFonts w:hint="default" w:ascii="Times New Roman" w:hAnsi="Times New Roman" w:cs="Times New Roman"/>
                <w:sz w:val="24"/>
                <w:szCs w:val="24"/>
              </w:rPr>
              <w:t>违规将政府职责交由申请人或其他单位承担</w:t>
            </w: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（1）用地预审与规划选址、国有建设用地使用权划拨、设计方案审查等审批时，违规要求申请人代为完成政府相关部门间征求意见或者先行申请取得相关部门同意</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continue"/>
            <w:vAlign w:val="center"/>
          </w:tcPr>
          <w:p>
            <w:pPr>
              <w:spacing w:line="240" w:lineRule="atLeast"/>
              <w:jc w:val="center"/>
              <w:rPr>
                <w:rFonts w:hint="default" w:ascii="Times New Roman" w:hAnsi="Times New Roman" w:cs="Times New Roman"/>
                <w:sz w:val="24"/>
                <w:szCs w:val="24"/>
              </w:rPr>
            </w:pP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continue"/>
            <w:vAlign w:val="center"/>
          </w:tcPr>
          <w:p>
            <w:pPr>
              <w:spacing w:line="240" w:lineRule="atLeast"/>
              <w:jc w:val="left"/>
              <w:rPr>
                <w:rFonts w:hint="default" w:ascii="Times New Roman" w:hAnsi="Times New Roman" w:cs="Times New Roman"/>
                <w:sz w:val="24"/>
                <w:szCs w:val="24"/>
              </w:rPr>
            </w:pP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（2）违规将审批工作交由下属事业单位、行业协会、中介服务机构及其他单位承担</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continue"/>
            <w:vAlign w:val="center"/>
          </w:tcPr>
          <w:p>
            <w:pPr>
              <w:spacing w:line="240" w:lineRule="atLeast"/>
              <w:jc w:val="center"/>
              <w:rPr>
                <w:rFonts w:hint="default" w:ascii="Times New Roman" w:hAnsi="Times New Roman" w:cs="Times New Roman"/>
                <w:sz w:val="24"/>
                <w:szCs w:val="24"/>
              </w:rPr>
            </w:pP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continue"/>
            <w:vAlign w:val="center"/>
          </w:tcPr>
          <w:p>
            <w:pPr>
              <w:spacing w:line="240" w:lineRule="atLeast"/>
              <w:jc w:val="left"/>
              <w:rPr>
                <w:rFonts w:hint="default" w:ascii="Times New Roman" w:hAnsi="Times New Roman" w:cs="Times New Roman"/>
                <w:sz w:val="24"/>
                <w:szCs w:val="24"/>
              </w:rPr>
            </w:pP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（…）其他</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restart"/>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7</w:t>
            </w: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restart"/>
            <w:vAlign w:val="center"/>
          </w:tcPr>
          <w:p>
            <w:pPr>
              <w:spacing w:line="240" w:lineRule="atLeast"/>
              <w:jc w:val="left"/>
              <w:rPr>
                <w:rFonts w:hint="default" w:ascii="Times New Roman" w:hAnsi="Times New Roman" w:cs="Times New Roman"/>
                <w:sz w:val="24"/>
                <w:szCs w:val="24"/>
              </w:rPr>
            </w:pPr>
            <w:r>
              <w:rPr>
                <w:rFonts w:hint="default" w:ascii="Times New Roman" w:hAnsi="Times New Roman" w:cs="Times New Roman"/>
                <w:sz w:val="24"/>
                <w:szCs w:val="24"/>
              </w:rPr>
              <w:t>通过引导推荐、利用行业影响力等方式强制或变相强制申请人接受特定机构审查、服务</w:t>
            </w: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（1）指定中介服务机构;指定公共设施设计、施工等单位</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continue"/>
            <w:vAlign w:val="center"/>
          </w:tcPr>
          <w:p>
            <w:pPr>
              <w:spacing w:line="240" w:lineRule="atLeast"/>
              <w:jc w:val="center"/>
              <w:rPr>
                <w:rFonts w:hint="default" w:ascii="Times New Roman" w:hAnsi="Times New Roman" w:cs="Times New Roman"/>
                <w:sz w:val="24"/>
                <w:szCs w:val="24"/>
              </w:rPr>
            </w:pP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continue"/>
            <w:vAlign w:val="center"/>
          </w:tcPr>
          <w:p>
            <w:pPr>
              <w:spacing w:line="240" w:lineRule="atLeast"/>
              <w:jc w:val="left"/>
              <w:rPr>
                <w:rFonts w:hint="default" w:ascii="Times New Roman" w:hAnsi="Times New Roman" w:cs="Times New Roman"/>
                <w:sz w:val="24"/>
                <w:szCs w:val="24"/>
              </w:rPr>
            </w:pP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（2）指定工程测绘、测量、检测机构</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continue"/>
            <w:vAlign w:val="center"/>
          </w:tcPr>
          <w:p>
            <w:pPr>
              <w:spacing w:line="240" w:lineRule="atLeast"/>
              <w:jc w:val="center"/>
              <w:rPr>
                <w:rFonts w:hint="default" w:ascii="Times New Roman" w:hAnsi="Times New Roman" w:cs="Times New Roman"/>
                <w:sz w:val="24"/>
                <w:szCs w:val="24"/>
              </w:rPr>
            </w:pP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continue"/>
            <w:vAlign w:val="center"/>
          </w:tcPr>
          <w:p>
            <w:pPr>
              <w:spacing w:line="240" w:lineRule="atLeast"/>
              <w:jc w:val="left"/>
              <w:rPr>
                <w:rFonts w:hint="default" w:ascii="Times New Roman" w:hAnsi="Times New Roman" w:cs="Times New Roman"/>
                <w:sz w:val="24"/>
                <w:szCs w:val="24"/>
              </w:rPr>
            </w:pP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（…）其他</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694" w:type="dxa"/>
            <w:gridSpan w:val="2"/>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信息汇总</w:t>
            </w:r>
          </w:p>
        </w:tc>
        <w:tc>
          <w:tcPr>
            <w:tcW w:w="14334" w:type="dxa"/>
            <w:gridSpan w:val="6"/>
            <w:vAlign w:val="center"/>
          </w:tcPr>
          <w:p>
            <w:pPr>
              <w:spacing w:line="240" w:lineRule="atLeast"/>
              <w:jc w:val="left"/>
              <w:rPr>
                <w:rFonts w:hint="default" w:ascii="Times New Roman" w:hAnsi="Times New Roman" w:cs="Times New Roman"/>
                <w:sz w:val="24"/>
                <w:szCs w:val="24"/>
              </w:rPr>
            </w:pPr>
            <w:r>
              <w:rPr>
                <w:rFonts w:hint="default" w:ascii="Times New Roman" w:hAnsi="Times New Roman" w:cs="Times New Roman"/>
                <w:sz w:val="24"/>
                <w:szCs w:val="24"/>
              </w:rPr>
              <w:t>1.在本次专项整治行动中，我部门（单位）/区县共发现问题</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条，其中已完成整改</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条，正在整改</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条，计划于</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之前全部整改完成。</w:t>
            </w:r>
          </w:p>
          <w:p>
            <w:pPr>
              <w:spacing w:line="240" w:lineRule="atLeast"/>
              <w:jc w:val="left"/>
              <w:rPr>
                <w:rFonts w:hint="default" w:ascii="Times New Roman" w:hAnsi="Times New Roman" w:cs="Times New Roman"/>
                <w:sz w:val="24"/>
                <w:szCs w:val="24"/>
              </w:rPr>
            </w:pPr>
            <w:r>
              <w:rPr>
                <w:rFonts w:hint="default" w:ascii="Times New Roman" w:hAnsi="Times New Roman" w:cs="Times New Roman"/>
                <w:sz w:val="24"/>
                <w:szCs w:val="24"/>
              </w:rPr>
              <w:t>2.目前，我部门（单位）/区县共有工程建设项目审批及办理事项</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项，其中有</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项已纳入审批系统统一监管；未纳入审批系统监管的事项为</w:t>
            </w:r>
            <w:r>
              <w:rPr>
                <w:rFonts w:hint="default" w:ascii="Times New Roman" w:hAnsi="Times New Roman" w:cs="Times New Roman"/>
                <w:sz w:val="24"/>
                <w:szCs w:val="24"/>
                <w:u w:val="single"/>
              </w:rPr>
              <w:t xml:space="preserve">   ……    </w:t>
            </w:r>
            <w:r>
              <w:rPr>
                <w:rFonts w:hint="default" w:ascii="Times New Roman" w:hAnsi="Times New Roman" w:cs="Times New Roman"/>
                <w:sz w:val="24"/>
                <w:szCs w:val="24"/>
              </w:rPr>
              <w:t>。</w:t>
            </w:r>
          </w:p>
        </w:tc>
      </w:tr>
    </w:tbl>
    <w:p>
      <w:pPr>
        <w:spacing w:line="14" w:lineRule="exact"/>
        <w:jc w:val="center"/>
        <w:rPr>
          <w:rFonts w:hint="default" w:ascii="Times New Roman" w:hAnsi="Times New Roman" w:cs="Times New Roman"/>
          <w:sz w:val="28"/>
          <w:szCs w:val="28"/>
          <w:lang w:val="en-US" w:eastAsia="zh-CN"/>
        </w:rPr>
      </w:pPr>
    </w:p>
    <w:p>
      <w:pPr>
        <w:pStyle w:val="8"/>
        <w:rPr>
          <w:rFonts w:hint="default" w:ascii="Times New Roman" w:hAnsi="Times New Roman" w:cs="Times New Roman"/>
          <w:sz w:val="28"/>
          <w:szCs w:val="28"/>
          <w:lang w:val="en-US" w:eastAsia="zh-CN"/>
        </w:rPr>
      </w:pPr>
    </w:p>
    <w:p>
      <w:pPr>
        <w:pStyle w:val="8"/>
        <w:rPr>
          <w:rFonts w:hint="default" w:ascii="Times New Roman" w:hAnsi="Times New Roman" w:cs="Times New Roman"/>
          <w:sz w:val="28"/>
          <w:szCs w:val="28"/>
          <w:lang w:val="en-US" w:eastAsia="zh-CN"/>
        </w:rPr>
      </w:pPr>
    </w:p>
    <w:p>
      <w:pPr>
        <w:pStyle w:val="8"/>
        <w:rPr>
          <w:rFonts w:hint="default" w:ascii="Times New Roman" w:hAnsi="Times New Roman" w:cs="Times New Roman"/>
          <w:sz w:val="28"/>
          <w:szCs w:val="28"/>
          <w:lang w:val="en-US" w:eastAsia="zh-CN"/>
        </w:rPr>
        <w:sectPr>
          <w:pgSz w:w="16838" w:h="11906" w:orient="landscape"/>
          <w:pgMar w:top="1588" w:right="1814" w:bottom="1474" w:left="1701" w:header="851" w:footer="992" w:gutter="0"/>
          <w:pgNumType w:fmt="numberInDash"/>
          <w:cols w:space="425" w:num="1"/>
          <w:docGrid w:type="lines" w:linePitch="312" w:charSpace="0"/>
        </w:sectPr>
      </w:pPr>
    </w:p>
    <w:p>
      <w:pPr>
        <w:pStyle w:val="8"/>
        <w:rPr>
          <w:rFonts w:hint="default" w:ascii="Times New Roman" w:hAnsi="Times New Roman" w:cs="Times New Roman"/>
          <w:sz w:val="28"/>
          <w:szCs w:val="28"/>
          <w:lang w:val="en-US" w:eastAsia="zh-CN"/>
        </w:rPr>
      </w:pPr>
    </w:p>
    <w:sectPr>
      <w:pgSz w:w="11906" w:h="16838"/>
      <w:pgMar w:top="1814" w:right="1474" w:bottom="1701" w:left="158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OTA5OWNmOWM4NzcxYTdiZTUyNjg0MjllOGUyMjUifQ=="/>
  </w:docVars>
  <w:rsids>
    <w:rsidRoot w:val="00000000"/>
    <w:rsid w:val="08777ECD"/>
    <w:rsid w:val="09BA1C95"/>
    <w:rsid w:val="121A1EE6"/>
    <w:rsid w:val="137261F1"/>
    <w:rsid w:val="143D0388"/>
    <w:rsid w:val="18CC0DFA"/>
    <w:rsid w:val="22DE6BAE"/>
    <w:rsid w:val="2633442F"/>
    <w:rsid w:val="27C8266A"/>
    <w:rsid w:val="2BA353EB"/>
    <w:rsid w:val="2F64180D"/>
    <w:rsid w:val="321077C7"/>
    <w:rsid w:val="3AF26D81"/>
    <w:rsid w:val="3B582DFD"/>
    <w:rsid w:val="3BDB15A3"/>
    <w:rsid w:val="3DAD76DD"/>
    <w:rsid w:val="48270B85"/>
    <w:rsid w:val="4AC41414"/>
    <w:rsid w:val="4F2920F3"/>
    <w:rsid w:val="5C6B41E3"/>
    <w:rsid w:val="6A441DF6"/>
    <w:rsid w:val="6EE268C6"/>
    <w:rsid w:val="6F3F6B1C"/>
    <w:rsid w:val="745E4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autoSpaceDE w:val="0"/>
      <w:autoSpaceDN w:val="0"/>
      <w:ind w:left="420" w:leftChars="200"/>
      <w:jc w:val="left"/>
    </w:pPr>
    <w:rPr>
      <w:rFonts w:ascii="仿宋_GB2312" w:hAnsi="仿宋_GB2312" w:eastAsia="仿宋_GB2312" w:cs="仿宋_GB2312"/>
      <w:kern w:val="0"/>
      <w:sz w:val="22"/>
      <w:szCs w:val="22"/>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fdjw</dc:creator>
  <cp:lastModifiedBy>L</cp:lastModifiedBy>
  <cp:lastPrinted>2021-09-24T09:05:00Z</cp:lastPrinted>
  <dcterms:modified xsi:type="dcterms:W3CDTF">2023-11-10T01:07:15Z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3DD1FA3F66624AB2BA1D07D3BC9DCD8D</vt:lpwstr>
  </property>
</Properties>
</file>