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1094C">
      <w:pPr>
        <w:keepNext w:val="0"/>
        <w:keepLines w:val="0"/>
        <w:pageBreakBefore w:val="0"/>
        <w:kinsoku/>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r>
        <w:rPr>
          <w:rFonts w:hint="eastAsia" w:ascii="方正小标宋_GBK" w:hAnsi="方正小标宋_GBK" w:eastAsia="方正小标宋_GBK" w:cs="方正小标宋_GBK"/>
          <w:i w:val="0"/>
          <w:iCs w:val="0"/>
          <w:caps w:val="0"/>
          <w:color w:val="333333"/>
          <w:spacing w:val="0"/>
          <w:sz w:val="45"/>
          <w:szCs w:val="45"/>
          <w:shd w:val="clear" w:fill="FFFFFF"/>
        </w:rPr>
        <w:t>丰都县都督乡人民政府2022年度部门决算情况说明</w:t>
      </w:r>
    </w:p>
    <w:p w14:paraId="3C945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ascii="方正黑体_GBK" w:hAnsi="方正黑体_GBK" w:eastAsia="方正黑体_GBK" w:cs="方正黑体_GBK"/>
          <w:sz w:val="31"/>
          <w:szCs w:val="31"/>
        </w:rPr>
      </w:pPr>
      <w:r>
        <w:rPr>
          <w:rFonts w:ascii="方正黑体_GBK" w:hAnsi="方正黑体_GBK" w:eastAsia="方正黑体_GBK" w:cs="方正黑体_GBK"/>
          <w:sz w:val="31"/>
          <w:szCs w:val="31"/>
        </w:rPr>
        <w:t> </w:t>
      </w:r>
    </w:p>
    <w:p w14:paraId="5F287742">
      <w:pPr>
        <w:pStyle w:val="2"/>
        <w:keepNext w:val="0"/>
        <w:keepLines w:val="0"/>
        <w:widowControl/>
        <w:suppressLineNumbers w:val="0"/>
        <w:spacing w:before="0" w:beforeAutospacing="0" w:after="0" w:afterAutospacing="0" w:line="420" w:lineRule="atLeast"/>
        <w:ind w:left="0" w:right="0" w:firstLine="0"/>
        <w:jc w:val="left"/>
        <w:rPr>
          <w:rFonts w:ascii="sans-serif" w:hAnsi="sans-serif" w:eastAsia="sans-serif" w:cs="sans-serif"/>
          <w:i w:val="0"/>
          <w:caps w:val="0"/>
          <w:color w:val="000000"/>
          <w:spacing w:val="0"/>
          <w:sz w:val="43"/>
          <w:szCs w:val="43"/>
        </w:rPr>
      </w:pPr>
      <w:r>
        <w:rPr>
          <w:rFonts w:ascii="方正黑体_GBK" w:hAnsi="方正黑体_GBK" w:eastAsia="方正黑体_GBK" w:cs="方正黑体_GBK"/>
          <w:i w:val="0"/>
          <w:caps w:val="0"/>
          <w:color w:val="000000"/>
          <w:spacing w:val="0"/>
          <w:sz w:val="31"/>
          <w:szCs w:val="31"/>
        </w:rPr>
        <w:t>一、部门基本情况</w:t>
      </w:r>
    </w:p>
    <w:p w14:paraId="4AD312BB">
      <w:pPr>
        <w:pStyle w:val="2"/>
        <w:keepNext w:val="0"/>
        <w:keepLines w:val="0"/>
        <w:widowControl/>
        <w:suppressLineNumbers w:val="0"/>
        <w:spacing w:before="0" w:beforeAutospacing="0" w:after="0" w:afterAutospacing="0" w:line="420" w:lineRule="atLeast"/>
        <w:ind w:left="0" w:right="0" w:firstLine="630"/>
        <w:rPr>
          <w:sz w:val="31"/>
          <w:szCs w:val="31"/>
        </w:rPr>
      </w:pPr>
      <w:r>
        <w:rPr>
          <w:rFonts w:ascii="方正楷体_GBK" w:hAnsi="方正楷体_GBK" w:eastAsia="方正楷体_GBK" w:cs="方正楷体_GBK"/>
          <w:i w:val="0"/>
          <w:caps w:val="0"/>
          <w:color w:val="000000"/>
          <w:spacing w:val="0"/>
          <w:sz w:val="31"/>
          <w:szCs w:val="31"/>
        </w:rPr>
        <w:t>（一）职能职责</w:t>
      </w:r>
    </w:p>
    <w:p w14:paraId="65FB19FC">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ascii="方正仿宋_GBK" w:hAnsi="方正仿宋_GBK" w:eastAsia="方正仿宋_GBK" w:cs="方正仿宋_GBK"/>
          <w:i w:val="0"/>
          <w:caps w:val="0"/>
          <w:color w:val="000000"/>
          <w:spacing w:val="0"/>
          <w:sz w:val="31"/>
          <w:szCs w:val="31"/>
          <w:shd w:val="clear" w:fill="FFFFFF"/>
        </w:rPr>
        <w:t>1.贯彻执行党的路线方针政策和县委县政府的精神；</w:t>
      </w:r>
    </w:p>
    <w:p w14:paraId="09B4080F">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2.讨论决定本乡经济建设和社会发展中的重大问题；</w:t>
      </w:r>
    </w:p>
    <w:p w14:paraId="2F20878C">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3.执行本乡经济和社会发展计划、预算，管理本乡的经济、教育、科学、文化、卫生、体育事业和农业、林业、水务、财政、民政、计划生育、劳动保障、市政市容、安全生产、村乡规划建设等行政工作；</w:t>
      </w:r>
    </w:p>
    <w:p w14:paraId="16038C32">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4.主要职能：促进经济发展、增加农民收入，强化公共服务、着力改善民生，加强社会管理、维护农村稳定，推进基层民主、促进农村和谐。</w:t>
      </w:r>
    </w:p>
    <w:p w14:paraId="0E935A5E">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（二）机构设置。</w:t>
      </w:r>
    </w:p>
    <w:p w14:paraId="20C65D46">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1.预算编制单位包括：丰都县都督乡人民政府；丰都县都督乡文化服务中心、丰都县都督乡综合行政执法大队、丰都县都督乡农业服务中心、丰都县都督乡劳动就业和社会保障服务所、丰都县都督乡退役军人服务站。</w:t>
      </w:r>
    </w:p>
    <w:p w14:paraId="576534DC">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2.政府设立8个内设机构：党政办公室、经济发展办公室、民政和社会事务办公室、平安建设办公室、规划建设管理环保办公室、财政办公室、</w:t>
      </w:r>
      <w:r>
        <w:rPr>
          <w:rFonts w:hint="eastAsia" w:ascii="方正仿宋_GBK" w:hAnsi="方正仿宋_GBK" w:eastAsia="方正仿宋_GBK" w:cs="方正仿宋_GBK"/>
          <w:i w:val="0"/>
          <w:caps w:val="0"/>
          <w:color w:val="000000"/>
          <w:spacing w:val="0"/>
          <w:sz w:val="31"/>
          <w:szCs w:val="31"/>
          <w:shd w:val="clear" w:fill="FFFFFF"/>
          <w:lang w:eastAsia="zh-CN"/>
        </w:rPr>
        <w:t>人大常委会办公室</w:t>
      </w:r>
      <w:r>
        <w:rPr>
          <w:rFonts w:hint="eastAsia" w:ascii="方正仿宋_GBK" w:hAnsi="方正仿宋_GBK" w:eastAsia="方正仿宋_GBK" w:cs="方正仿宋_GBK"/>
          <w:i w:val="0"/>
          <w:caps w:val="0"/>
          <w:color w:val="000000"/>
          <w:spacing w:val="0"/>
          <w:sz w:val="31"/>
          <w:szCs w:val="31"/>
          <w:shd w:val="clear" w:fill="FFFFFF"/>
        </w:rPr>
        <w:t>、综合行政执法办公</w:t>
      </w:r>
      <w:bookmarkStart w:id="0" w:name="_GoBack"/>
      <w:bookmarkEnd w:id="0"/>
      <w:r>
        <w:rPr>
          <w:rFonts w:hint="eastAsia" w:ascii="方正仿宋_GBK" w:hAnsi="方正仿宋_GBK" w:eastAsia="方正仿宋_GBK" w:cs="方正仿宋_GBK"/>
          <w:i w:val="0"/>
          <w:caps w:val="0"/>
          <w:color w:val="000000"/>
          <w:spacing w:val="0"/>
          <w:sz w:val="31"/>
          <w:szCs w:val="31"/>
          <w:shd w:val="clear" w:fill="FFFFFF"/>
        </w:rPr>
        <w:t>室。</w:t>
      </w:r>
    </w:p>
    <w:p w14:paraId="74DC6C4A">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3.我乡部门行政编制17人；事业编制15人。</w:t>
      </w:r>
    </w:p>
    <w:p w14:paraId="40DB0A4D">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（三）单位构成。</w:t>
      </w:r>
    </w:p>
    <w:p w14:paraId="183615DD">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从预算单位构成看，本单位无纳入2022年度决算编制的下级预算单位。</w:t>
      </w:r>
    </w:p>
    <w:p w14:paraId="09532CF8">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二、部门决算情况说明</w:t>
      </w:r>
    </w:p>
    <w:p w14:paraId="7790069E">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（一）收入支出决算总体情况说明</w:t>
      </w:r>
    </w:p>
    <w:p w14:paraId="7B05DB4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1．总体情况。2022年度收入总计2032.10万元，支出总计2032.10万元，收支较上年决算数减少870.57万元、下降30%，主要原因是本年度落实“三保”政策，严格项目立项审批，削减非必要项目支出。</w:t>
      </w:r>
    </w:p>
    <w:p w14:paraId="6D46CCA8">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收入情况。2022年度收入合计1,933.31万元，较上年决算数减少969.36万元，下降33.4%，主要原因是本年度落实“三保”政策，严格项目立项审批，削减非必要项目支出。其中：财政拨款收入1933.31万元，占100%；其他收入0.00万元，占0%。此外，使用非财政拨款结余0.00万元，年初结转和结余98.79万元。</w:t>
      </w:r>
    </w:p>
    <w:p w14:paraId="54F9CC6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3．支出情况。2022年度支出合计2032.10万元，较上年决算数减少870.57万元，下降30%，主要原因是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。其中：基本支出940.04万元，占46.3%；项目支出1092.06万元，占53.7%，经营支出0.00万元，占0%。此外，结余分配0.00万元。</w:t>
      </w:r>
    </w:p>
    <w:p w14:paraId="0DBA711C">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4．结转结余情况。2022年度年末结转和结余0.00万元，与上年决算数持平。 </w:t>
      </w:r>
    </w:p>
    <w:p w14:paraId="48AE59B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(二)财政拨款收入支出决算总体情况说明</w:t>
      </w:r>
    </w:p>
    <w:p w14:paraId="04435B09">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2022年度财政拨款收、支总计2032.01万元。与2021年相比，财政拨款收、支总计各减少870.57万元，下降30%。主要原因是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w:t>
      </w:r>
    </w:p>
    <w:p w14:paraId="25CA5335">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（三）一般公共预算财政拨款收入支出决算情况说明</w:t>
      </w:r>
    </w:p>
    <w:p w14:paraId="622B0560">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1．收入情况。2022年度一般公共预算财政拨款收入1902.42万元，较上年决算数减少568.71万元，下降23%。主要原因是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较年初预算数增加1016.23万元，增长114.7%。主要原因是本年度农林水、城乡社区、交通运输等项目支出变动。此外，年初财政拨款结转和结余98.79万元。</w:t>
      </w:r>
    </w:p>
    <w:p w14:paraId="79CEE2D6">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2．支出情况。2022年度一般公共预算财政拨款支出2001.21万元，较上年决算数减少469.92万元，下降19%。主要原因是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。较年初预算数增加1115.02万元，增长125.8%。主要原因是本年度农林水、城乡社区、交通运输等项目支出变动。</w:t>
      </w:r>
    </w:p>
    <w:p w14:paraId="067C4C1F">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3．结转结余情况。2022年度年末一般公共预算财政拨款结转和结余0.00万元，与上年决算数持平。</w:t>
      </w:r>
    </w:p>
    <w:p w14:paraId="1F0AA287">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4．比较情况。本部门2022年度一般公共预算财政拨款支出主要用于以下几个方面：</w:t>
      </w:r>
    </w:p>
    <w:p w14:paraId="045064AC">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（1）一般公共服务支出542.42万元，占27.1%，较年初预算数增加108.82万元，增长25.1%，主要原因是本年度行政运行经费增加。</w:t>
      </w:r>
    </w:p>
    <w:p w14:paraId="27212C5C">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w:t>
      </w:r>
      <w:r>
        <w:rPr>
          <w:rFonts w:hint="eastAsia" w:ascii="方正仿宋_GBK" w:hAnsi="方正仿宋_GBK" w:eastAsia="方正仿宋_GBK" w:cs="方正仿宋_GBK"/>
          <w:i w:val="0"/>
          <w:caps w:val="0"/>
          <w:color w:val="333333"/>
          <w:spacing w:val="0"/>
          <w:sz w:val="31"/>
          <w:szCs w:val="31"/>
        </w:rPr>
        <w:t>文化旅游体育与传媒支出49.05万元，占2.5%，较年初预算数增加28.71万元，增长141.2%，主要原因是人员变动基本支出增加以及2022年“三管一站”免费开放补助项目支出。</w:t>
      </w:r>
    </w:p>
    <w:p w14:paraId="78A2D333">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（3）社会保障与就业支出240.05万元，占12%，较年初预算数增加100.65万元，增长72.2%，主要原因是</w:t>
      </w:r>
      <w:r>
        <w:rPr>
          <w:rFonts w:hint="eastAsia" w:ascii="方正仿宋_GBK" w:hAnsi="方正仿宋_GBK" w:eastAsia="方正仿宋_GBK" w:cs="方正仿宋_GBK"/>
          <w:i w:val="0"/>
          <w:caps w:val="0"/>
          <w:color w:val="333333"/>
          <w:spacing w:val="0"/>
          <w:sz w:val="31"/>
          <w:szCs w:val="31"/>
        </w:rPr>
        <w:t>人员调入社保缴费支出增加以及就业补助中的公益性岗位补贴项目支出增加</w:t>
      </w:r>
      <w:r>
        <w:rPr>
          <w:rFonts w:hint="eastAsia" w:ascii="方正仿宋_GBK" w:hAnsi="方正仿宋_GBK" w:eastAsia="方正仿宋_GBK" w:cs="方正仿宋_GBK"/>
          <w:i w:val="0"/>
          <w:caps w:val="0"/>
          <w:color w:val="000000"/>
          <w:spacing w:val="0"/>
          <w:sz w:val="31"/>
          <w:szCs w:val="31"/>
        </w:rPr>
        <w:t>。</w:t>
      </w:r>
    </w:p>
    <w:p w14:paraId="14E6F2DF">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（4）卫生健康支出47.19万元，占2.4%，较年初预算数增加15.79万元，增长50.3%，主要原因是人员调入医疗保险缴费等支出增加。 </w:t>
      </w:r>
    </w:p>
    <w:p w14:paraId="13227A85">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（5）城乡社区支出90.06万元，占4.43%，较年初预算数增加44.50万元，增长97.67%，主要原因是专项工作经费增加，如： “小城镇基础设施建设”、“场镇清扫保洁、垃圾清运”等。</w:t>
      </w:r>
    </w:p>
    <w:p w14:paraId="2E956708">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（6）农林水支出918.06万元，占45.9%，较年初预算数增加729.80万元，增长387.7%，主要原因是专项工作经费增加，如：“乡村治理示范建设项目”、“中药材产业配套”、“乡村旅游配套项目”等。</w:t>
      </w:r>
    </w:p>
    <w:p w14:paraId="6CF5582F">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（7）交通运输支出69.34万元，占3.5%，较年初预算数增加69.34万元，主要原因是专项工作经费增加，如：“农村公路安防工程项目”。</w:t>
      </w:r>
    </w:p>
    <w:p w14:paraId="1CD0159E">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（8）住房保障支出26.49万元，占1.3%，较年初预算数减少1.15万元，下降4.2%，主要原因是年中人员变动。 </w:t>
      </w:r>
    </w:p>
    <w:p w14:paraId="66DF71E9">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（9）其他支出17.00万元，占0.84%，较年初预算数增加17.00万元，增长100%，主要原因是用于社会福利的彩票公益金支出。</w:t>
      </w:r>
    </w:p>
    <w:p w14:paraId="017515A4">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（四）一般公共预算财政拨款基本支出决算情况说明。</w:t>
      </w:r>
    </w:p>
    <w:p w14:paraId="328267B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2022年度一般公共预算财政拨款基本支出940.04万元。其中：人员经费673.80万元，较上年决算数增加31.74万元，增长4.9%，主要原因是</w:t>
      </w:r>
      <w:r>
        <w:rPr>
          <w:rFonts w:hint="eastAsia" w:ascii="方正仿宋_GBK" w:hAnsi="方正仿宋_GBK" w:eastAsia="方正仿宋_GBK" w:cs="方正仿宋_GBK"/>
          <w:i w:val="0"/>
          <w:caps w:val="0"/>
          <w:color w:val="333333"/>
          <w:spacing w:val="0"/>
          <w:sz w:val="31"/>
          <w:szCs w:val="31"/>
        </w:rPr>
        <w:t>人员变动</w:t>
      </w:r>
      <w:r>
        <w:rPr>
          <w:rFonts w:hint="eastAsia" w:ascii="方正仿宋_GBK" w:hAnsi="方正仿宋_GBK" w:eastAsia="方正仿宋_GBK" w:cs="方正仿宋_GBK"/>
          <w:i w:val="0"/>
          <w:caps w:val="0"/>
          <w:color w:val="000000"/>
          <w:spacing w:val="0"/>
          <w:sz w:val="31"/>
          <w:szCs w:val="31"/>
        </w:rPr>
        <w:t>。人员经费用途主要包括基本工资、津贴补贴、社会保障缴费、其他工资福利待遇、对个人和家庭的补助等费用。公用经费266.24万元，较上年决算数增加21.11万元，增长8.6%，主要原因是</w:t>
      </w:r>
      <w:r>
        <w:rPr>
          <w:rFonts w:hint="eastAsia" w:ascii="方正仿宋_GBK" w:hAnsi="方正仿宋_GBK" w:eastAsia="方正仿宋_GBK" w:cs="方正仿宋_GBK"/>
          <w:i w:val="0"/>
          <w:caps w:val="0"/>
          <w:color w:val="333333"/>
          <w:spacing w:val="0"/>
          <w:sz w:val="31"/>
          <w:szCs w:val="31"/>
        </w:rPr>
        <w:t>人员变动</w:t>
      </w:r>
      <w:r>
        <w:rPr>
          <w:rFonts w:hint="eastAsia" w:ascii="方正仿宋_GBK" w:hAnsi="方正仿宋_GBK" w:eastAsia="方正仿宋_GBK" w:cs="方正仿宋_GBK"/>
          <w:i w:val="0"/>
          <w:caps w:val="0"/>
          <w:color w:val="000000"/>
          <w:spacing w:val="0"/>
          <w:sz w:val="31"/>
          <w:szCs w:val="31"/>
        </w:rPr>
        <w:t>。公用经费用途主要包括办公费、水费、电费、劳务费、委托业务费、邮电费、手续费、其他商品和服务等支出。</w:t>
      </w:r>
    </w:p>
    <w:p w14:paraId="1DBCC080">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（五）政府性基金预算收支决算情况说明。</w:t>
      </w:r>
    </w:p>
    <w:p w14:paraId="4F6CDCE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2022年度政府性基金预算财政拨款年初结转结余0.00万元，年末结转结余0.00万元。本年收入30.89万元，较上年决算数减少400.65万元，下降92.8%，主要原因是</w:t>
      </w:r>
      <w:r>
        <w:rPr>
          <w:rFonts w:hint="eastAsia" w:ascii="方正仿宋_GBK" w:hAnsi="方正仿宋_GBK" w:eastAsia="方正仿宋_GBK" w:cs="方正仿宋_GBK"/>
          <w:i w:val="0"/>
          <w:caps w:val="0"/>
          <w:color w:val="333333"/>
          <w:spacing w:val="0"/>
          <w:sz w:val="31"/>
          <w:szCs w:val="31"/>
        </w:rPr>
        <w:t>基金项目减少</w:t>
      </w:r>
      <w:r>
        <w:rPr>
          <w:rFonts w:hint="eastAsia" w:ascii="方正仿宋_GBK" w:hAnsi="方正仿宋_GBK" w:eastAsia="方正仿宋_GBK" w:cs="方正仿宋_GBK"/>
          <w:i w:val="0"/>
          <w:caps w:val="0"/>
          <w:color w:val="000000"/>
          <w:spacing w:val="0"/>
          <w:sz w:val="31"/>
          <w:szCs w:val="31"/>
        </w:rPr>
        <w:t>。</w:t>
      </w:r>
    </w:p>
    <w:p w14:paraId="5BB43603">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（六）国有资本经营预算财政拨款支出决算情况说明</w:t>
      </w:r>
    </w:p>
    <w:p w14:paraId="39CB8989">
      <w:pPr>
        <w:pStyle w:val="2"/>
        <w:keepNext w:val="0"/>
        <w:keepLines w:val="0"/>
        <w:widowControl/>
        <w:suppressLineNumbers w:val="0"/>
        <w:shd w:val="clear" w:fill="FFFFFF"/>
        <w:spacing w:before="0" w:beforeAutospacing="0" w:after="0" w:afterAutospacing="0" w:line="420" w:lineRule="atLeast"/>
        <w:ind w:left="0" w:right="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    本部门2022年度无国有资本经营预算财政拨款支出。</w:t>
      </w:r>
    </w:p>
    <w:p w14:paraId="7BAD0019">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三、“三公”经费情况说明</w:t>
      </w:r>
      <w:r>
        <w:rPr>
          <w:rFonts w:hint="eastAsia" w:ascii="方正黑体_GBK" w:hAnsi="方正黑体_GBK" w:eastAsia="方正黑体_GBK" w:cs="方正黑体_GBK"/>
          <w:b/>
          <w:i w:val="0"/>
          <w:caps w:val="0"/>
          <w:color w:val="000000"/>
          <w:spacing w:val="0"/>
          <w:sz w:val="31"/>
          <w:szCs w:val="31"/>
        </w:rPr>
        <w:t>　</w:t>
      </w:r>
    </w:p>
    <w:p w14:paraId="22647B18">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（一）“三公”经费支出总体情况说明。</w:t>
      </w:r>
    </w:p>
    <w:p w14:paraId="41B38197">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2022年度“三公”经费支出共计17.13万元，较年初预算数增加1.13万元，增长7.1%，主要原因是</w:t>
      </w:r>
      <w:r>
        <w:rPr>
          <w:rFonts w:hint="eastAsia" w:ascii="方正仿宋_GBK" w:hAnsi="方正仿宋_GBK" w:eastAsia="方正仿宋_GBK" w:cs="方正仿宋_GBK"/>
          <w:i w:val="0"/>
          <w:caps w:val="0"/>
          <w:color w:val="333333"/>
          <w:spacing w:val="0"/>
          <w:sz w:val="31"/>
          <w:szCs w:val="31"/>
        </w:rPr>
        <w:t>2022年乡村振兴工作需要及辖区疫情防控工作要求，导致公务接待费、公务用车运行维护费用增加</w:t>
      </w:r>
      <w:r>
        <w:rPr>
          <w:rFonts w:hint="eastAsia" w:ascii="方正仿宋_GBK" w:hAnsi="方正仿宋_GBK" w:eastAsia="方正仿宋_GBK" w:cs="方正仿宋_GBK"/>
          <w:i w:val="0"/>
          <w:caps w:val="0"/>
          <w:color w:val="000000"/>
          <w:spacing w:val="0"/>
          <w:sz w:val="31"/>
          <w:szCs w:val="31"/>
        </w:rPr>
        <w:t>。较上年支出数减少19.61万元，下降53.4%，主要原因是上年度添加购置公务用车。</w:t>
      </w:r>
    </w:p>
    <w:p w14:paraId="470D43AD">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（二）“三公”经费分项支出情况。</w:t>
      </w:r>
    </w:p>
    <w:p w14:paraId="30BABF66">
      <w:pPr>
        <w:pStyle w:val="2"/>
        <w:keepNext w:val="0"/>
        <w:keepLines w:val="0"/>
        <w:widowControl/>
        <w:suppressLineNumbers w:val="0"/>
        <w:spacing w:before="0" w:beforeAutospacing="0" w:after="0" w:afterAutospacing="0" w:line="420" w:lineRule="atLeast"/>
        <w:ind w:left="638" w:right="0"/>
        <w:rPr>
          <w:sz w:val="31"/>
          <w:szCs w:val="31"/>
        </w:rPr>
      </w:pPr>
      <w:r>
        <w:rPr>
          <w:rFonts w:hint="eastAsia" w:ascii="方正仿宋_GBK" w:hAnsi="方正仿宋_GBK" w:eastAsia="方正仿宋_GBK" w:cs="方正仿宋_GBK"/>
          <w:i w:val="0"/>
          <w:caps w:val="0"/>
          <w:color w:val="000000"/>
          <w:spacing w:val="0"/>
          <w:sz w:val="31"/>
          <w:szCs w:val="31"/>
        </w:rPr>
        <w:t>2022年度本部门无公出国（境）费用支出，与上年持平。</w:t>
      </w:r>
    </w:p>
    <w:p w14:paraId="09010215">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公务车购置费0.00万元。费用支出较年初预算数少0.00万元，下降0.00%，主要原因是本年初未预算公务车购置。较上年支出数减少16.10万元，下降100%，主要原因是上年度添加购置公务用车。</w:t>
      </w:r>
    </w:p>
    <w:p w14:paraId="2E6A1D4C">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公务车运行维护费8.61万元，主要用于</w:t>
      </w:r>
      <w:r>
        <w:rPr>
          <w:rFonts w:hint="eastAsia" w:ascii="方正仿宋_GBK" w:hAnsi="方正仿宋_GBK" w:eastAsia="方正仿宋_GBK" w:cs="方正仿宋_GBK"/>
          <w:i w:val="0"/>
          <w:caps w:val="0"/>
          <w:color w:val="333333"/>
          <w:spacing w:val="0"/>
          <w:sz w:val="31"/>
          <w:szCs w:val="31"/>
        </w:rPr>
        <w:t>县内因公出行、项目检查等工作所需车辆的燃料费、维修费、过桥过路费、保险费等</w:t>
      </w:r>
      <w:r>
        <w:rPr>
          <w:rFonts w:hint="eastAsia" w:ascii="方正仿宋_GBK" w:hAnsi="方正仿宋_GBK" w:eastAsia="方正仿宋_GBK" w:cs="方正仿宋_GBK"/>
          <w:i w:val="0"/>
          <w:caps w:val="0"/>
          <w:color w:val="000000"/>
          <w:spacing w:val="0"/>
          <w:sz w:val="31"/>
          <w:szCs w:val="31"/>
        </w:rPr>
        <w:t>。费用支出较年初预算减少7.39万元，下降46.2%，主要原因是</w:t>
      </w:r>
      <w:r>
        <w:rPr>
          <w:rFonts w:hint="eastAsia" w:ascii="方正仿宋_GBK" w:hAnsi="方正仿宋_GBK" w:eastAsia="方正仿宋_GBK" w:cs="方正仿宋_GBK"/>
          <w:i w:val="0"/>
          <w:caps w:val="0"/>
          <w:color w:val="333333"/>
          <w:spacing w:val="0"/>
          <w:sz w:val="31"/>
          <w:szCs w:val="31"/>
        </w:rPr>
        <w:t>落实三公经费只减不增要求</w:t>
      </w:r>
      <w:r>
        <w:rPr>
          <w:rFonts w:hint="eastAsia" w:ascii="方正仿宋_GBK" w:hAnsi="方正仿宋_GBK" w:eastAsia="方正仿宋_GBK" w:cs="方正仿宋_GBK"/>
          <w:i w:val="0"/>
          <w:caps w:val="0"/>
          <w:color w:val="000000"/>
          <w:spacing w:val="0"/>
          <w:sz w:val="31"/>
          <w:szCs w:val="31"/>
        </w:rPr>
        <w:t>。较上年支出数减少0.20万元，下降2.3%，主要原因是</w:t>
      </w:r>
      <w:r>
        <w:rPr>
          <w:rFonts w:hint="eastAsia" w:ascii="方正仿宋_GBK" w:hAnsi="方正仿宋_GBK" w:eastAsia="方正仿宋_GBK" w:cs="方正仿宋_GBK"/>
          <w:i w:val="0"/>
          <w:caps w:val="0"/>
          <w:color w:val="333333"/>
          <w:spacing w:val="0"/>
          <w:sz w:val="31"/>
          <w:szCs w:val="31"/>
        </w:rPr>
        <w:t>落实三公经费只减不增要求</w:t>
      </w:r>
      <w:r>
        <w:rPr>
          <w:rFonts w:hint="eastAsia" w:ascii="方正仿宋_GBK" w:hAnsi="方正仿宋_GBK" w:eastAsia="方正仿宋_GBK" w:cs="方正仿宋_GBK"/>
          <w:i w:val="0"/>
          <w:caps w:val="0"/>
          <w:color w:val="000000"/>
          <w:spacing w:val="0"/>
          <w:sz w:val="31"/>
          <w:szCs w:val="31"/>
        </w:rPr>
        <w:t>。</w:t>
      </w:r>
    </w:p>
    <w:p w14:paraId="010B9492">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公务接待费8.52万元，主要用于接待</w:t>
      </w:r>
      <w:r>
        <w:rPr>
          <w:rFonts w:hint="eastAsia" w:ascii="方正仿宋_GBK" w:hAnsi="方正仿宋_GBK" w:eastAsia="方正仿宋_GBK" w:cs="方正仿宋_GBK"/>
          <w:i w:val="0"/>
          <w:caps w:val="0"/>
          <w:color w:val="333333"/>
          <w:spacing w:val="0"/>
          <w:sz w:val="31"/>
          <w:szCs w:val="31"/>
        </w:rPr>
        <w:t>招商引资工作、接受相关部门检查项目指导工作发生的接待支出</w:t>
      </w:r>
      <w:r>
        <w:rPr>
          <w:rFonts w:hint="eastAsia" w:ascii="方正仿宋_GBK" w:hAnsi="方正仿宋_GBK" w:eastAsia="方正仿宋_GBK" w:cs="方正仿宋_GBK"/>
          <w:i w:val="0"/>
          <w:caps w:val="0"/>
          <w:color w:val="000000"/>
          <w:spacing w:val="0"/>
          <w:sz w:val="31"/>
          <w:szCs w:val="31"/>
        </w:rPr>
        <w:t>。费用支出较年初预算增加8.52万元，增长100 %，主要原因是年初</w:t>
      </w:r>
      <w:r>
        <w:rPr>
          <w:rFonts w:hint="eastAsia" w:ascii="方正仿宋_GBK" w:hAnsi="方正仿宋_GBK" w:eastAsia="方正仿宋_GBK" w:cs="方正仿宋_GBK"/>
          <w:i w:val="0"/>
          <w:caps w:val="0"/>
          <w:color w:val="333333"/>
          <w:spacing w:val="0"/>
          <w:sz w:val="31"/>
          <w:szCs w:val="31"/>
        </w:rPr>
        <w:t>招商引资工作</w:t>
      </w:r>
      <w:r>
        <w:rPr>
          <w:rFonts w:hint="eastAsia" w:ascii="方正仿宋_GBK" w:hAnsi="方正仿宋_GBK" w:eastAsia="方正仿宋_GBK" w:cs="方正仿宋_GBK"/>
          <w:i w:val="0"/>
          <w:caps w:val="0"/>
          <w:color w:val="000000"/>
          <w:spacing w:val="0"/>
          <w:sz w:val="31"/>
          <w:szCs w:val="31"/>
        </w:rPr>
        <w:t>等项目接待有所增加变动。较上年支出数减少3.32万元，下降28%，主要原因是</w:t>
      </w:r>
      <w:r>
        <w:rPr>
          <w:rFonts w:hint="eastAsia" w:ascii="方正仿宋_GBK" w:hAnsi="方正仿宋_GBK" w:eastAsia="方正仿宋_GBK" w:cs="方正仿宋_GBK"/>
          <w:i w:val="0"/>
          <w:caps w:val="0"/>
          <w:color w:val="333333"/>
          <w:spacing w:val="0"/>
          <w:sz w:val="31"/>
          <w:szCs w:val="31"/>
        </w:rPr>
        <w:t>强化公务接待支出管理，严格遵守公务接待开支范围和开支标准，严格控制陪餐人数</w:t>
      </w:r>
      <w:r>
        <w:rPr>
          <w:rFonts w:hint="eastAsia" w:ascii="方正仿宋_GBK" w:hAnsi="方正仿宋_GBK" w:eastAsia="方正仿宋_GBK" w:cs="方正仿宋_GBK"/>
          <w:i w:val="0"/>
          <w:caps w:val="0"/>
          <w:color w:val="000000"/>
          <w:spacing w:val="0"/>
          <w:sz w:val="31"/>
          <w:szCs w:val="31"/>
        </w:rPr>
        <w:t>。</w:t>
      </w:r>
    </w:p>
    <w:p w14:paraId="6C0062AF">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（三）“三公”经费实物量情况。</w:t>
      </w:r>
    </w:p>
    <w:p w14:paraId="1BF6C064">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因公出国（境）共计0个团组，0人；公务用车购置0辆，公务车保有量为4辆；国内公务接待285批次，1421人，其中：国内外事接待0批次，0人；国（境）外公务接待0批次，0人。2022年本部门人均接待费59.99元，车均购置费0万元，车均维护费2.15万元。</w:t>
      </w:r>
    </w:p>
    <w:p w14:paraId="6CBF62D2">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四、其他需要说明的事项</w:t>
      </w:r>
    </w:p>
    <w:p w14:paraId="716F5D53">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（一）财政拨款会议费和培训费情况说明</w:t>
      </w:r>
      <w:r>
        <w:rPr>
          <w:rFonts w:hint="eastAsia" w:ascii="方正仿宋_GBK" w:hAnsi="方正仿宋_GBK" w:eastAsia="方正仿宋_GBK" w:cs="方正仿宋_GBK"/>
          <w:i w:val="0"/>
          <w:caps w:val="0"/>
          <w:color w:val="000000"/>
          <w:spacing w:val="0"/>
          <w:sz w:val="31"/>
          <w:szCs w:val="31"/>
        </w:rPr>
        <w:t>。</w:t>
      </w:r>
    </w:p>
    <w:p w14:paraId="09134278">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本年度会议费支出1.40万元，较上年决算数减少0.54万元，下降27.8%，主要原因是</w:t>
      </w:r>
      <w:r>
        <w:rPr>
          <w:rFonts w:hint="eastAsia" w:ascii="方正仿宋_GBK" w:hAnsi="方正仿宋_GBK" w:eastAsia="方正仿宋_GBK" w:cs="方正仿宋_GBK"/>
          <w:i w:val="0"/>
          <w:caps w:val="0"/>
          <w:color w:val="333333"/>
          <w:spacing w:val="0"/>
          <w:sz w:val="31"/>
          <w:szCs w:val="31"/>
          <w:shd w:val="clear" w:fill="FFFFFF"/>
        </w:rPr>
        <w:t>认真贯彻落实中央八项规定精神和厉行节约要求。</w:t>
      </w:r>
      <w:r>
        <w:rPr>
          <w:rFonts w:hint="eastAsia" w:ascii="方正仿宋_GBK" w:hAnsi="方正仿宋_GBK" w:eastAsia="方正仿宋_GBK" w:cs="方正仿宋_GBK"/>
          <w:i w:val="0"/>
          <w:caps w:val="0"/>
          <w:color w:val="000000"/>
          <w:spacing w:val="0"/>
          <w:sz w:val="31"/>
          <w:szCs w:val="31"/>
          <w:shd w:val="clear" w:fill="FFFFFF"/>
        </w:rPr>
        <w:t>本年度培训费支出0.08万元，较上年决算数减少0.01元，下降11.1%，主要原因是</w:t>
      </w:r>
      <w:r>
        <w:rPr>
          <w:rFonts w:hint="eastAsia" w:ascii="方正仿宋_GBK" w:hAnsi="方正仿宋_GBK" w:eastAsia="方正仿宋_GBK" w:cs="方正仿宋_GBK"/>
          <w:i w:val="0"/>
          <w:caps w:val="0"/>
          <w:color w:val="333333"/>
          <w:spacing w:val="0"/>
          <w:sz w:val="31"/>
          <w:szCs w:val="31"/>
          <w:shd w:val="clear" w:fill="FFFFFF"/>
        </w:rPr>
        <w:t>认真贯彻落实中央八项规定精神和厉行节约要求</w:t>
      </w:r>
      <w:r>
        <w:rPr>
          <w:rFonts w:hint="eastAsia" w:ascii="方正仿宋_GBK" w:hAnsi="方正仿宋_GBK" w:eastAsia="方正仿宋_GBK" w:cs="方正仿宋_GBK"/>
          <w:i w:val="0"/>
          <w:caps w:val="0"/>
          <w:color w:val="000000"/>
          <w:spacing w:val="0"/>
          <w:sz w:val="31"/>
          <w:szCs w:val="31"/>
          <w:shd w:val="clear" w:fill="FFFFFF"/>
        </w:rPr>
        <w:t>。</w:t>
      </w:r>
    </w:p>
    <w:p w14:paraId="5CAD20E6">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（二）机关运行经费支出情况说明</w:t>
      </w:r>
    </w:p>
    <w:p w14:paraId="66B36EEB">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2022年度本部门机关运行经费支出206.67万元，主要用于开支</w:t>
      </w:r>
      <w:r>
        <w:rPr>
          <w:rFonts w:hint="eastAsia" w:ascii="方正仿宋_GBK" w:hAnsi="方正仿宋_GBK" w:eastAsia="方正仿宋_GBK" w:cs="方正仿宋_GBK"/>
          <w:i w:val="0"/>
          <w:caps w:val="0"/>
          <w:color w:val="333333"/>
          <w:spacing w:val="0"/>
          <w:sz w:val="31"/>
          <w:szCs w:val="31"/>
        </w:rPr>
        <w:t>办公费、印刷费、手续费、日常维护费、水电费、物管费、邮电费、差旅费、租赁费、公务用车运行维护等</w:t>
      </w:r>
      <w:r>
        <w:rPr>
          <w:rFonts w:hint="eastAsia" w:ascii="方正仿宋_GBK" w:hAnsi="方正仿宋_GBK" w:eastAsia="方正仿宋_GBK" w:cs="方正仿宋_GBK"/>
          <w:i w:val="0"/>
          <w:caps w:val="0"/>
          <w:color w:val="000000"/>
          <w:spacing w:val="0"/>
          <w:sz w:val="31"/>
          <w:szCs w:val="31"/>
        </w:rPr>
        <w:t>。机关运行经费较上年决算数减少23.20万元，下降10.1%，主要原因是</w:t>
      </w:r>
      <w:r>
        <w:rPr>
          <w:rFonts w:hint="eastAsia" w:ascii="方正仿宋_GBK" w:hAnsi="方正仿宋_GBK" w:eastAsia="方正仿宋_GBK" w:cs="方正仿宋_GBK"/>
          <w:i w:val="0"/>
          <w:caps w:val="0"/>
          <w:color w:val="333333"/>
          <w:spacing w:val="0"/>
          <w:sz w:val="31"/>
          <w:szCs w:val="31"/>
        </w:rPr>
        <w:t>认真贯彻落实中央八项规定精神和厉行节约要求</w:t>
      </w:r>
      <w:r>
        <w:rPr>
          <w:rFonts w:hint="eastAsia" w:ascii="方正仿宋_GBK" w:hAnsi="方正仿宋_GBK" w:eastAsia="方正仿宋_GBK" w:cs="方正仿宋_GBK"/>
          <w:i w:val="0"/>
          <w:caps w:val="0"/>
          <w:color w:val="000000"/>
          <w:spacing w:val="0"/>
          <w:sz w:val="31"/>
          <w:szCs w:val="31"/>
        </w:rPr>
        <w:t>。</w:t>
      </w:r>
    </w:p>
    <w:p w14:paraId="530536E2">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（三）国有资产占用情况说明</w:t>
      </w:r>
    </w:p>
    <w:p w14:paraId="2F1881E2">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截至2022年12月31日，本部门共有车辆4辆，其中，副部（省）级及以上领导用车0辆、主要领导干部用车0辆、机要通信用车0辆、应急保障用车4辆、执法执勤用车0.辆，特种专业技术用车0辆，离退休干部用车0辆，其他用车0辆。单价100万元（含）以上设备（不含车辆）0台（套）。</w:t>
      </w:r>
    </w:p>
    <w:p w14:paraId="22076A0D">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（四）政府采购支出情况说明</w:t>
      </w:r>
    </w:p>
    <w:p w14:paraId="42D65575">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政府采购支出总额1.43万元，其中：政府采购货物支出0万元、政府采购工程支出0万元、政府采购服务支出1.43万元。授予中小企业合同金额0万元，占政府采购支出总额的0%，其中：授予小微企业合同金额0万元，占政府采购支出总额的0%，主要用于采购政府法律咨询业务服务费。</w:t>
      </w:r>
    </w:p>
    <w:p w14:paraId="47F58B96">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  </w:t>
      </w:r>
      <w:r>
        <w:rPr>
          <w:rFonts w:hint="eastAsia" w:ascii="方正黑体_GBK" w:hAnsi="方正黑体_GBK" w:eastAsia="方正黑体_GBK" w:cs="方正黑体_GBK"/>
          <w:i w:val="0"/>
          <w:caps w:val="0"/>
          <w:color w:val="000000"/>
          <w:spacing w:val="0"/>
          <w:sz w:val="31"/>
          <w:szCs w:val="31"/>
        </w:rPr>
        <w:t>五、预算绩效管理情况说明</w:t>
      </w:r>
    </w:p>
    <w:p w14:paraId="2E9B1CEF">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（一）预算绩效管理工作开展情况</w:t>
      </w:r>
    </w:p>
    <w:p w14:paraId="2B9009B9">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根据预算绩效管理要求，本单位对部门整体和73个项目开展了绩效自评，其中，以填报自评表形式开展自评73项，涉及资金1092.06万元。从评价情况来看，项目立项较为规范，绩效目标明确，预算编制合理，管理科学规范，资金到位及时，总体完成情况较好，</w:t>
      </w:r>
      <w:r>
        <w:rPr>
          <w:rFonts w:hint="eastAsia" w:ascii="方正仿宋_GBK" w:hAnsi="方正仿宋_GBK" w:eastAsia="方正仿宋_GBK" w:cs="方正仿宋_GBK"/>
          <w:i w:val="0"/>
          <w:caps w:val="0"/>
          <w:color w:val="333333"/>
          <w:spacing w:val="0"/>
          <w:sz w:val="31"/>
          <w:szCs w:val="31"/>
          <w:shd w:val="clear" w:fill="FFFFFF"/>
        </w:rPr>
        <w:t>评价等级均为优等级，</w:t>
      </w:r>
      <w:r>
        <w:rPr>
          <w:rFonts w:hint="eastAsia" w:ascii="方正仿宋_GBK" w:hAnsi="方正仿宋_GBK" w:eastAsia="方正仿宋_GBK" w:cs="方正仿宋_GBK"/>
          <w:i w:val="0"/>
          <w:caps w:val="0"/>
          <w:color w:val="000000"/>
          <w:spacing w:val="0"/>
          <w:sz w:val="31"/>
          <w:szCs w:val="31"/>
          <w:shd w:val="clear" w:fill="FFFFFF"/>
        </w:rPr>
        <w:t>项目基本达到了预期绩效目标。</w:t>
      </w:r>
    </w:p>
    <w:p w14:paraId="263F3F3E">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（二）绩效自评结果</w:t>
      </w:r>
    </w:p>
    <w:p w14:paraId="14AC1445">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1．绩效自评表  </w:t>
      </w:r>
    </w:p>
    <w:tbl>
      <w:tblPr>
        <w:tblStyle w:val="3"/>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0" w:type="dxa"/>
          <w:bottom w:w="75" w:type="dxa"/>
          <w:right w:w="150" w:type="dxa"/>
        </w:tblCellMar>
      </w:tblPr>
      <w:tblGrid>
        <w:gridCol w:w="1238"/>
        <w:gridCol w:w="602"/>
        <w:gridCol w:w="1137"/>
        <w:gridCol w:w="832"/>
        <w:gridCol w:w="720"/>
        <w:gridCol w:w="744"/>
        <w:gridCol w:w="1042"/>
        <w:gridCol w:w="708"/>
        <w:gridCol w:w="798"/>
        <w:gridCol w:w="768"/>
        <w:gridCol w:w="1122"/>
        <w:gridCol w:w="714"/>
      </w:tblGrid>
      <w:tr w14:paraId="5228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584"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348CEF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32"/>
                <w:szCs w:val="32"/>
              </w:rPr>
            </w:pPr>
            <w:r>
              <w:rPr>
                <w:rFonts w:hint="eastAsia" w:ascii="方正仿宋_GBK" w:hAnsi="方正仿宋_GBK" w:eastAsia="方正仿宋_GBK" w:cs="方正仿宋_GBK"/>
                <w:b/>
                <w:sz w:val="21"/>
                <w:szCs w:val="21"/>
              </w:rPr>
              <w:t>2022年度部门整体绩效自评表</w:t>
            </w:r>
          </w:p>
        </w:tc>
      </w:tr>
      <w:tr w14:paraId="2A37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4350DD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项目名称：</w:t>
            </w:r>
          </w:p>
        </w:tc>
        <w:tc>
          <w:tcPr>
            <w:tcW w:w="1526"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78771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方正仿宋_GBK" w:hAnsi="方正仿宋_GBK" w:eastAsia="方正仿宋_GBK" w:cs="方正仿宋_GBK"/>
                <w:sz w:val="21"/>
                <w:szCs w:val="21"/>
              </w:rPr>
              <w:t>丰都县都督乡整体自评</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625C7D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项目编码：</w:t>
            </w:r>
          </w:p>
        </w:tc>
        <w:tc>
          <w:tcPr>
            <w:tcW w:w="1214"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7C318C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50023000022P000091</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711C3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自评总分：</w:t>
            </w:r>
          </w:p>
        </w:tc>
        <w:tc>
          <w:tcPr>
            <w:tcW w:w="1292"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75AC36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97.60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6DFAB1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31"/>
                <w:szCs w:val="31"/>
              </w:rPr>
              <w:t> </w:t>
            </w:r>
          </w:p>
        </w:tc>
        <w:tc>
          <w:tcPr>
            <w:tcW w:w="1623"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1D5C0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31"/>
                <w:szCs w:val="31"/>
              </w:rPr>
              <w:t>　</w:t>
            </w:r>
          </w:p>
        </w:tc>
      </w:tr>
      <w:tr w14:paraId="1ADF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1EBBB1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项目主管部门：</w:t>
            </w:r>
          </w:p>
        </w:tc>
        <w:tc>
          <w:tcPr>
            <w:tcW w:w="152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4EE1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 924-丰都县都督乡</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5F766E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财政归口处室：</w:t>
            </w:r>
          </w:p>
        </w:tc>
        <w:tc>
          <w:tcPr>
            <w:tcW w:w="121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9281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 007-基财科</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0146A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483"/>
              <w:jc w:val="center"/>
            </w:pPr>
            <w:r>
              <w:rPr>
                <w:rFonts w:hint="eastAsia" w:ascii="方正仿宋_GBK" w:hAnsi="方正仿宋_GBK" w:eastAsia="方正仿宋_GBK" w:cs="方正仿宋_GBK"/>
                <w:b/>
                <w:sz w:val="21"/>
                <w:szCs w:val="21"/>
              </w:rPr>
              <w:t>部门</w:t>
            </w:r>
          </w:p>
          <w:p w14:paraId="0DD0E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pPr>
            <w:r>
              <w:rPr>
                <w:rFonts w:hint="eastAsia" w:ascii="方正仿宋_GBK" w:hAnsi="方正仿宋_GBK" w:eastAsia="方正仿宋_GBK" w:cs="方正仿宋_GBK"/>
                <w:b/>
                <w:sz w:val="21"/>
                <w:szCs w:val="21"/>
              </w:rPr>
              <w:t>联系人：</w:t>
            </w:r>
          </w:p>
        </w:tc>
        <w:tc>
          <w:tcPr>
            <w:tcW w:w="129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88F3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黄桂圆</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6E6B5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rPr>
              <w:t>联系</w:t>
            </w:r>
          </w:p>
          <w:p w14:paraId="128AF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rPr>
              <w:t>电话</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11B09F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 17823345769</w:t>
            </w:r>
          </w:p>
        </w:tc>
      </w:tr>
      <w:tr w14:paraId="3430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69"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15D20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8"/>
                <w:szCs w:val="18"/>
              </w:rPr>
            </w:pPr>
            <w:r>
              <w:rPr>
                <w:rFonts w:hint="eastAsia" w:ascii="方正仿宋_GBK" w:hAnsi="方正仿宋_GBK" w:eastAsia="方正仿宋_GBK" w:cs="方正仿宋_GBK"/>
                <w:b/>
                <w:color w:val="808080"/>
                <w:sz w:val="21"/>
                <w:szCs w:val="21"/>
              </w:rPr>
              <w:t>资金情况</w:t>
            </w:r>
          </w:p>
        </w:tc>
      </w:tr>
      <w:tr w14:paraId="13E4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45"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71890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c>
          <w:tcPr>
            <w:tcW w:w="175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5E600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724"/>
              <w:jc w:val="center"/>
              <w:rPr>
                <w:sz w:val="16"/>
                <w:szCs w:val="16"/>
              </w:rPr>
            </w:pPr>
            <w:r>
              <w:rPr>
                <w:rFonts w:hint="eastAsia" w:ascii="方正仿宋_GBK" w:hAnsi="方正仿宋_GBK" w:eastAsia="方正仿宋_GBK" w:cs="方正仿宋_GBK"/>
                <w:b/>
                <w:sz w:val="21"/>
                <w:szCs w:val="21"/>
              </w:rPr>
              <w:t>年初预算数</w:t>
            </w:r>
          </w:p>
        </w:tc>
        <w:tc>
          <w:tcPr>
            <w:tcW w:w="121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ECF71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全年（调整）</w:t>
            </w:r>
          </w:p>
          <w:p w14:paraId="1C9438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预算数</w:t>
            </w:r>
          </w:p>
        </w:tc>
        <w:tc>
          <w:tcPr>
            <w:tcW w:w="153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9A337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rPr>
                <w:sz w:val="16"/>
                <w:szCs w:val="16"/>
              </w:rPr>
            </w:pPr>
            <w:r>
              <w:rPr>
                <w:rFonts w:hint="eastAsia" w:ascii="方正仿宋_GBK" w:hAnsi="方正仿宋_GBK" w:eastAsia="方正仿宋_GBK" w:cs="方正仿宋_GBK"/>
                <w:b/>
                <w:sz w:val="21"/>
                <w:szCs w:val="21"/>
              </w:rPr>
              <w:t>全年执行数</w:t>
            </w:r>
          </w:p>
        </w:tc>
        <w:tc>
          <w:tcPr>
            <w:tcW w:w="135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E0712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22"/>
              <w:jc w:val="center"/>
              <w:rPr>
                <w:sz w:val="16"/>
                <w:szCs w:val="16"/>
              </w:rPr>
            </w:pPr>
            <w:r>
              <w:rPr>
                <w:rFonts w:hint="eastAsia" w:ascii="方正仿宋_GBK" w:hAnsi="方正仿宋_GBK" w:eastAsia="方正仿宋_GBK" w:cs="方正仿宋_GBK"/>
                <w:b/>
                <w:sz w:val="21"/>
                <w:szCs w:val="21"/>
              </w:rPr>
              <w:t>执行率</w:t>
            </w:r>
          </w:p>
        </w:tc>
        <w:tc>
          <w:tcPr>
            <w:tcW w:w="909" w:type="dxa"/>
            <w:tcBorders>
              <w:bottom w:val="single" w:color="auto" w:sz="6" w:space="0"/>
              <w:right w:val="single" w:color="auto" w:sz="6" w:space="0"/>
            </w:tcBorders>
            <w:shd w:val="clear" w:color="auto" w:fill="auto"/>
            <w:tcMar>
              <w:top w:w="75" w:type="dxa"/>
              <w:left w:w="108" w:type="dxa"/>
              <w:right w:w="101" w:type="dxa"/>
            </w:tcMar>
            <w:vAlign w:val="center"/>
          </w:tcPr>
          <w:p w14:paraId="43687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执行率</w:t>
            </w:r>
          </w:p>
          <w:p w14:paraId="02841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权重</w:t>
            </w:r>
          </w:p>
        </w:tc>
        <w:tc>
          <w:tcPr>
            <w:tcW w:w="498" w:type="dxa"/>
            <w:tcBorders>
              <w:bottom w:val="single" w:color="auto" w:sz="6" w:space="0"/>
              <w:right w:val="single" w:color="auto" w:sz="6" w:space="0"/>
            </w:tcBorders>
            <w:shd w:val="clear" w:color="auto" w:fill="auto"/>
            <w:tcMar>
              <w:top w:w="75" w:type="dxa"/>
              <w:left w:w="108" w:type="dxa"/>
              <w:right w:w="101" w:type="dxa"/>
            </w:tcMar>
            <w:vAlign w:val="center"/>
          </w:tcPr>
          <w:p w14:paraId="3EDAB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执行率</w:t>
            </w:r>
          </w:p>
          <w:p w14:paraId="3FA91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w:t>
            </w:r>
          </w:p>
        </w:tc>
      </w:tr>
      <w:tr w14:paraId="0FA6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C40E5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年度总金额</w:t>
            </w:r>
          </w:p>
        </w:tc>
        <w:tc>
          <w:tcPr>
            <w:tcW w:w="175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1F6B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8861927.26</w:t>
            </w:r>
          </w:p>
        </w:tc>
        <w:tc>
          <w:tcPr>
            <w:tcW w:w="121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0784E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26708531.97</w:t>
            </w:r>
          </w:p>
        </w:tc>
        <w:tc>
          <w:tcPr>
            <w:tcW w:w="153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216F7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20321014.74</w:t>
            </w:r>
          </w:p>
        </w:tc>
        <w:tc>
          <w:tcPr>
            <w:tcW w:w="135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6DE5D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c>
          <w:tcPr>
            <w:tcW w:w="909" w:type="dxa"/>
            <w:tcBorders>
              <w:bottom w:val="single" w:color="auto" w:sz="6" w:space="0"/>
              <w:right w:val="single" w:color="auto" w:sz="6" w:space="0"/>
            </w:tcBorders>
            <w:shd w:val="clear" w:color="auto" w:fill="auto"/>
            <w:tcMar>
              <w:top w:w="75" w:type="dxa"/>
              <w:left w:w="108" w:type="dxa"/>
              <w:right w:w="101" w:type="dxa"/>
            </w:tcMar>
            <w:vAlign w:val="center"/>
          </w:tcPr>
          <w:p w14:paraId="7F936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c>
          <w:tcPr>
            <w:tcW w:w="498" w:type="dxa"/>
            <w:tcBorders>
              <w:bottom w:val="single" w:color="auto" w:sz="6" w:space="0"/>
              <w:right w:val="single" w:color="auto" w:sz="6" w:space="0"/>
            </w:tcBorders>
            <w:shd w:val="clear" w:color="auto" w:fill="auto"/>
            <w:tcMar>
              <w:top w:w="75" w:type="dxa"/>
              <w:left w:w="108" w:type="dxa"/>
              <w:right w:w="101" w:type="dxa"/>
            </w:tcMar>
            <w:vAlign w:val="center"/>
          </w:tcPr>
          <w:p w14:paraId="2BB67B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r>
      <w:tr w14:paraId="7427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15"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BE3EB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其中：财政拨款</w:t>
            </w:r>
          </w:p>
        </w:tc>
        <w:tc>
          <w:tcPr>
            <w:tcW w:w="175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7422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8861927.26</w:t>
            </w:r>
          </w:p>
        </w:tc>
        <w:tc>
          <w:tcPr>
            <w:tcW w:w="121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6E59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26708531.97</w:t>
            </w:r>
          </w:p>
        </w:tc>
        <w:tc>
          <w:tcPr>
            <w:tcW w:w="1536"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2B219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20321014.74</w:t>
            </w:r>
          </w:p>
        </w:tc>
        <w:tc>
          <w:tcPr>
            <w:tcW w:w="135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3F196D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jc w:val="center"/>
              <w:rPr>
                <w:sz w:val="16"/>
                <w:szCs w:val="16"/>
              </w:rPr>
            </w:pPr>
            <w:r>
              <w:rPr>
                <w:rFonts w:hint="eastAsia" w:ascii="方正仿宋_GBK" w:hAnsi="方正仿宋_GBK" w:eastAsia="方正仿宋_GBK" w:cs="方正仿宋_GBK"/>
                <w:sz w:val="21"/>
                <w:szCs w:val="21"/>
              </w:rPr>
              <w:t>76</w:t>
            </w:r>
          </w:p>
        </w:tc>
        <w:tc>
          <w:tcPr>
            <w:tcW w:w="909" w:type="dxa"/>
            <w:tcBorders>
              <w:bottom w:val="single" w:color="auto" w:sz="6" w:space="0"/>
              <w:right w:val="single" w:color="auto" w:sz="6" w:space="0"/>
            </w:tcBorders>
            <w:shd w:val="clear" w:color="auto" w:fill="auto"/>
            <w:tcMar>
              <w:top w:w="75" w:type="dxa"/>
              <w:left w:w="108" w:type="dxa"/>
              <w:right w:w="101" w:type="dxa"/>
            </w:tcMar>
            <w:vAlign w:val="center"/>
          </w:tcPr>
          <w:p w14:paraId="2DCFB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10.00</w:t>
            </w:r>
          </w:p>
        </w:tc>
        <w:tc>
          <w:tcPr>
            <w:tcW w:w="498" w:type="dxa"/>
            <w:tcBorders>
              <w:bottom w:val="single" w:color="auto" w:sz="6" w:space="0"/>
              <w:right w:val="single" w:color="auto" w:sz="6" w:space="0"/>
            </w:tcBorders>
            <w:shd w:val="clear" w:color="auto" w:fill="auto"/>
            <w:tcMar>
              <w:top w:w="75" w:type="dxa"/>
              <w:left w:w="108" w:type="dxa"/>
              <w:right w:w="101" w:type="dxa"/>
            </w:tcMar>
            <w:vAlign w:val="center"/>
          </w:tcPr>
          <w:p w14:paraId="674757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7.6</w:t>
            </w:r>
          </w:p>
        </w:tc>
      </w:tr>
      <w:tr w14:paraId="4946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00"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77B740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rPr>
              <w:t>绩效目标</w:t>
            </w:r>
          </w:p>
        </w:tc>
      </w:tr>
      <w:tr w14:paraId="53AA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3600" w:type="dxa"/>
            <w:gridSpan w:val="4"/>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B2A4A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年初绩效目标</w:t>
            </w:r>
          </w:p>
        </w:tc>
        <w:tc>
          <w:tcPr>
            <w:tcW w:w="2966"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7B76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全年（调整）绩效目标</w:t>
            </w:r>
          </w:p>
        </w:tc>
        <w:tc>
          <w:tcPr>
            <w:tcW w:w="3191"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3CE5C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全年目标实际完成情况</w:t>
            </w:r>
          </w:p>
        </w:tc>
      </w:tr>
      <w:tr w14:paraId="179D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1602" w:hRule="atLeast"/>
          <w:jc w:val="center"/>
        </w:trPr>
        <w:tc>
          <w:tcPr>
            <w:tcW w:w="3600" w:type="dxa"/>
            <w:gridSpan w:val="4"/>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top"/>
          </w:tcPr>
          <w:p w14:paraId="4BD49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w:t>
            </w:r>
            <w:r>
              <w:rPr>
                <w:rFonts w:hint="eastAsia" w:ascii="方正仿宋_GBK" w:hAnsi="方正仿宋_GBK" w:eastAsia="方正仿宋_GBK" w:cs="方正仿宋_GBK"/>
                <w:sz w:val="21"/>
                <w:szCs w:val="21"/>
                <w:lang w:eastAsia="zh-CN"/>
              </w:rPr>
              <w:t>人大常委会办公室</w:t>
            </w:r>
            <w:r>
              <w:rPr>
                <w:rFonts w:hint="eastAsia" w:ascii="方正仿宋_GBK" w:hAnsi="方正仿宋_GBK" w:eastAsia="方正仿宋_GBK" w:cs="方正仿宋_GBK"/>
                <w:sz w:val="21"/>
                <w:szCs w:val="21"/>
              </w:rPr>
              <w:t>：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c>
          <w:tcPr>
            <w:tcW w:w="2966"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top"/>
          </w:tcPr>
          <w:p w14:paraId="1A4D6D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w:t>
            </w:r>
            <w:r>
              <w:rPr>
                <w:rFonts w:hint="eastAsia" w:ascii="方正仿宋_GBK" w:hAnsi="方正仿宋_GBK" w:eastAsia="方正仿宋_GBK" w:cs="方正仿宋_GBK"/>
                <w:sz w:val="21"/>
                <w:szCs w:val="21"/>
                <w:lang w:eastAsia="zh-CN"/>
              </w:rPr>
              <w:t>人大常委会办公室</w:t>
            </w:r>
            <w:r>
              <w:rPr>
                <w:rFonts w:hint="eastAsia" w:ascii="方正仿宋_GBK" w:hAnsi="方正仿宋_GBK" w:eastAsia="方正仿宋_GBK" w:cs="方正仿宋_GBK"/>
                <w:sz w:val="21"/>
                <w:szCs w:val="21"/>
              </w:rPr>
              <w:t>：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c>
          <w:tcPr>
            <w:tcW w:w="3191"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top"/>
          </w:tcPr>
          <w:p w14:paraId="009AA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w:t>
            </w:r>
            <w:r>
              <w:rPr>
                <w:rFonts w:hint="eastAsia" w:ascii="方正仿宋_GBK" w:hAnsi="方正仿宋_GBK" w:eastAsia="方正仿宋_GBK" w:cs="方正仿宋_GBK"/>
                <w:sz w:val="21"/>
                <w:szCs w:val="21"/>
                <w:lang w:eastAsia="zh-CN"/>
              </w:rPr>
              <w:t>人大常委会办公室</w:t>
            </w:r>
            <w:r>
              <w:rPr>
                <w:rFonts w:hint="eastAsia" w:ascii="方正仿宋_GBK" w:hAnsi="方正仿宋_GBK" w:eastAsia="方正仿宋_GBK" w:cs="方正仿宋_GBK"/>
                <w:sz w:val="21"/>
                <w:szCs w:val="21"/>
              </w:rPr>
              <w:t>：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r>
      <w:tr w14:paraId="232C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00"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30069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rPr>
              <w:t>绩效指标</w:t>
            </w:r>
          </w:p>
        </w:tc>
      </w:tr>
      <w:tr w14:paraId="1606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E0BC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314110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名称</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18D14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计量单位</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7872C7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4B824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性质</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046E93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指标值</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5FF6D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全年完成值</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3F1512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偏离度（%）</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5FFC0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得分系数（%）</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71C5F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2D2EF3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权重</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03EBC7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192F0A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7DC114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是否核心指标</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D0F70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说明</w:t>
            </w:r>
          </w:p>
        </w:tc>
      </w:tr>
      <w:tr w14:paraId="68D4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DF370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安全生产、平安建设、信访稳定、武装、退役军人文化阵地建设等工作　</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1FAB4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rPr>
              <w:t>　</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265BB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定性</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1153B6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好</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626B1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1</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524416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0</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224652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100</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5DED55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20</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74253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20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2FAFF8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97804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rPr>
              <w:t>　</w:t>
            </w:r>
          </w:p>
        </w:tc>
      </w:tr>
      <w:tr w14:paraId="4FB8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75F63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经济社会发展类及乡村振兴建设</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4ED2BD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2E4A91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定性</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6B421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好</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17809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09314E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07D91E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5DCED3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7397A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540530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AB3BE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168A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363EF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社会事业、民生保障、社会保障、人居环境工作</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3217A4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3098C7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定性</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54E08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好</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656D7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58E6D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27CF5B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175C39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36BADF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6EEC6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215A2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34C4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715B8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基层组织建设</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0B1ECF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61FD80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定性</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6BA2AA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好</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40D89A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329174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2DF8F9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297B9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11319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7F7968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7484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0FCE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42EE55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群众满意度</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62605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21"/>
                <w:szCs w:val="21"/>
              </w:rPr>
              <w:t>%</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2A74D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7A7A54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98</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025306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98</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20E13F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30AD53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547B06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6AEAC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20</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2037A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4845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3B6F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42472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387" w:type="dxa"/>
            <w:tcBorders>
              <w:bottom w:val="single" w:color="auto" w:sz="6" w:space="0"/>
              <w:right w:val="single" w:color="auto" w:sz="6" w:space="0"/>
            </w:tcBorders>
            <w:shd w:val="clear" w:color="auto" w:fill="auto"/>
            <w:tcMar>
              <w:top w:w="75" w:type="dxa"/>
              <w:left w:w="108" w:type="dxa"/>
              <w:right w:w="101" w:type="dxa"/>
            </w:tcMar>
            <w:vAlign w:val="center"/>
          </w:tcPr>
          <w:p w14:paraId="726B2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923" w:type="dxa"/>
            <w:tcBorders>
              <w:bottom w:val="single" w:color="auto" w:sz="6" w:space="0"/>
              <w:right w:val="single" w:color="auto" w:sz="6" w:space="0"/>
            </w:tcBorders>
            <w:shd w:val="clear" w:color="auto" w:fill="auto"/>
            <w:tcMar>
              <w:top w:w="75" w:type="dxa"/>
              <w:left w:w="108" w:type="dxa"/>
              <w:right w:w="101" w:type="dxa"/>
            </w:tcMar>
            <w:vAlign w:val="center"/>
          </w:tcPr>
          <w:p w14:paraId="03BAD0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617" w:type="dxa"/>
            <w:tcBorders>
              <w:bottom w:val="single" w:color="auto" w:sz="6" w:space="0"/>
              <w:right w:val="single" w:color="auto" w:sz="6" w:space="0"/>
            </w:tcBorders>
            <w:shd w:val="clear" w:color="auto" w:fill="auto"/>
            <w:tcMar>
              <w:top w:w="75" w:type="dxa"/>
              <w:left w:w="108" w:type="dxa"/>
              <w:right w:w="101" w:type="dxa"/>
            </w:tcMar>
            <w:vAlign w:val="center"/>
          </w:tcPr>
          <w:p w14:paraId="76EF0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05" w:type="dxa"/>
            <w:tcBorders>
              <w:bottom w:val="single" w:color="auto" w:sz="6" w:space="0"/>
              <w:right w:val="single" w:color="auto" w:sz="6" w:space="0"/>
            </w:tcBorders>
            <w:shd w:val="clear" w:color="auto" w:fill="auto"/>
            <w:tcMar>
              <w:top w:w="75" w:type="dxa"/>
              <w:left w:w="108" w:type="dxa"/>
              <w:right w:w="101" w:type="dxa"/>
            </w:tcMar>
            <w:vAlign w:val="center"/>
          </w:tcPr>
          <w:p w14:paraId="06CEA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6459D5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827" w:type="dxa"/>
            <w:tcBorders>
              <w:bottom w:val="single" w:color="auto" w:sz="6" w:space="0"/>
              <w:right w:val="single" w:color="auto" w:sz="6" w:space="0"/>
            </w:tcBorders>
            <w:shd w:val="clear" w:color="auto" w:fill="auto"/>
            <w:tcMar>
              <w:top w:w="75" w:type="dxa"/>
              <w:left w:w="108" w:type="dxa"/>
              <w:right w:w="101" w:type="dxa"/>
            </w:tcMar>
            <w:vAlign w:val="center"/>
          </w:tcPr>
          <w:p w14:paraId="6282EA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493" w:type="dxa"/>
            <w:tcBorders>
              <w:bottom w:val="single" w:color="auto" w:sz="6" w:space="0"/>
              <w:right w:val="single" w:color="auto" w:sz="6" w:space="0"/>
            </w:tcBorders>
            <w:shd w:val="clear" w:color="auto" w:fill="auto"/>
            <w:tcMar>
              <w:top w:w="75" w:type="dxa"/>
              <w:left w:w="108" w:type="dxa"/>
              <w:right w:w="101" w:type="dxa"/>
            </w:tcMar>
            <w:vAlign w:val="center"/>
          </w:tcPr>
          <w:p w14:paraId="1C041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83" w:type="dxa"/>
            <w:tcBorders>
              <w:bottom w:val="single" w:color="auto" w:sz="6" w:space="0"/>
              <w:right w:val="single" w:color="auto" w:sz="6" w:space="0"/>
            </w:tcBorders>
            <w:shd w:val="clear" w:color="auto" w:fill="auto"/>
            <w:tcMar>
              <w:top w:w="75" w:type="dxa"/>
              <w:left w:w="108" w:type="dxa"/>
              <w:right w:w="101" w:type="dxa"/>
            </w:tcMar>
            <w:vAlign w:val="center"/>
          </w:tcPr>
          <w:p w14:paraId="70A4D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53" w:type="dxa"/>
            <w:tcBorders>
              <w:bottom w:val="single" w:color="auto" w:sz="6" w:space="0"/>
              <w:right w:val="single" w:color="auto" w:sz="6" w:space="0"/>
            </w:tcBorders>
            <w:shd w:val="clear" w:color="auto" w:fill="auto"/>
            <w:tcMar>
              <w:top w:w="75" w:type="dxa"/>
              <w:left w:w="108" w:type="dxa"/>
              <w:right w:w="101" w:type="dxa"/>
            </w:tcMar>
            <w:vAlign w:val="center"/>
          </w:tcPr>
          <w:p w14:paraId="786B5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23"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57CCC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75AA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0" w:hRule="atLeast"/>
          <w:jc w:val="center"/>
        </w:trPr>
        <w:tc>
          <w:tcPr>
            <w:tcW w:w="1241" w:type="dxa"/>
            <w:shd w:val="clear" w:color="auto" w:fill="auto"/>
            <w:tcMar>
              <w:top w:w="75" w:type="dxa"/>
            </w:tcMar>
            <w:vAlign w:val="center"/>
          </w:tcPr>
          <w:p w14:paraId="1D150DA3">
            <w:pPr>
              <w:keepNext w:val="0"/>
              <w:keepLines w:val="0"/>
              <w:widowControl/>
              <w:suppressLineNumbers w:val="0"/>
              <w:wordWrap w:val="0"/>
              <w:jc w:val="left"/>
            </w:pPr>
          </w:p>
        </w:tc>
        <w:tc>
          <w:tcPr>
            <w:tcW w:w="603" w:type="dxa"/>
            <w:shd w:val="clear" w:color="auto" w:fill="auto"/>
            <w:tcMar>
              <w:top w:w="75" w:type="dxa"/>
            </w:tcMar>
            <w:vAlign w:val="center"/>
          </w:tcPr>
          <w:p w14:paraId="5120BF3E">
            <w:pPr>
              <w:keepNext w:val="0"/>
              <w:keepLines w:val="0"/>
              <w:widowControl/>
              <w:suppressLineNumbers w:val="0"/>
              <w:wordWrap w:val="0"/>
              <w:jc w:val="left"/>
            </w:pPr>
          </w:p>
        </w:tc>
        <w:tc>
          <w:tcPr>
            <w:tcW w:w="1139" w:type="dxa"/>
            <w:shd w:val="clear" w:color="auto" w:fill="auto"/>
            <w:tcMar>
              <w:top w:w="75" w:type="dxa"/>
            </w:tcMar>
            <w:vAlign w:val="center"/>
          </w:tcPr>
          <w:p w14:paraId="7DF6A326">
            <w:pPr>
              <w:keepNext w:val="0"/>
              <w:keepLines w:val="0"/>
              <w:widowControl/>
              <w:suppressLineNumbers w:val="0"/>
              <w:wordWrap w:val="0"/>
              <w:jc w:val="left"/>
            </w:pPr>
          </w:p>
        </w:tc>
        <w:tc>
          <w:tcPr>
            <w:tcW w:w="833" w:type="dxa"/>
            <w:shd w:val="clear" w:color="auto" w:fill="auto"/>
            <w:tcMar>
              <w:top w:w="75" w:type="dxa"/>
            </w:tcMar>
            <w:vAlign w:val="center"/>
          </w:tcPr>
          <w:p w14:paraId="364EC25D">
            <w:pPr>
              <w:keepNext w:val="0"/>
              <w:keepLines w:val="0"/>
              <w:widowControl/>
              <w:suppressLineNumbers w:val="0"/>
              <w:wordWrap w:val="0"/>
              <w:jc w:val="left"/>
            </w:pPr>
          </w:p>
        </w:tc>
        <w:tc>
          <w:tcPr>
            <w:tcW w:w="721" w:type="dxa"/>
            <w:shd w:val="clear" w:color="auto" w:fill="auto"/>
            <w:tcMar>
              <w:top w:w="75" w:type="dxa"/>
            </w:tcMar>
            <w:vAlign w:val="center"/>
          </w:tcPr>
          <w:p w14:paraId="37F581C0">
            <w:pPr>
              <w:keepNext w:val="0"/>
              <w:keepLines w:val="0"/>
              <w:widowControl/>
              <w:suppressLineNumbers w:val="0"/>
              <w:wordWrap w:val="0"/>
              <w:jc w:val="left"/>
            </w:pPr>
          </w:p>
        </w:tc>
        <w:tc>
          <w:tcPr>
            <w:tcW w:w="709" w:type="dxa"/>
            <w:shd w:val="clear" w:color="auto" w:fill="auto"/>
            <w:tcMar>
              <w:top w:w="75" w:type="dxa"/>
            </w:tcMar>
            <w:vAlign w:val="center"/>
          </w:tcPr>
          <w:p w14:paraId="0ECE18DA">
            <w:pPr>
              <w:keepNext w:val="0"/>
              <w:keepLines w:val="0"/>
              <w:widowControl/>
              <w:suppressLineNumbers w:val="0"/>
              <w:wordWrap w:val="0"/>
              <w:jc w:val="left"/>
            </w:pPr>
          </w:p>
        </w:tc>
        <w:tc>
          <w:tcPr>
            <w:tcW w:w="1043" w:type="dxa"/>
            <w:shd w:val="clear" w:color="auto" w:fill="auto"/>
            <w:tcMar>
              <w:top w:w="75" w:type="dxa"/>
            </w:tcMar>
            <w:vAlign w:val="center"/>
          </w:tcPr>
          <w:p w14:paraId="1F6F3AA0">
            <w:pPr>
              <w:keepNext w:val="0"/>
              <w:keepLines w:val="0"/>
              <w:widowControl/>
              <w:suppressLineNumbers w:val="0"/>
              <w:wordWrap w:val="0"/>
              <w:jc w:val="left"/>
            </w:pPr>
          </w:p>
        </w:tc>
        <w:tc>
          <w:tcPr>
            <w:tcW w:w="709" w:type="dxa"/>
            <w:shd w:val="clear" w:color="auto" w:fill="auto"/>
            <w:tcMar>
              <w:top w:w="75" w:type="dxa"/>
            </w:tcMar>
            <w:vAlign w:val="center"/>
          </w:tcPr>
          <w:p w14:paraId="5DF17343">
            <w:pPr>
              <w:keepNext w:val="0"/>
              <w:keepLines w:val="0"/>
              <w:widowControl/>
              <w:suppressLineNumbers w:val="0"/>
              <w:wordWrap w:val="0"/>
              <w:jc w:val="left"/>
            </w:pPr>
          </w:p>
        </w:tc>
        <w:tc>
          <w:tcPr>
            <w:tcW w:w="799" w:type="dxa"/>
            <w:shd w:val="clear" w:color="auto" w:fill="auto"/>
            <w:tcMar>
              <w:top w:w="75" w:type="dxa"/>
            </w:tcMar>
            <w:vAlign w:val="center"/>
          </w:tcPr>
          <w:p w14:paraId="52E2F167">
            <w:pPr>
              <w:keepNext w:val="0"/>
              <w:keepLines w:val="0"/>
              <w:widowControl/>
              <w:suppressLineNumbers w:val="0"/>
              <w:wordWrap w:val="0"/>
              <w:jc w:val="left"/>
            </w:pPr>
          </w:p>
        </w:tc>
        <w:tc>
          <w:tcPr>
            <w:tcW w:w="769" w:type="dxa"/>
            <w:shd w:val="clear" w:color="auto" w:fill="auto"/>
            <w:tcMar>
              <w:top w:w="75" w:type="dxa"/>
            </w:tcMar>
            <w:vAlign w:val="center"/>
          </w:tcPr>
          <w:p w14:paraId="33E40A96">
            <w:pPr>
              <w:keepNext w:val="0"/>
              <w:keepLines w:val="0"/>
              <w:widowControl/>
              <w:suppressLineNumbers w:val="0"/>
              <w:wordWrap w:val="0"/>
              <w:jc w:val="left"/>
            </w:pPr>
          </w:p>
        </w:tc>
        <w:tc>
          <w:tcPr>
            <w:tcW w:w="1125" w:type="dxa"/>
            <w:shd w:val="clear" w:color="auto" w:fill="auto"/>
            <w:tcMar>
              <w:top w:w="75" w:type="dxa"/>
            </w:tcMar>
            <w:vAlign w:val="center"/>
          </w:tcPr>
          <w:p w14:paraId="6C117715">
            <w:pPr>
              <w:keepNext w:val="0"/>
              <w:keepLines w:val="0"/>
              <w:widowControl/>
              <w:suppressLineNumbers w:val="0"/>
              <w:wordWrap w:val="0"/>
              <w:jc w:val="left"/>
            </w:pPr>
          </w:p>
        </w:tc>
        <w:tc>
          <w:tcPr>
            <w:tcW w:w="714" w:type="dxa"/>
            <w:shd w:val="clear" w:color="auto" w:fill="auto"/>
            <w:tcMar>
              <w:top w:w="75" w:type="dxa"/>
            </w:tcMar>
            <w:vAlign w:val="center"/>
          </w:tcPr>
          <w:p w14:paraId="6504E3DF">
            <w:pPr>
              <w:keepNext w:val="0"/>
              <w:keepLines w:val="0"/>
              <w:widowControl/>
              <w:suppressLineNumbers w:val="0"/>
              <w:wordWrap w:val="0"/>
              <w:jc w:val="left"/>
            </w:pPr>
          </w:p>
        </w:tc>
      </w:tr>
    </w:tbl>
    <w:p w14:paraId="694FDCE3">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tbl>
      <w:tblPr>
        <w:tblStyle w:val="3"/>
        <w:tblW w:w="11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0" w:type="dxa"/>
          <w:bottom w:w="75" w:type="dxa"/>
          <w:right w:w="150" w:type="dxa"/>
        </w:tblCellMar>
      </w:tblPr>
      <w:tblGrid>
        <w:gridCol w:w="1273"/>
        <w:gridCol w:w="579"/>
        <w:gridCol w:w="848"/>
        <w:gridCol w:w="990"/>
        <w:gridCol w:w="1032"/>
        <w:gridCol w:w="928"/>
        <w:gridCol w:w="974"/>
        <w:gridCol w:w="708"/>
        <w:gridCol w:w="798"/>
        <w:gridCol w:w="990"/>
        <w:gridCol w:w="900"/>
        <w:gridCol w:w="990"/>
      </w:tblGrid>
      <w:tr w14:paraId="505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584"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3FCE3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32"/>
                <w:szCs w:val="32"/>
              </w:rPr>
            </w:pPr>
            <w:r>
              <w:rPr>
                <w:rFonts w:hint="eastAsia" w:ascii="方正仿宋_GBK" w:hAnsi="方正仿宋_GBK" w:eastAsia="方正仿宋_GBK" w:cs="方正仿宋_GBK"/>
                <w:b/>
                <w:sz w:val="21"/>
                <w:szCs w:val="21"/>
              </w:rPr>
              <w:t>2022年度项目绩效自评表</w:t>
            </w:r>
          </w:p>
        </w:tc>
      </w:tr>
      <w:tr w14:paraId="4646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158BF6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项目名称：</w:t>
            </w:r>
          </w:p>
        </w:tc>
        <w:tc>
          <w:tcPr>
            <w:tcW w:w="1198"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7924F2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都督乡2022年“三管一站”免费开放补助项目</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458C31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项目编码：</w:t>
            </w:r>
          </w:p>
        </w:tc>
        <w:tc>
          <w:tcPr>
            <w:tcW w:w="1742"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090A70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50023022T000002448571</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01462C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自评总分：</w:t>
            </w:r>
          </w:p>
        </w:tc>
        <w:tc>
          <w:tcPr>
            <w:tcW w:w="1288"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2202D6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95.00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2ADFD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31"/>
                <w:szCs w:val="31"/>
              </w:rPr>
              <w:t> </w:t>
            </w:r>
          </w:p>
        </w:tc>
        <w:tc>
          <w:tcPr>
            <w:tcW w:w="1672" w:type="dxa"/>
            <w:gridSpan w:val="2"/>
            <w:tcBorders>
              <w:bottom w:val="single" w:color="auto" w:sz="6" w:space="0"/>
              <w:right w:val="single" w:color="auto" w:sz="6" w:space="0"/>
            </w:tcBorders>
            <w:shd w:val="clear" w:color="auto" w:fill="auto"/>
            <w:tcMar>
              <w:top w:w="75" w:type="dxa"/>
              <w:left w:w="108" w:type="dxa"/>
              <w:right w:w="101" w:type="dxa"/>
            </w:tcMar>
            <w:vAlign w:val="center"/>
          </w:tcPr>
          <w:p w14:paraId="143356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31"/>
                <w:szCs w:val="31"/>
              </w:rPr>
              <w:t>　</w:t>
            </w:r>
          </w:p>
        </w:tc>
      </w:tr>
      <w:tr w14:paraId="0BEE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7848BA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项目主管部门：</w:t>
            </w:r>
          </w:p>
        </w:tc>
        <w:tc>
          <w:tcPr>
            <w:tcW w:w="1198"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4E7396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 924-丰都县都督乡</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1D3F05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rPr>
              <w:t>财政归口处室：</w:t>
            </w:r>
          </w:p>
        </w:tc>
        <w:tc>
          <w:tcPr>
            <w:tcW w:w="174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51F62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007-基财科</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6A1CA7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483"/>
              <w:jc w:val="center"/>
            </w:pPr>
            <w:r>
              <w:rPr>
                <w:rFonts w:hint="eastAsia" w:ascii="方正仿宋_GBK" w:hAnsi="方正仿宋_GBK" w:eastAsia="方正仿宋_GBK" w:cs="方正仿宋_GBK"/>
                <w:b/>
                <w:sz w:val="21"/>
                <w:szCs w:val="21"/>
              </w:rPr>
              <w:t>部门</w:t>
            </w:r>
          </w:p>
          <w:p w14:paraId="1AABA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pPr>
            <w:r>
              <w:rPr>
                <w:rFonts w:hint="eastAsia" w:ascii="方正仿宋_GBK" w:hAnsi="方正仿宋_GBK" w:eastAsia="方正仿宋_GBK" w:cs="方正仿宋_GBK"/>
                <w:b/>
                <w:sz w:val="21"/>
                <w:szCs w:val="21"/>
              </w:rPr>
              <w:t>联系人：</w:t>
            </w:r>
          </w:p>
        </w:tc>
        <w:tc>
          <w:tcPr>
            <w:tcW w:w="1288"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1E411B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 叶艳红</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533CCC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rPr>
              <w:t>联系</w:t>
            </w:r>
          </w:p>
          <w:p w14:paraId="251BFE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rPr>
              <w:t>电话</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7FA40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rPr>
              <w:t>　 15823188377</w:t>
            </w:r>
          </w:p>
        </w:tc>
      </w:tr>
      <w:tr w14:paraId="2DF3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69"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E8A46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8"/>
                <w:szCs w:val="18"/>
              </w:rPr>
            </w:pPr>
            <w:r>
              <w:rPr>
                <w:rFonts w:hint="eastAsia" w:ascii="方正仿宋_GBK" w:hAnsi="方正仿宋_GBK" w:eastAsia="方正仿宋_GBK" w:cs="方正仿宋_GBK"/>
                <w:b/>
                <w:color w:val="808080"/>
                <w:sz w:val="21"/>
                <w:szCs w:val="21"/>
              </w:rPr>
              <w:t>资金情况</w:t>
            </w:r>
          </w:p>
        </w:tc>
      </w:tr>
      <w:tr w14:paraId="605C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45"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EB695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c>
          <w:tcPr>
            <w:tcW w:w="1621"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05673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724"/>
              <w:jc w:val="center"/>
              <w:rPr>
                <w:sz w:val="16"/>
                <w:szCs w:val="16"/>
              </w:rPr>
            </w:pPr>
            <w:r>
              <w:rPr>
                <w:rFonts w:hint="eastAsia" w:ascii="方正仿宋_GBK" w:hAnsi="方正仿宋_GBK" w:eastAsia="方正仿宋_GBK" w:cs="方正仿宋_GBK"/>
                <w:b/>
                <w:sz w:val="21"/>
                <w:szCs w:val="21"/>
              </w:rPr>
              <w:t>年初预算数</w:t>
            </w:r>
          </w:p>
        </w:tc>
        <w:tc>
          <w:tcPr>
            <w:tcW w:w="174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1AA495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全年（调整）</w:t>
            </w:r>
          </w:p>
          <w:p w14:paraId="5BA2F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预算数</w:t>
            </w:r>
          </w:p>
        </w:tc>
        <w:tc>
          <w:tcPr>
            <w:tcW w:w="146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FA63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rPr>
                <w:sz w:val="16"/>
                <w:szCs w:val="16"/>
              </w:rPr>
            </w:pPr>
            <w:r>
              <w:rPr>
                <w:rFonts w:hint="eastAsia" w:ascii="方正仿宋_GBK" w:hAnsi="方正仿宋_GBK" w:eastAsia="方正仿宋_GBK" w:cs="方正仿宋_GBK"/>
                <w:b/>
                <w:sz w:val="21"/>
                <w:szCs w:val="21"/>
              </w:rPr>
              <w:t>全年执行数</w:t>
            </w:r>
          </w:p>
        </w:tc>
        <w:tc>
          <w:tcPr>
            <w:tcW w:w="1570"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6634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22"/>
              <w:jc w:val="center"/>
              <w:rPr>
                <w:sz w:val="16"/>
                <w:szCs w:val="16"/>
              </w:rPr>
            </w:pPr>
            <w:r>
              <w:rPr>
                <w:rFonts w:hint="eastAsia" w:ascii="方正仿宋_GBK" w:hAnsi="方正仿宋_GBK" w:eastAsia="方正仿宋_GBK" w:cs="方正仿宋_GBK"/>
                <w:b/>
                <w:sz w:val="21"/>
                <w:szCs w:val="21"/>
              </w:rPr>
              <w:t>执行率</w:t>
            </w:r>
          </w:p>
        </w:tc>
        <w:tc>
          <w:tcPr>
            <w:tcW w:w="683" w:type="dxa"/>
            <w:tcBorders>
              <w:bottom w:val="single" w:color="auto" w:sz="6" w:space="0"/>
              <w:right w:val="single" w:color="auto" w:sz="6" w:space="0"/>
            </w:tcBorders>
            <w:shd w:val="clear" w:color="auto" w:fill="auto"/>
            <w:tcMar>
              <w:top w:w="75" w:type="dxa"/>
              <w:left w:w="108" w:type="dxa"/>
              <w:right w:w="101" w:type="dxa"/>
            </w:tcMar>
            <w:vAlign w:val="center"/>
          </w:tcPr>
          <w:p w14:paraId="3B919E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执行率</w:t>
            </w:r>
          </w:p>
          <w:p w14:paraId="67FD46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权重</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1223DC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执行率</w:t>
            </w:r>
          </w:p>
          <w:p w14:paraId="5A1A3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w:t>
            </w:r>
          </w:p>
        </w:tc>
      </w:tr>
      <w:tr w14:paraId="0B48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99850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年度总金额</w:t>
            </w:r>
          </w:p>
        </w:tc>
        <w:tc>
          <w:tcPr>
            <w:tcW w:w="1621"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961B9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0</w:t>
            </w:r>
          </w:p>
        </w:tc>
        <w:tc>
          <w:tcPr>
            <w:tcW w:w="174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436B1E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100000</w:t>
            </w:r>
          </w:p>
        </w:tc>
        <w:tc>
          <w:tcPr>
            <w:tcW w:w="146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11D64A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50000</w:t>
            </w:r>
          </w:p>
        </w:tc>
        <w:tc>
          <w:tcPr>
            <w:tcW w:w="1570"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4F5716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c>
          <w:tcPr>
            <w:tcW w:w="683" w:type="dxa"/>
            <w:tcBorders>
              <w:bottom w:val="single" w:color="auto" w:sz="6" w:space="0"/>
              <w:right w:val="single" w:color="auto" w:sz="6" w:space="0"/>
            </w:tcBorders>
            <w:shd w:val="clear" w:color="auto" w:fill="auto"/>
            <w:tcMar>
              <w:top w:w="75" w:type="dxa"/>
              <w:left w:w="108" w:type="dxa"/>
              <w:right w:w="101" w:type="dxa"/>
            </w:tcMar>
            <w:vAlign w:val="center"/>
          </w:tcPr>
          <w:p w14:paraId="10F2F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BDD40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rPr>
              <w:t> </w:t>
            </w:r>
          </w:p>
        </w:tc>
      </w:tr>
      <w:tr w14:paraId="2EFA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15"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62E03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其中：财政拨款</w:t>
            </w:r>
          </w:p>
        </w:tc>
        <w:tc>
          <w:tcPr>
            <w:tcW w:w="1621"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24CDC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0</w:t>
            </w:r>
          </w:p>
        </w:tc>
        <w:tc>
          <w:tcPr>
            <w:tcW w:w="174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449A62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100000</w:t>
            </w:r>
          </w:p>
        </w:tc>
        <w:tc>
          <w:tcPr>
            <w:tcW w:w="1464"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60881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50000</w:t>
            </w:r>
          </w:p>
        </w:tc>
        <w:tc>
          <w:tcPr>
            <w:tcW w:w="1570"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CBD5C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50</w:t>
            </w:r>
          </w:p>
        </w:tc>
        <w:tc>
          <w:tcPr>
            <w:tcW w:w="683" w:type="dxa"/>
            <w:tcBorders>
              <w:bottom w:val="single" w:color="auto" w:sz="6" w:space="0"/>
              <w:right w:val="single" w:color="auto" w:sz="6" w:space="0"/>
            </w:tcBorders>
            <w:shd w:val="clear" w:color="auto" w:fill="auto"/>
            <w:tcMar>
              <w:top w:w="75" w:type="dxa"/>
              <w:left w:w="108" w:type="dxa"/>
              <w:right w:w="101" w:type="dxa"/>
            </w:tcMar>
            <w:vAlign w:val="center"/>
          </w:tcPr>
          <w:p w14:paraId="14DB42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5CD327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5</w:t>
            </w:r>
          </w:p>
        </w:tc>
      </w:tr>
      <w:tr w14:paraId="023A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00"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EC860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rPr>
              <w:t>绩效目标</w:t>
            </w:r>
          </w:p>
        </w:tc>
      </w:tr>
      <w:tr w14:paraId="1613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3460" w:type="dxa"/>
            <w:gridSpan w:val="4"/>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F66D8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年初绩效目标</w:t>
            </w:r>
          </w:p>
        </w:tc>
        <w:tc>
          <w:tcPr>
            <w:tcW w:w="3422"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5772B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全年（调整）绩效目标</w:t>
            </w:r>
          </w:p>
        </w:tc>
        <w:tc>
          <w:tcPr>
            <w:tcW w:w="3458"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134818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全年目标实际完成情况</w:t>
            </w:r>
          </w:p>
        </w:tc>
      </w:tr>
      <w:tr w14:paraId="2583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1602" w:hRule="atLeast"/>
          <w:jc w:val="center"/>
        </w:trPr>
        <w:tc>
          <w:tcPr>
            <w:tcW w:w="3460" w:type="dxa"/>
            <w:gridSpan w:val="4"/>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top"/>
          </w:tcPr>
          <w:p w14:paraId="11E64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31"/>
                <w:szCs w:val="31"/>
              </w:rPr>
              <w:t>　</w:t>
            </w:r>
          </w:p>
        </w:tc>
        <w:tc>
          <w:tcPr>
            <w:tcW w:w="3422"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top"/>
          </w:tcPr>
          <w:p w14:paraId="72B0C6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　</w:t>
            </w:r>
          </w:p>
          <w:p w14:paraId="6D3498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都督乡已完成2022年“三管一站”免费开放补助项目</w:t>
            </w:r>
          </w:p>
        </w:tc>
        <w:tc>
          <w:tcPr>
            <w:tcW w:w="3458" w:type="dxa"/>
            <w:gridSpan w:val="4"/>
            <w:tcBorders>
              <w:top w:val="single" w:color="auto" w:sz="6" w:space="0"/>
              <w:bottom w:val="single" w:color="auto" w:sz="6" w:space="0"/>
              <w:right w:val="single" w:color="auto" w:sz="6" w:space="0"/>
            </w:tcBorders>
            <w:shd w:val="clear" w:color="auto" w:fill="auto"/>
            <w:tcMar>
              <w:top w:w="75" w:type="dxa"/>
              <w:left w:w="108" w:type="dxa"/>
              <w:right w:w="101" w:type="dxa"/>
            </w:tcMar>
            <w:vAlign w:val="top"/>
          </w:tcPr>
          <w:p w14:paraId="48615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　</w:t>
            </w:r>
          </w:p>
          <w:p w14:paraId="78BB7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21"/>
                <w:szCs w:val="21"/>
              </w:rPr>
            </w:pPr>
            <w:r>
              <w:rPr>
                <w:rFonts w:hint="eastAsia" w:ascii="方正仿宋_GBK" w:hAnsi="方正仿宋_GBK" w:eastAsia="方正仿宋_GBK" w:cs="方正仿宋_GBK"/>
                <w:sz w:val="21"/>
                <w:szCs w:val="21"/>
              </w:rPr>
              <w:t>完成2022年“三管一站”免费开放补助项目</w:t>
            </w:r>
          </w:p>
        </w:tc>
      </w:tr>
      <w:tr w14:paraId="506E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00"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77811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rPr>
              <w:t>绩效指标</w:t>
            </w:r>
          </w:p>
        </w:tc>
      </w:tr>
      <w:tr w14:paraId="2916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39C7E8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43987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名称</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1242D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计量单位</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38A8D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1BDD73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性质</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9B554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指标值</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232474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全年完成值</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2E798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偏离度（%）</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23D16B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得分系数（%）</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4DAB54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35268E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权重</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4F3F49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指标</w:t>
            </w:r>
          </w:p>
          <w:p w14:paraId="552903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得分</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414A98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是否核心指标</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2689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说明</w:t>
            </w:r>
          </w:p>
        </w:tc>
      </w:tr>
      <w:tr w14:paraId="3056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288D86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sz w:val="16"/>
                <w:szCs w:val="16"/>
              </w:rPr>
            </w:pPr>
            <w:r>
              <w:rPr>
                <w:rFonts w:hint="eastAsia" w:ascii="方正仿宋_GBK" w:hAnsi="方正仿宋_GBK" w:eastAsia="方正仿宋_GBK" w:cs="方正仿宋_GBK"/>
                <w:sz w:val="21"/>
                <w:szCs w:val="21"/>
              </w:rPr>
              <w:t>免费开放补助数量</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091CF8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个</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5AF03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469082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1</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48FD4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1</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0F3B95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46A73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52216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20</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0C022E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rPr>
              <w:t>20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74BB36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FA1F7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rPr>
              <w:t>　</w:t>
            </w:r>
          </w:p>
        </w:tc>
      </w:tr>
      <w:tr w14:paraId="682A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0FC4B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免费开放组织文化活动参与人数</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700AA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rPr>
              <w:t>人/次</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227CB6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6A6347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10000</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18CD9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10000</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6D69BB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720B31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47F456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742AC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A7FA2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AD6A9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r>
      <w:tr w14:paraId="54B8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5BE39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补助资金到位率</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66210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62E01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2912B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5F6224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59352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296CA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383CF0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382267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02D1A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BF213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r>
      <w:tr w14:paraId="7483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16B152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免费开放正常运转</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340CEA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4E94C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6CE7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63077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100</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09402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58F14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2F6A7F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3D1DC3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235FD7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0C4C3B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5FC9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15FA1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群众参与人次年增长</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6DCB7D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5A8F04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44792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3</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118C85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3</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3E6CCF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183A7F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5E619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15</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45DF13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15</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392F0B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DA5F7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7EA8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2313B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免费开放持续时间</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51C1EA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月</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0A70F9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6AF75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12</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7FB044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12</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7F3B0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76CA3C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7290A7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15</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19B09C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15</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73B5B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27185F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3B82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6CF3DD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rPr>
              <w:t>受益群众满意度</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197D70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583A90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CABE7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91</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7B468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91</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1CD5C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rPr>
              <w:t>0</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25B977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100</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375267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7E371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rPr>
              <w:t>10</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3D24B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BA68F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019B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3C5ADC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7208DA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7E5096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325DB5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69072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5611E4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74A6D7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41318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26A61C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3C61F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57A009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65D5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08F4E4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466A9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0C71B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121ADF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71DA9B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256435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42F8FF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5359B2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169283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6D3EC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61C62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2852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color="auto" w:fill="auto"/>
            <w:tcMar>
              <w:top w:w="75" w:type="dxa"/>
              <w:left w:w="101" w:type="dxa"/>
              <w:right w:w="101" w:type="dxa"/>
            </w:tcMar>
            <w:vAlign w:val="center"/>
          </w:tcPr>
          <w:p w14:paraId="5EE60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350" w:type="dxa"/>
            <w:tcBorders>
              <w:bottom w:val="single" w:color="auto" w:sz="6" w:space="0"/>
              <w:right w:val="single" w:color="auto" w:sz="6" w:space="0"/>
            </w:tcBorders>
            <w:shd w:val="clear" w:color="auto" w:fill="auto"/>
            <w:tcMar>
              <w:top w:w="75" w:type="dxa"/>
              <w:left w:w="108" w:type="dxa"/>
              <w:right w:w="101" w:type="dxa"/>
            </w:tcMar>
            <w:vAlign w:val="center"/>
          </w:tcPr>
          <w:p w14:paraId="44F774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632" w:type="dxa"/>
            <w:tcBorders>
              <w:bottom w:val="single" w:color="auto" w:sz="6" w:space="0"/>
              <w:right w:val="single" w:color="auto" w:sz="6" w:space="0"/>
            </w:tcBorders>
            <w:shd w:val="clear" w:color="auto" w:fill="auto"/>
            <w:tcMar>
              <w:top w:w="75" w:type="dxa"/>
              <w:left w:w="108" w:type="dxa"/>
              <w:right w:w="101" w:type="dxa"/>
            </w:tcMar>
            <w:vAlign w:val="center"/>
          </w:tcPr>
          <w:p w14:paraId="499B5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0CD872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815" w:type="dxa"/>
            <w:tcBorders>
              <w:bottom w:val="single" w:color="auto" w:sz="6" w:space="0"/>
              <w:right w:val="single" w:color="auto" w:sz="6" w:space="0"/>
            </w:tcBorders>
            <w:shd w:val="clear" w:color="auto" w:fill="auto"/>
            <w:tcMar>
              <w:top w:w="75" w:type="dxa"/>
              <w:left w:w="108" w:type="dxa"/>
              <w:right w:w="101" w:type="dxa"/>
            </w:tcMar>
            <w:vAlign w:val="center"/>
          </w:tcPr>
          <w:p w14:paraId="50669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11" w:type="dxa"/>
            <w:tcBorders>
              <w:bottom w:val="single" w:color="auto" w:sz="6" w:space="0"/>
              <w:right w:val="single" w:color="auto" w:sz="6" w:space="0"/>
            </w:tcBorders>
            <w:shd w:val="clear" w:color="auto" w:fill="auto"/>
            <w:tcMar>
              <w:top w:w="75" w:type="dxa"/>
              <w:left w:w="108" w:type="dxa"/>
              <w:right w:w="101" w:type="dxa"/>
            </w:tcMar>
            <w:vAlign w:val="center"/>
          </w:tcPr>
          <w:p w14:paraId="512F34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57" w:type="dxa"/>
            <w:tcBorders>
              <w:bottom w:val="single" w:color="auto" w:sz="6" w:space="0"/>
              <w:right w:val="single" w:color="auto" w:sz="6" w:space="0"/>
            </w:tcBorders>
            <w:shd w:val="clear" w:color="auto" w:fill="auto"/>
            <w:tcMar>
              <w:top w:w="75" w:type="dxa"/>
              <w:left w:w="108" w:type="dxa"/>
              <w:right w:w="101" w:type="dxa"/>
            </w:tcMar>
            <w:vAlign w:val="center"/>
          </w:tcPr>
          <w:p w14:paraId="0A07C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491" w:type="dxa"/>
            <w:tcBorders>
              <w:bottom w:val="single" w:color="auto" w:sz="6" w:space="0"/>
              <w:right w:val="single" w:color="auto" w:sz="6" w:space="0"/>
            </w:tcBorders>
            <w:shd w:val="clear" w:color="auto" w:fill="auto"/>
            <w:tcMar>
              <w:top w:w="75" w:type="dxa"/>
              <w:left w:w="108" w:type="dxa"/>
              <w:right w:w="101" w:type="dxa"/>
            </w:tcMar>
            <w:vAlign w:val="center"/>
          </w:tcPr>
          <w:p w14:paraId="7F463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581" w:type="dxa"/>
            <w:tcBorders>
              <w:bottom w:val="single" w:color="auto" w:sz="6" w:space="0"/>
              <w:right w:val="single" w:color="auto" w:sz="6" w:space="0"/>
            </w:tcBorders>
            <w:shd w:val="clear" w:color="auto" w:fill="auto"/>
            <w:tcMar>
              <w:top w:w="75" w:type="dxa"/>
              <w:left w:w="108" w:type="dxa"/>
              <w:right w:w="101" w:type="dxa"/>
            </w:tcMar>
            <w:vAlign w:val="center"/>
          </w:tcPr>
          <w:p w14:paraId="12FEE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rPr>
              <w:t>　</w:t>
            </w:r>
          </w:p>
        </w:tc>
        <w:tc>
          <w:tcPr>
            <w:tcW w:w="773" w:type="dxa"/>
            <w:tcBorders>
              <w:bottom w:val="single" w:color="auto" w:sz="6" w:space="0"/>
              <w:right w:val="single" w:color="auto" w:sz="6" w:space="0"/>
            </w:tcBorders>
            <w:shd w:val="clear" w:color="auto" w:fill="auto"/>
            <w:tcMar>
              <w:top w:w="75" w:type="dxa"/>
              <w:left w:w="108" w:type="dxa"/>
              <w:right w:w="101" w:type="dxa"/>
            </w:tcMar>
            <w:vAlign w:val="center"/>
          </w:tcPr>
          <w:p w14:paraId="71B2CE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rPr>
              <w:t>　</w:t>
            </w:r>
          </w:p>
        </w:tc>
        <w:tc>
          <w:tcPr>
            <w:tcW w:w="1672" w:type="dxa"/>
            <w:gridSpan w:val="2"/>
            <w:tcBorders>
              <w:top w:val="single" w:color="auto" w:sz="6" w:space="0"/>
              <w:bottom w:val="single" w:color="auto" w:sz="6" w:space="0"/>
              <w:right w:val="single" w:color="auto" w:sz="6" w:space="0"/>
            </w:tcBorders>
            <w:shd w:val="clear" w:color="auto" w:fill="auto"/>
            <w:tcMar>
              <w:top w:w="75" w:type="dxa"/>
              <w:left w:w="108" w:type="dxa"/>
              <w:right w:w="101" w:type="dxa"/>
            </w:tcMar>
            <w:vAlign w:val="center"/>
          </w:tcPr>
          <w:p w14:paraId="7637B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14:paraId="66939F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rPr>
              <w:t>　</w:t>
            </w:r>
          </w:p>
        </w:tc>
      </w:tr>
      <w:tr w14:paraId="1A2D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0" w:hRule="atLeast"/>
          <w:jc w:val="center"/>
        </w:trPr>
        <w:tc>
          <w:tcPr>
            <w:tcW w:w="1273" w:type="dxa"/>
            <w:shd w:val="clear" w:color="auto" w:fill="auto"/>
            <w:tcMar>
              <w:top w:w="75" w:type="dxa"/>
            </w:tcMar>
            <w:vAlign w:val="center"/>
          </w:tcPr>
          <w:p w14:paraId="2D9CB5C3">
            <w:pPr>
              <w:keepNext w:val="0"/>
              <w:keepLines w:val="0"/>
              <w:widowControl/>
              <w:suppressLineNumbers w:val="0"/>
              <w:wordWrap w:val="0"/>
              <w:jc w:val="left"/>
            </w:pPr>
          </w:p>
        </w:tc>
        <w:tc>
          <w:tcPr>
            <w:tcW w:w="566" w:type="dxa"/>
            <w:shd w:val="clear" w:color="auto" w:fill="auto"/>
            <w:tcMar>
              <w:top w:w="75" w:type="dxa"/>
            </w:tcMar>
            <w:vAlign w:val="center"/>
          </w:tcPr>
          <w:p w14:paraId="794B955D">
            <w:pPr>
              <w:keepNext w:val="0"/>
              <w:keepLines w:val="0"/>
              <w:widowControl/>
              <w:suppressLineNumbers w:val="0"/>
              <w:wordWrap w:val="0"/>
              <w:jc w:val="left"/>
            </w:pPr>
          </w:p>
        </w:tc>
        <w:tc>
          <w:tcPr>
            <w:tcW w:w="848" w:type="dxa"/>
            <w:shd w:val="clear" w:color="auto" w:fill="auto"/>
            <w:tcMar>
              <w:top w:w="75" w:type="dxa"/>
            </w:tcMar>
            <w:vAlign w:val="center"/>
          </w:tcPr>
          <w:p w14:paraId="4099D31A">
            <w:pPr>
              <w:keepNext w:val="0"/>
              <w:keepLines w:val="0"/>
              <w:widowControl/>
              <w:suppressLineNumbers w:val="0"/>
              <w:wordWrap w:val="0"/>
              <w:jc w:val="left"/>
            </w:pPr>
          </w:p>
        </w:tc>
        <w:tc>
          <w:tcPr>
            <w:tcW w:w="989" w:type="dxa"/>
            <w:shd w:val="clear" w:color="auto" w:fill="auto"/>
            <w:tcMar>
              <w:top w:w="75" w:type="dxa"/>
            </w:tcMar>
            <w:vAlign w:val="center"/>
          </w:tcPr>
          <w:p w14:paraId="3A5D7241">
            <w:pPr>
              <w:keepNext w:val="0"/>
              <w:keepLines w:val="0"/>
              <w:widowControl/>
              <w:suppressLineNumbers w:val="0"/>
              <w:wordWrap w:val="0"/>
              <w:jc w:val="left"/>
            </w:pPr>
          </w:p>
        </w:tc>
        <w:tc>
          <w:tcPr>
            <w:tcW w:w="1031" w:type="dxa"/>
            <w:shd w:val="clear" w:color="auto" w:fill="auto"/>
            <w:tcMar>
              <w:top w:w="75" w:type="dxa"/>
            </w:tcMar>
            <w:vAlign w:val="center"/>
          </w:tcPr>
          <w:p w14:paraId="0CD0FF86">
            <w:pPr>
              <w:keepNext w:val="0"/>
              <w:keepLines w:val="0"/>
              <w:widowControl/>
              <w:suppressLineNumbers w:val="0"/>
              <w:wordWrap w:val="0"/>
              <w:jc w:val="left"/>
            </w:pPr>
          </w:p>
        </w:tc>
        <w:tc>
          <w:tcPr>
            <w:tcW w:w="927" w:type="dxa"/>
            <w:shd w:val="clear" w:color="auto" w:fill="auto"/>
            <w:tcMar>
              <w:top w:w="75" w:type="dxa"/>
            </w:tcMar>
            <w:vAlign w:val="center"/>
          </w:tcPr>
          <w:p w14:paraId="4B138A6A">
            <w:pPr>
              <w:keepNext w:val="0"/>
              <w:keepLines w:val="0"/>
              <w:widowControl/>
              <w:suppressLineNumbers w:val="0"/>
              <w:wordWrap w:val="0"/>
              <w:jc w:val="left"/>
            </w:pPr>
          </w:p>
        </w:tc>
        <w:tc>
          <w:tcPr>
            <w:tcW w:w="973" w:type="dxa"/>
            <w:shd w:val="clear" w:color="auto" w:fill="auto"/>
            <w:tcMar>
              <w:top w:w="75" w:type="dxa"/>
            </w:tcMar>
            <w:vAlign w:val="center"/>
          </w:tcPr>
          <w:p w14:paraId="6506AB4D">
            <w:pPr>
              <w:keepNext w:val="0"/>
              <w:keepLines w:val="0"/>
              <w:widowControl/>
              <w:suppressLineNumbers w:val="0"/>
              <w:wordWrap w:val="0"/>
              <w:jc w:val="left"/>
            </w:pPr>
          </w:p>
        </w:tc>
        <w:tc>
          <w:tcPr>
            <w:tcW w:w="707" w:type="dxa"/>
            <w:shd w:val="clear" w:color="auto" w:fill="auto"/>
            <w:tcMar>
              <w:top w:w="75" w:type="dxa"/>
            </w:tcMar>
            <w:vAlign w:val="center"/>
          </w:tcPr>
          <w:p w14:paraId="52F7F9E9">
            <w:pPr>
              <w:keepNext w:val="0"/>
              <w:keepLines w:val="0"/>
              <w:widowControl/>
              <w:suppressLineNumbers w:val="0"/>
              <w:wordWrap w:val="0"/>
              <w:jc w:val="left"/>
            </w:pPr>
          </w:p>
        </w:tc>
        <w:tc>
          <w:tcPr>
            <w:tcW w:w="797" w:type="dxa"/>
            <w:shd w:val="clear" w:color="auto" w:fill="auto"/>
            <w:tcMar>
              <w:top w:w="75" w:type="dxa"/>
            </w:tcMar>
            <w:vAlign w:val="center"/>
          </w:tcPr>
          <w:p w14:paraId="7687F4E3">
            <w:pPr>
              <w:keepNext w:val="0"/>
              <w:keepLines w:val="0"/>
              <w:widowControl/>
              <w:suppressLineNumbers w:val="0"/>
              <w:wordWrap w:val="0"/>
              <w:jc w:val="left"/>
            </w:pPr>
          </w:p>
        </w:tc>
        <w:tc>
          <w:tcPr>
            <w:tcW w:w="989" w:type="dxa"/>
            <w:shd w:val="clear" w:color="auto" w:fill="auto"/>
            <w:tcMar>
              <w:top w:w="75" w:type="dxa"/>
            </w:tcMar>
            <w:vAlign w:val="center"/>
          </w:tcPr>
          <w:p w14:paraId="7A5E80C3">
            <w:pPr>
              <w:keepNext w:val="0"/>
              <w:keepLines w:val="0"/>
              <w:widowControl/>
              <w:suppressLineNumbers w:val="0"/>
              <w:wordWrap w:val="0"/>
              <w:jc w:val="left"/>
            </w:pPr>
          </w:p>
        </w:tc>
        <w:tc>
          <w:tcPr>
            <w:tcW w:w="899" w:type="dxa"/>
            <w:shd w:val="clear" w:color="auto" w:fill="auto"/>
            <w:tcMar>
              <w:top w:w="75" w:type="dxa"/>
            </w:tcMar>
            <w:vAlign w:val="center"/>
          </w:tcPr>
          <w:p w14:paraId="57A2CDE6">
            <w:pPr>
              <w:keepNext w:val="0"/>
              <w:keepLines w:val="0"/>
              <w:widowControl/>
              <w:suppressLineNumbers w:val="0"/>
              <w:wordWrap w:val="0"/>
              <w:jc w:val="left"/>
            </w:pPr>
          </w:p>
        </w:tc>
        <w:tc>
          <w:tcPr>
            <w:tcW w:w="989" w:type="dxa"/>
            <w:shd w:val="clear" w:color="auto" w:fill="auto"/>
            <w:tcMar>
              <w:top w:w="75" w:type="dxa"/>
            </w:tcMar>
            <w:vAlign w:val="center"/>
          </w:tcPr>
          <w:p w14:paraId="3AF61165">
            <w:pPr>
              <w:keepNext w:val="0"/>
              <w:keepLines w:val="0"/>
              <w:widowControl/>
              <w:suppressLineNumbers w:val="0"/>
              <w:wordWrap w:val="0"/>
              <w:jc w:val="left"/>
            </w:pPr>
          </w:p>
        </w:tc>
      </w:tr>
    </w:tbl>
    <w:p w14:paraId="2B058324">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14:paraId="387C7759">
      <w:pPr>
        <w:pStyle w:val="2"/>
        <w:keepNext w:val="0"/>
        <w:keepLines w:val="0"/>
        <w:widowControl/>
        <w:suppressLineNumbers w:val="0"/>
        <w:spacing w:before="0" w:beforeAutospacing="0" w:after="0" w:afterAutospacing="0" w:line="420" w:lineRule="atLeast"/>
        <w:ind w:left="0" w:right="0"/>
      </w:pPr>
      <w:r>
        <w:rPr>
          <w:rFonts w:hint="eastAsia" w:ascii="方正仿宋_GBK" w:hAnsi="方正仿宋_GBK" w:eastAsia="方正仿宋_GBK" w:cs="方正仿宋_GBK"/>
          <w:i w:val="0"/>
          <w:caps w:val="0"/>
          <w:color w:val="000000"/>
          <w:spacing w:val="0"/>
          <w:sz w:val="31"/>
          <w:szCs w:val="31"/>
        </w:rPr>
        <w:t> 2．绩效自评报告或案例</w:t>
      </w:r>
    </w:p>
    <w:p w14:paraId="57B6F38A">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我单位未委托第三方开展绩效自评。</w:t>
      </w:r>
    </w:p>
    <w:p w14:paraId="2B63EECC">
      <w:pPr>
        <w:pStyle w:val="2"/>
        <w:keepNext w:val="0"/>
        <w:keepLines w:val="0"/>
        <w:widowControl/>
        <w:suppressLineNumbers w:val="0"/>
        <w:spacing w:before="0" w:beforeAutospacing="0" w:after="0" w:afterAutospacing="0" w:line="420" w:lineRule="atLeast"/>
        <w:ind w:left="0" w:right="0"/>
      </w:pPr>
      <w:r>
        <w:rPr>
          <w:rFonts w:hint="eastAsia" w:ascii="方正仿宋_GBK" w:hAnsi="方正仿宋_GBK" w:eastAsia="方正仿宋_GBK" w:cs="方正仿宋_GBK"/>
          <w:i w:val="0"/>
          <w:caps w:val="0"/>
          <w:color w:val="000000"/>
          <w:spacing w:val="0"/>
          <w:sz w:val="31"/>
          <w:szCs w:val="31"/>
        </w:rPr>
        <w:t> 3．关于绩效自评结果的说明</w:t>
      </w:r>
    </w:p>
    <w:p w14:paraId="3469C968">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我单位绩效自评均已完成年度绩效目标。</w:t>
      </w:r>
    </w:p>
    <w:p w14:paraId="726AF913">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（三）重点绩效评价结果</w:t>
      </w:r>
    </w:p>
    <w:p w14:paraId="37CB43AC">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我单位未委托第三方开展重点绩效评价。</w:t>
      </w:r>
    </w:p>
    <w:p w14:paraId="654AB25B">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六、专有名词解释</w:t>
      </w:r>
    </w:p>
    <w:p w14:paraId="7324A41B">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（一）财政拨款收入</w:t>
      </w:r>
      <w:r>
        <w:rPr>
          <w:rFonts w:hint="eastAsia" w:ascii="方正仿宋_GBK" w:hAnsi="方正仿宋_GBK" w:eastAsia="方正仿宋_GBK" w:cs="方正仿宋_GBK"/>
          <w:i w:val="0"/>
          <w:caps w:val="0"/>
          <w:color w:val="333333"/>
          <w:spacing w:val="0"/>
          <w:sz w:val="31"/>
          <w:szCs w:val="31"/>
          <w:shd w:val="clear" w:fill="FFFFFF"/>
        </w:rPr>
        <w:t>：指本年度从本级财政部门取得的财政拨款，包括一般公共预算财政拨款和政府性基金预算财政拨款。</w:t>
      </w:r>
    </w:p>
    <w:p w14:paraId="01ED34FD">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（二）事业收入</w:t>
      </w:r>
      <w:r>
        <w:rPr>
          <w:rFonts w:hint="eastAsia" w:ascii="方正仿宋_GBK" w:hAnsi="方正仿宋_GBK" w:eastAsia="方正仿宋_GBK" w:cs="方正仿宋_GBK"/>
          <w:i w:val="0"/>
          <w:caps w:val="0"/>
          <w:color w:val="333333"/>
          <w:spacing w:val="0"/>
          <w:sz w:val="31"/>
          <w:szCs w:val="31"/>
          <w:shd w:val="clear" w:fill="FFFFFF"/>
        </w:rPr>
        <w:t>：指事业单位开展专业业务活动及其辅助活动取得的现金流入；事业单位收到的财政专户实际核拨的教育收费等资金在此反映。</w:t>
      </w:r>
    </w:p>
    <w:p w14:paraId="5D05F146">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（三）经营收入</w:t>
      </w:r>
      <w:r>
        <w:rPr>
          <w:rFonts w:hint="eastAsia" w:ascii="方正仿宋_GBK" w:hAnsi="方正仿宋_GBK" w:eastAsia="方正仿宋_GBK" w:cs="方正仿宋_GBK"/>
          <w:i w:val="0"/>
          <w:caps w:val="0"/>
          <w:color w:val="333333"/>
          <w:spacing w:val="0"/>
          <w:sz w:val="31"/>
          <w:szCs w:val="31"/>
          <w:shd w:val="clear" w:fill="FFFFFF"/>
        </w:rPr>
        <w:t>：指事业单位在专业业务活动及其辅助活动之外开展非独立核算经营活动取得的现金流入。</w:t>
      </w:r>
    </w:p>
    <w:p w14:paraId="1D31B676">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（四）其他收入</w:t>
      </w:r>
      <w:r>
        <w:rPr>
          <w:rFonts w:hint="eastAsia" w:ascii="方正仿宋_GBK" w:hAnsi="方正仿宋_GBK" w:eastAsia="方正仿宋_GBK" w:cs="方正仿宋_GBK"/>
          <w:i w:val="0"/>
          <w:caps w:val="0"/>
          <w:color w:val="333333"/>
          <w:spacing w:val="0"/>
          <w:sz w:val="31"/>
          <w:szCs w:val="31"/>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313F5F">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（五）使用非财政拨款结余</w:t>
      </w:r>
      <w:r>
        <w:rPr>
          <w:rFonts w:hint="eastAsia" w:ascii="方正仿宋_GBK" w:hAnsi="方正仿宋_GBK" w:eastAsia="方正仿宋_GBK" w:cs="方正仿宋_GBK"/>
          <w:i w:val="0"/>
          <w:caps w:val="0"/>
          <w:color w:val="333333"/>
          <w:spacing w:val="0"/>
          <w:sz w:val="31"/>
          <w:szCs w:val="31"/>
          <w:shd w:val="clear" w:fill="FFFFFF"/>
        </w:rPr>
        <w:t>：指单位在当年的“财政拨款收入”、“事业收入”、“经营收入”、“其他收入”等不足以安排当年支出的情况下，使用以前年度积累的非财政拨款结余弥补本年度收支缺口的资金。</w:t>
      </w:r>
    </w:p>
    <w:p w14:paraId="4BBD40AA">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（六）年初结转和结余</w:t>
      </w:r>
      <w:r>
        <w:rPr>
          <w:rFonts w:hint="eastAsia" w:ascii="方正仿宋_GBK" w:hAnsi="方正仿宋_GBK" w:eastAsia="方正仿宋_GBK" w:cs="方正仿宋_GBK"/>
          <w:i w:val="0"/>
          <w:caps w:val="0"/>
          <w:color w:val="333333"/>
          <w:spacing w:val="0"/>
          <w:sz w:val="31"/>
          <w:szCs w:val="31"/>
          <w:shd w:val="clear" w:fill="FFFFFF"/>
        </w:rPr>
        <w:t>：指单位上年结转本年使用的基本支出结转、项目支出结转和结余、经营结余。</w:t>
      </w:r>
    </w:p>
    <w:p w14:paraId="2D6D8230">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（七）结余分配</w:t>
      </w:r>
      <w:r>
        <w:rPr>
          <w:rFonts w:hint="eastAsia" w:ascii="方正仿宋_GBK" w:hAnsi="方正仿宋_GBK" w:eastAsia="方正仿宋_GBK" w:cs="方正仿宋_GBK"/>
          <w:i w:val="0"/>
          <w:caps w:val="0"/>
          <w:color w:val="333333"/>
          <w:spacing w:val="0"/>
          <w:sz w:val="31"/>
          <w:szCs w:val="31"/>
          <w:shd w:val="clear" w:fill="FFFFFF"/>
        </w:rPr>
        <w:t>：指单位按照国家有关规定，缴纳所得税、提取专用基金、转入非财政拨款结余等当年结余的分配情况。</w:t>
      </w:r>
    </w:p>
    <w:p w14:paraId="30DC54F1">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（八）年末结转和结余</w:t>
      </w:r>
      <w:r>
        <w:rPr>
          <w:rFonts w:hint="eastAsia" w:ascii="方正仿宋_GBK" w:hAnsi="方正仿宋_GBK" w:eastAsia="方正仿宋_GBK" w:cs="方正仿宋_GBK"/>
          <w:i w:val="0"/>
          <w:caps w:val="0"/>
          <w:color w:val="333333"/>
          <w:spacing w:val="0"/>
          <w:sz w:val="31"/>
          <w:szCs w:val="31"/>
          <w:shd w:val="clear" w:fill="FFFFFF"/>
        </w:rPr>
        <w:t>：指单位结转下年的基本支出结转、项目支出结转和结余、经营结余。</w:t>
      </w:r>
    </w:p>
    <w:p w14:paraId="56EDA011">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（九）基本支出</w:t>
      </w:r>
      <w:r>
        <w:rPr>
          <w:rFonts w:hint="eastAsia" w:ascii="方正仿宋_GBK" w:hAnsi="方正仿宋_GBK" w:eastAsia="方正仿宋_GBK" w:cs="方正仿宋_GBK"/>
          <w:i w:val="0"/>
          <w:caps w:val="0"/>
          <w:color w:val="333333"/>
          <w:spacing w:val="0"/>
          <w:sz w:val="31"/>
          <w:szCs w:val="31"/>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109623">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（十）项目支出</w:t>
      </w:r>
      <w:r>
        <w:rPr>
          <w:rFonts w:hint="eastAsia" w:ascii="方正仿宋_GBK" w:hAnsi="方正仿宋_GBK" w:eastAsia="方正仿宋_GBK" w:cs="方正仿宋_GBK"/>
          <w:i w:val="0"/>
          <w:caps w:val="0"/>
          <w:color w:val="333333"/>
          <w:spacing w:val="0"/>
          <w:sz w:val="31"/>
          <w:szCs w:val="31"/>
          <w:shd w:val="clear" w:fill="FFFFFF"/>
        </w:rPr>
        <w:t>：指在基本支出之外为完成特定行政任务和事业发展目标所发生的支出。</w:t>
      </w:r>
    </w:p>
    <w:p w14:paraId="1986AE3F">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（十一）经营支出</w:t>
      </w:r>
      <w:r>
        <w:rPr>
          <w:rFonts w:hint="eastAsia" w:ascii="方正仿宋_GBK" w:hAnsi="方正仿宋_GBK" w:eastAsia="方正仿宋_GBK" w:cs="方正仿宋_GBK"/>
          <w:i w:val="0"/>
          <w:caps w:val="0"/>
          <w:color w:val="333333"/>
          <w:spacing w:val="0"/>
          <w:sz w:val="31"/>
          <w:szCs w:val="31"/>
          <w:shd w:val="clear" w:fill="FFFFFF"/>
        </w:rPr>
        <w:t>：指事业单位在专业业务活动及其辅助活动之外开展非独立核算经营活动发生的支出。</w:t>
      </w:r>
    </w:p>
    <w:p w14:paraId="4E671762">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（十二）“三公”经费</w:t>
      </w:r>
      <w:r>
        <w:rPr>
          <w:rFonts w:hint="eastAsia" w:ascii="方正仿宋_GBK" w:hAnsi="方正仿宋_GBK" w:eastAsia="方正仿宋_GBK" w:cs="方正仿宋_GBK"/>
          <w:i w:val="0"/>
          <w:caps w:val="0"/>
          <w:color w:val="333333"/>
          <w:spacing w:val="0"/>
          <w:sz w:val="31"/>
          <w:szCs w:val="31"/>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6612CE">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（十三）机关运行经费</w:t>
      </w:r>
      <w:r>
        <w:rPr>
          <w:rFonts w:hint="eastAsia" w:ascii="方正仿宋_GBK" w:hAnsi="方正仿宋_GBK" w:eastAsia="方正仿宋_GBK" w:cs="方正仿宋_GBK"/>
          <w:i w:val="0"/>
          <w:caps w:val="0"/>
          <w:color w:val="333333"/>
          <w:spacing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D2433A">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（十四）工资福利支出（支出经济分类科目类级）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：反映单位开支的在职职工和编制外长期聘用人员的各类劳动报酬，以及为上述人员缴纳的各项社会保险费等。</w:t>
      </w:r>
    </w:p>
    <w:p w14:paraId="4AB0A618">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（十五）商品和服务支出（支出经济分类科目类级）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：反映单位购买商品和服务的支出（不包括用于购置固定资产的支出、战略性和应急储备支出）。</w:t>
      </w:r>
    </w:p>
    <w:p w14:paraId="5956B89D">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（十六）对个人和家庭的补助（支出经济分类科目类级）</w:t>
      </w:r>
      <w:r>
        <w:rPr>
          <w:rFonts w:hint="eastAsia" w:ascii="方正仿宋_GBK" w:hAnsi="方正仿宋_GBK" w:eastAsia="方正仿宋_GBK" w:cs="方正仿宋_GBK"/>
          <w:i w:val="0"/>
          <w:caps w:val="0"/>
          <w:color w:val="333333"/>
          <w:spacing w:val="0"/>
          <w:sz w:val="31"/>
          <w:szCs w:val="31"/>
          <w:shd w:val="clear" w:fill="FFFFFF"/>
        </w:rPr>
        <w:t>：反映用于对个人和家庭的补助支出。</w:t>
      </w:r>
    </w:p>
    <w:p w14:paraId="5C1C238F">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（十七）其他资本性支出（支出经济分类科目类级）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14:paraId="407DED71">
      <w:pPr>
        <w:pStyle w:val="2"/>
        <w:keepNext w:val="0"/>
        <w:keepLines w:val="0"/>
        <w:widowControl/>
        <w:suppressLineNumbers w:val="0"/>
        <w:spacing w:before="0" w:beforeAutospacing="0" w:after="0" w:afterAutospacing="0" w:line="420" w:lineRule="atLeast"/>
        <w:ind w:left="0" w:right="0" w:firstLine="640"/>
      </w:pPr>
      <w:r>
        <w:rPr>
          <w:rFonts w:hint="eastAsia" w:ascii="方正黑体_GBK" w:hAnsi="方正黑体_GBK" w:eastAsia="方正黑体_GBK" w:cs="方正黑体_GBK"/>
          <w:i w:val="0"/>
          <w:caps w:val="0"/>
          <w:color w:val="000000"/>
          <w:spacing w:val="0"/>
          <w:sz w:val="31"/>
          <w:szCs w:val="31"/>
        </w:rPr>
        <w:t>​七、决算公开联系方式及信息反馈渠道</w:t>
      </w:r>
    </w:p>
    <w:p w14:paraId="34223600">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本单位决算公开信息反馈和联系方式：</w:t>
      </w:r>
    </w:p>
    <w:p w14:paraId="0EFD5589">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黄桂圆      023-70663001</w:t>
      </w:r>
    </w:p>
    <w:p w14:paraId="029C4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textAlignment w:val="auto"/>
        <w:rPr>
          <w:sz w:val="31"/>
          <w:szCs w:val="31"/>
        </w:rPr>
      </w:pPr>
    </w:p>
    <w:p w14:paraId="4DF9D5CF">
      <w:pPr>
        <w:keepNext w:val="0"/>
        <w:keepLines w:val="0"/>
        <w:pageBreakBefore w:val="0"/>
        <w:kinsoku/>
        <w:overflowPunct/>
        <w:topLinePunct w:val="0"/>
        <w:autoSpaceDE/>
        <w:autoSpaceDN/>
        <w:bidi w:val="0"/>
        <w:adjustRightInd/>
        <w:snapToGrid/>
        <w:ind w:left="0"/>
        <w:jc w:val="both"/>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ZlN2ZjM2Q0NzU3NTgyM2Q0NzY5YjkxMGRiNzgifQ=="/>
  </w:docVars>
  <w:rsids>
    <w:rsidRoot w:val="11171C1D"/>
    <w:rsid w:val="11171C1D"/>
    <w:rsid w:val="44C841F6"/>
    <w:rsid w:val="6FF5A2E8"/>
    <w:rsid w:val="72DEC010"/>
    <w:rsid w:val="7FBEE7BF"/>
    <w:rsid w:val="8BFCAB06"/>
    <w:rsid w:val="8FFD08D2"/>
    <w:rsid w:val="B3F7AE9B"/>
    <w:rsid w:val="CEBDB026"/>
    <w:rsid w:val="E7DFEDB0"/>
    <w:rsid w:val="FFD2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3675</Words>
  <Characters>4265</Characters>
  <Lines>0</Lines>
  <Paragraphs>0</Paragraphs>
  <TotalTime>3</TotalTime>
  <ScaleCrop>false</ScaleCrop>
  <LinksUpToDate>false</LinksUpToDate>
  <CharactersWithSpaces>4272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2023-12-14T21:20:00Z</dcterms:created>
  <dc:creator>Administrator</dc:creator>
  <cp:lastModifiedBy>温星星</cp:lastModifiedBy>
  <dcterms:modified xsi:type="dcterms:W3CDTF">2025-06-17T07:20:21Z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768D105482C642F2888C5FC97F570B81_11</vt:lpwstr>
  </property>
  <property fmtid="{D5CDD505-2E9C-101B-9397-08002B2CF9AE}" pid="4" name="KSOTemplateDocerSaveRecord">
    <vt:lpwstr>eyJoZGlkIjoiZDRlMTI0ZmZkNWVkNDk2ZTg4NWYwOTQyMjQxMmY4NGEiLCJ1c2VySWQiOiIxMzIzODcwMDMzIn0=</vt:lpwstr>
  </property>
</Properties>
</file>