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2" w:firstLineChars="200"/>
        <w:textAlignment w:val="auto"/>
        <w:rPr>
          <w:rStyle w:val="10"/>
          <w:rFonts w:hint="default" w:ascii="黑体" w:hAnsi="黑体" w:eastAsia="黑体" w:cs="黑体"/>
          <w:sz w:val="32"/>
          <w:szCs w:val="32"/>
          <w:shd w:val="clear" w:color="auto" w:fill="FFFFFF"/>
        </w:rPr>
      </w:pPr>
      <w:bookmarkStart w:id="0" w:name="_GoBack"/>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楷体_GBK"/>
          <w:sz w:val="32"/>
          <w:szCs w:val="32"/>
        </w:rPr>
      </w:pPr>
      <w:r>
        <w:rPr>
          <w:rFonts w:ascii="Times New Roman" w:hAnsi="Times New Roman" w:eastAsia="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i w:val="0"/>
          <w:iCs w:val="0"/>
          <w:caps w:val="0"/>
          <w:color w:val="333333"/>
          <w:spacing w:val="0"/>
          <w:sz w:val="32"/>
          <w:szCs w:val="32"/>
          <w:shd w:val="clear" w:fill="FFFFFF"/>
        </w:rPr>
        <w:t>（1）执行本级人民代表大会的决议和上级国家行政机关的决定和命令，发布决定和命令。（2）执行本行政区域内的经济和社会发展计划，加强公共设施的建设和管理，发展各项服务事业。（3）依法管理本级财政、执行本级预算。（4）为农民提供有效的科技、教育、文化、信息、卫生、体育、医疗、人才开发、劳动就业、安全生产等方面的服务。（5）保护国有资产和集体所有的财产，保护公民私人所有的合法财产、保障公民的人身权利、民主权利和其他权利，保护各种组织的合法权益。（6）开展社会主义民主与法制教育，加强社会治安综合治理，调解民事纠纷，维护社会秩序。（7）推行计划生育，控制人口增长，保护妇女、儿童和老人的合法权益。（8）负责民政工作，发展社会福利事业，做好社会保障工作，办理兵役事项。（9）承办上级人民政府交办的其他事项。</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rPr>
      </w:pPr>
      <w:r>
        <w:rPr>
          <w:rFonts w:hint="eastAsia" w:ascii="Times New Roman" w:hAnsi="Times New Roman" w:eastAsia="方正仿宋_GBK" w:cs="Times New Roman"/>
          <w:i w:val="0"/>
          <w:iCs w:val="0"/>
          <w:caps w:val="0"/>
          <w:color w:val="333333"/>
          <w:spacing w:val="0"/>
          <w:sz w:val="32"/>
          <w:szCs w:val="32"/>
          <w:shd w:val="clear" w:fill="FFFFFF"/>
        </w:rPr>
        <w:t>丰都县江池镇</w:t>
      </w:r>
      <w:r>
        <w:rPr>
          <w:rFonts w:hint="eastAsia" w:ascii="Times New Roman" w:hAnsi="Times New Roman" w:eastAsia="方正仿宋_GBK" w:cs="Times New Roman"/>
          <w:i w:val="0"/>
          <w:iCs w:val="0"/>
          <w:caps w:val="0"/>
          <w:color w:val="333333"/>
          <w:spacing w:val="0"/>
          <w:sz w:val="32"/>
          <w:szCs w:val="32"/>
          <w:shd w:val="clear" w:fill="FFFFFF"/>
          <w:lang w:val="en-US" w:eastAsia="zh-CN"/>
        </w:rPr>
        <w:t>人民政府内设</w:t>
      </w:r>
      <w:r>
        <w:rPr>
          <w:rFonts w:hint="eastAsia" w:ascii="Times New Roman" w:hAnsi="Times New Roman" w:eastAsia="方正仿宋_GBK" w:cs="Times New Roman"/>
          <w:i w:val="0"/>
          <w:iCs w:val="0"/>
          <w:caps w:val="0"/>
          <w:color w:val="333333"/>
          <w:spacing w:val="0"/>
          <w:sz w:val="32"/>
          <w:szCs w:val="32"/>
          <w:shd w:val="clear" w:fill="FFFFFF"/>
        </w:rPr>
        <w:t>机构</w:t>
      </w:r>
      <w:r>
        <w:rPr>
          <w:rFonts w:hint="eastAsia" w:ascii="Times New Roman" w:hAnsi="Times New Roman" w:eastAsia="方正仿宋_GBK" w:cs="Times New Roman"/>
          <w:i w:val="0"/>
          <w:iCs w:val="0"/>
          <w:caps w:val="0"/>
          <w:color w:val="333333"/>
          <w:spacing w:val="0"/>
          <w:sz w:val="32"/>
          <w:szCs w:val="32"/>
          <w:shd w:val="clear" w:fill="FFFFFF"/>
          <w:lang w:val="en-US" w:eastAsia="zh-CN"/>
        </w:rPr>
        <w:t>5个</w:t>
      </w:r>
      <w:r>
        <w:rPr>
          <w:rFonts w:hint="eastAsia"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基层治理综合指挥室</w:t>
      </w:r>
      <w:r>
        <w:rPr>
          <w:rFonts w:hint="eastAsia"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党的建设办公室</w:t>
      </w:r>
      <w:r>
        <w:rPr>
          <w:rFonts w:hint="eastAsia"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经济发展办公室</w:t>
      </w:r>
      <w:r>
        <w:rPr>
          <w:rFonts w:hint="eastAsia"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民生服务办公室</w:t>
      </w:r>
      <w:r>
        <w:rPr>
          <w:rFonts w:hint="eastAsia"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平安法治办公室</w:t>
      </w:r>
      <w:r>
        <w:rPr>
          <w:rFonts w:hint="eastAsia" w:ascii="Times New Roman" w:hAnsi="Times New Roman" w:eastAsia="方正仿宋_GBK" w:cs="Times New Roman"/>
          <w:i w:val="0"/>
          <w:iCs w:val="0"/>
          <w:caps w:val="0"/>
          <w:color w:val="333333"/>
          <w:spacing w:val="0"/>
          <w:sz w:val="32"/>
          <w:szCs w:val="32"/>
          <w:shd w:val="clear" w:fill="FFFFFF"/>
          <w:lang w:eastAsia="zh-CN"/>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镇纪委、武装部按照有关规定设置。工会、团委、妇联等群团按章程设置；事业单位5个：便民服务中心（退役军人服务站）、综合行政执法大队、新时代文明实践服务中心、产业发展服务中心、</w:t>
      </w:r>
      <w:r>
        <w:rPr>
          <w:rFonts w:hint="default" w:ascii="Times New Roman" w:hAnsi="Times New Roman" w:eastAsia="方正仿宋_GBK" w:cs="Times New Roman"/>
          <w:i w:val="0"/>
          <w:iCs w:val="0"/>
          <w:caps w:val="0"/>
          <w:color w:val="333333"/>
          <w:spacing w:val="0"/>
          <w:sz w:val="32"/>
          <w:szCs w:val="32"/>
          <w:shd w:val="clear" w:fill="FFFFFF"/>
          <w:lang w:val="en-US" w:eastAsia="zh-CN"/>
        </w:rPr>
        <w:t>村镇建设服务中心</w:t>
      </w:r>
      <w:r>
        <w:rPr>
          <w:rFonts w:hint="eastAsia" w:ascii="Times New Roman" w:hAnsi="Times New Roman" w:eastAsia="方正仿宋_GBK" w:cs="Times New Roman"/>
          <w:i w:val="0"/>
          <w:iCs w:val="0"/>
          <w:caps w:val="0"/>
          <w:color w:val="333333"/>
          <w:spacing w:val="0"/>
          <w:sz w:val="32"/>
          <w:szCs w:val="32"/>
          <w:shd w:val="clear" w:fill="FFFFFF"/>
          <w:lang w:val="en-US"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（一）收入支出决算总体情况说明</w:t>
      </w:r>
      <w:r>
        <w:rPr>
          <w:rFonts w:hint="eastAsia" w:ascii="Times New Roman" w:hAnsi="Times New Roman" w:eastAsia="方正楷体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2024年度收</w:t>
      </w:r>
      <w:r>
        <w:rPr>
          <w:rFonts w:hint="eastAsia" w:ascii="Times New Roman" w:hAnsi="Times New Roman" w:eastAsia="方正仿宋_GBK" w:cs="Times New Roman"/>
          <w:sz w:val="32"/>
          <w:szCs w:val="32"/>
        </w:rPr>
        <w:t>、支</w:t>
      </w:r>
      <w:r>
        <w:rPr>
          <w:rFonts w:ascii="Times New Roman" w:hAnsi="Times New Roman" w:eastAsia="方正仿宋_GBK" w:cs="Times New Roman"/>
          <w:sz w:val="32"/>
          <w:szCs w:val="32"/>
        </w:rPr>
        <w:t>总计</w:t>
      </w:r>
      <w:r>
        <w:rPr>
          <w:rFonts w:hint="eastAsia" w:ascii="Times New Roman" w:hAnsi="Times New Roman" w:eastAsia="方正仿宋_GBK" w:cs="Times New Roman"/>
          <w:sz w:val="32"/>
          <w:szCs w:val="32"/>
        </w:rPr>
        <w:t>均为2878.40</w:t>
      </w:r>
      <w:r>
        <w:rPr>
          <w:rFonts w:ascii="Times New Roman" w:hAnsi="Times New Roman" w:eastAsia="方正仿宋_GBK" w:cs="Times New Roman"/>
          <w:sz w:val="32"/>
          <w:szCs w:val="32"/>
        </w:rPr>
        <w:t>万元，收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支</w:t>
      </w:r>
      <w:r>
        <w:rPr>
          <w:rFonts w:hint="eastAsia" w:ascii="Times New Roman" w:hAnsi="Times New Roman" w:eastAsia="方正仿宋_GBK" w:cs="Times New Roman"/>
          <w:sz w:val="32"/>
          <w:szCs w:val="32"/>
        </w:rPr>
        <w:t>与2</w:t>
      </w:r>
      <w:r>
        <w:rPr>
          <w:rFonts w:ascii="Times New Roman" w:hAnsi="Times New Roman" w:eastAsia="方正仿宋_GBK" w:cs="Times New Roman"/>
          <w:sz w:val="32"/>
          <w:szCs w:val="32"/>
        </w:rPr>
        <w:t>023</w:t>
      </w:r>
      <w:r>
        <w:rPr>
          <w:rFonts w:hint="eastAsia" w:ascii="Times New Roman" w:hAnsi="Times New Roman" w:eastAsia="方正仿宋_GBK" w:cs="Times New Roman"/>
          <w:sz w:val="32"/>
          <w:szCs w:val="32"/>
        </w:rPr>
        <w:t>年度相比，</w:t>
      </w:r>
      <w:r>
        <w:rPr>
          <w:rFonts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48.82</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增长</w:t>
      </w:r>
      <w:r>
        <w:rPr>
          <w:rFonts w:hint="eastAsia" w:ascii="Times New Roman" w:hAnsi="Times New Roman" w:eastAsia="方正仿宋_GBK" w:cs="Times New Roman"/>
          <w:sz w:val="32"/>
          <w:szCs w:val="32"/>
          <w:lang w:val="en-US" w:eastAsia="zh-CN"/>
        </w:rPr>
        <w:t>1.73</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rPr>
        <w:t>年中人员变动及专项工作经费增加</w:t>
      </w:r>
      <w:r>
        <w:rPr>
          <w:rFonts w:ascii="Times New Roman" w:hAnsi="Times New Roman" w:eastAsia="方正仿宋_GBK" w:cs="Times New Roman"/>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收入情况。2024年度收入合计</w:t>
      </w:r>
      <w:r>
        <w:rPr>
          <w:rFonts w:hint="eastAsia" w:ascii="Times New Roman" w:hAnsi="Times New Roman" w:eastAsia="方正仿宋_GBK" w:cs="Times New Roman"/>
          <w:sz w:val="32"/>
          <w:szCs w:val="32"/>
          <w:lang w:val="en-US" w:eastAsia="zh-CN"/>
        </w:rPr>
        <w:t>2840.24</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与2</w:t>
      </w:r>
      <w:r>
        <w:rPr>
          <w:rFonts w:ascii="Times New Roman" w:hAnsi="Times New Roman" w:eastAsia="方正仿宋_GBK" w:cs="Times New Roman"/>
          <w:sz w:val="32"/>
          <w:szCs w:val="32"/>
        </w:rPr>
        <w:t>023</w:t>
      </w:r>
      <w:r>
        <w:rPr>
          <w:rFonts w:hint="eastAsia" w:ascii="Times New Roman" w:hAnsi="Times New Roman" w:eastAsia="方正仿宋_GBK" w:cs="Times New Roman"/>
          <w:sz w:val="32"/>
          <w:szCs w:val="32"/>
        </w:rPr>
        <w:t>年度相比，</w:t>
      </w:r>
      <w:r>
        <w:rPr>
          <w:rFonts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186.40</w:t>
      </w:r>
      <w:r>
        <w:rPr>
          <w:rFonts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7.02</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rPr>
        <w:t>年中人员变动、专项工作经费增加</w:t>
      </w:r>
      <w:r>
        <w:rPr>
          <w:rFonts w:ascii="Times New Roman" w:hAnsi="Times New Roman" w:eastAsia="方正仿宋_GBK" w:cs="Times New Roman"/>
          <w:sz w:val="32"/>
          <w:szCs w:val="32"/>
        </w:rPr>
        <w:t>。其中：财政拨款收入</w:t>
      </w:r>
      <w:r>
        <w:rPr>
          <w:rFonts w:hint="eastAsia" w:ascii="Times New Roman" w:hAnsi="Times New Roman" w:eastAsia="方正仿宋_GBK" w:cs="Times New Roman"/>
          <w:sz w:val="32"/>
          <w:szCs w:val="32"/>
          <w:lang w:val="en-US" w:eastAsia="zh-CN"/>
        </w:rPr>
        <w:t>2840.24</w:t>
      </w:r>
      <w:r>
        <w:rPr>
          <w:rFonts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100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事业收入0.00万元，占0.00%；</w:t>
      </w:r>
      <w:r>
        <w:rPr>
          <w:rFonts w:hint="eastAsia" w:ascii="Times New Roman" w:hAnsi="Times New Roman" w:eastAsia="方正仿宋_GBK" w:cs="Times New Roman"/>
          <w:sz w:val="32"/>
          <w:szCs w:val="32"/>
        </w:rPr>
        <w:t>经营收入0.00万元，占0.00%；</w:t>
      </w:r>
      <w:r>
        <w:rPr>
          <w:rFonts w:hint="eastAsia" w:ascii="Times New Roman" w:hAnsi="Times New Roman" w:eastAsia="方正仿宋_GBK" w:cs="Times New Roman"/>
          <w:sz w:val="32"/>
          <w:szCs w:val="32"/>
          <w:lang w:val="en-US" w:eastAsia="zh-CN"/>
        </w:rPr>
        <w:t>附属单位上缴收入0.00万元，占0.00%；</w:t>
      </w:r>
      <w:r>
        <w:rPr>
          <w:rFonts w:hint="eastAsia" w:ascii="Times New Roman" w:hAnsi="Times New Roman" w:eastAsia="方正仿宋_GBK" w:cs="Times New Roman"/>
          <w:sz w:val="32"/>
          <w:szCs w:val="32"/>
        </w:rPr>
        <w:t>其他收入0.00万元，占0.00%。</w:t>
      </w:r>
      <w:r>
        <w:rPr>
          <w:rFonts w:ascii="Times New Roman" w:hAnsi="Times New Roman" w:eastAsia="方正仿宋_GBK" w:cs="Times New Roman"/>
          <w:sz w:val="32"/>
          <w:szCs w:val="32"/>
        </w:rPr>
        <w:t>此外，使用非财政拨款结余</w:t>
      </w:r>
      <w:r>
        <w:rPr>
          <w:rFonts w:hint="eastAsia" w:ascii="Times New Roman" w:hAnsi="Times New Roman" w:eastAsia="方正仿宋_GBK" w:cs="Times New Roman"/>
          <w:sz w:val="32"/>
          <w:szCs w:val="32"/>
        </w:rPr>
        <w:t>（含专用结余）</w:t>
      </w:r>
      <w:r>
        <w:rPr>
          <w:rFonts w:hint="eastAsia" w:ascii="Times New Roman" w:hAnsi="Times New Roman" w:eastAsia="方正仿宋_GBK" w:cs="Times New Roman"/>
          <w:sz w:val="32"/>
          <w:szCs w:val="32"/>
          <w:lang w:val="en-US" w:eastAsia="zh-CN"/>
        </w:rPr>
        <w:t>0.00</w:t>
      </w:r>
      <w:r>
        <w:rPr>
          <w:rFonts w:ascii="Times New Roman" w:hAnsi="Times New Roman" w:eastAsia="方正仿宋_GBK" w:cs="Times New Roman"/>
          <w:sz w:val="32"/>
          <w:szCs w:val="32"/>
        </w:rPr>
        <w:t>万元，年初结转和结余</w:t>
      </w:r>
      <w:r>
        <w:rPr>
          <w:rFonts w:hint="eastAsia" w:ascii="Times New Roman" w:hAnsi="Times New Roman" w:eastAsia="方正仿宋_GBK" w:cs="Times New Roman"/>
          <w:sz w:val="32"/>
          <w:szCs w:val="32"/>
          <w:lang w:val="en-US" w:eastAsia="zh-CN"/>
        </w:rPr>
        <w:t>38.17</w:t>
      </w:r>
      <w:r>
        <w:rPr>
          <w:rFonts w:ascii="Times New Roman" w:hAnsi="Times New Roman" w:eastAsia="方正仿宋_GBK" w:cs="Times New Roman"/>
          <w:sz w:val="32"/>
          <w:szCs w:val="32"/>
        </w:rPr>
        <w:t>万元。</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cs="Times New Roman"/>
          <w:sz w:val="32"/>
          <w:szCs w:val="32"/>
        </w:rPr>
        <w:t>支出情况。2024年度支出合计</w:t>
      </w:r>
      <w:r>
        <w:rPr>
          <w:rFonts w:hint="eastAsia" w:ascii="Times New Roman" w:hAnsi="Times New Roman" w:eastAsia="方正仿宋_GBK" w:cs="Times New Roman"/>
          <w:sz w:val="32"/>
          <w:szCs w:val="32"/>
          <w:lang w:val="en-US" w:eastAsia="zh-CN"/>
        </w:rPr>
        <w:t>2878.40</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与2</w:t>
      </w:r>
      <w:r>
        <w:rPr>
          <w:rFonts w:ascii="Times New Roman" w:hAnsi="Times New Roman" w:eastAsia="方正仿宋_GBK" w:cs="Times New Roman"/>
          <w:sz w:val="32"/>
          <w:szCs w:val="32"/>
        </w:rPr>
        <w:t>023</w:t>
      </w:r>
      <w:r>
        <w:rPr>
          <w:rFonts w:hint="eastAsia" w:ascii="Times New Roman" w:hAnsi="Times New Roman" w:eastAsia="方正仿宋_GBK" w:cs="Times New Roman"/>
          <w:sz w:val="32"/>
          <w:szCs w:val="32"/>
        </w:rPr>
        <w:t>年度相比，</w:t>
      </w:r>
      <w:r>
        <w:rPr>
          <w:rFonts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50.22</w:t>
      </w:r>
      <w:r>
        <w:rPr>
          <w:rFonts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1.77</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rPr>
        <w:t>年中人员变动以及增加了专项工作经费，如</w:t>
      </w:r>
      <w:r>
        <w:rPr>
          <w:rFonts w:hint="eastAsia" w:ascii="Times New Roman" w:hAnsi="Times New Roman" w:eastAsia="方正仿宋_GBK" w:cs="Times New Roman"/>
          <w:sz w:val="32"/>
          <w:szCs w:val="32"/>
          <w:lang w:val="en-US" w:eastAsia="zh-CN"/>
        </w:rPr>
        <w:t>社区养老服务中心建设</w:t>
      </w:r>
      <w:r>
        <w:rPr>
          <w:rFonts w:hint="eastAsia" w:ascii="Times New Roman" w:hAnsi="Times New Roman" w:eastAsia="方正仿宋_GBK" w:cs="Times New Roman"/>
          <w:sz w:val="32"/>
          <w:szCs w:val="32"/>
        </w:rPr>
        <w:t>、农村公路安保工程、林业有害生物防治、农村公路养护经费等项目</w:t>
      </w:r>
      <w:r>
        <w:rPr>
          <w:rFonts w:ascii="Times New Roman" w:hAnsi="Times New Roman" w:eastAsia="方正仿宋_GBK" w:cs="Times New Roman"/>
          <w:sz w:val="32"/>
          <w:szCs w:val="32"/>
        </w:rPr>
        <w:t>。其</w:t>
      </w:r>
      <w:r>
        <w:rPr>
          <w:rFonts w:ascii="Times New Roman" w:hAnsi="Times New Roman" w:eastAsia="方正仿宋_GBK"/>
          <w:sz w:val="32"/>
          <w:szCs w:val="32"/>
        </w:rPr>
        <w:t>中：基本支出</w:t>
      </w:r>
      <w:r>
        <w:rPr>
          <w:rFonts w:hint="eastAsia" w:ascii="Times New Roman" w:hAnsi="Times New Roman" w:eastAsia="方正仿宋_GBK"/>
          <w:sz w:val="32"/>
          <w:szCs w:val="32"/>
          <w:lang w:val="en-US" w:eastAsia="zh-CN"/>
        </w:rPr>
        <w:t>1779.70</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61.83</w:t>
      </w:r>
      <w:r>
        <w:rPr>
          <w:rFonts w:ascii="Times New Roman" w:hAnsi="Times New Roman" w:eastAsia="方正仿宋_GBK"/>
          <w:sz w:val="32"/>
          <w:szCs w:val="32"/>
        </w:rPr>
        <w:t>%；项目支出</w:t>
      </w:r>
      <w:r>
        <w:rPr>
          <w:rFonts w:hint="eastAsia" w:ascii="Times New Roman" w:hAnsi="Times New Roman" w:eastAsia="方正仿宋_GBK"/>
          <w:sz w:val="32"/>
          <w:szCs w:val="32"/>
          <w:lang w:val="en-US" w:eastAsia="zh-CN"/>
        </w:rPr>
        <w:t>1098.70</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38.17</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上缴上级支出0.00万元，占0.00%；经营支出0.00万元，占0.00%；对附属单位补助支出0.00万元，占0.00%</w:t>
      </w:r>
      <w:r>
        <w:rPr>
          <w:rFonts w:hint="eastAsia" w:ascii="Times New Roman" w:hAnsi="Times New Roman" w:eastAsia="方正仿宋_GBK"/>
          <w:sz w:val="32"/>
          <w:szCs w:val="32"/>
        </w:rPr>
        <w:t>。</w:t>
      </w:r>
      <w:r>
        <w:rPr>
          <w:rFonts w:ascii="Times New Roman" w:hAnsi="Times New Roman" w:eastAsia="方正仿宋_GBK"/>
          <w:sz w:val="32"/>
          <w:szCs w:val="32"/>
        </w:rPr>
        <w:t>此外，结余分配</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b/>
          <w:bCs/>
          <w:sz w:val="32"/>
          <w:szCs w:val="32"/>
        </w:rPr>
      </w:pPr>
      <w:r>
        <w:rPr>
          <w:rFonts w:hint="eastAsia" w:ascii="Times New Roman" w:hAnsi="Times New Roman" w:eastAsia="方正仿宋_GBK"/>
          <w:sz w:val="32"/>
          <w:szCs w:val="32"/>
        </w:rPr>
        <w:t>3．结转结余情况。2024年度年末结转和结余</w:t>
      </w:r>
      <w:r>
        <w:rPr>
          <w:rFonts w:hint="eastAsia" w:ascii="Times New Roman" w:hAnsi="Times New Roman" w:eastAsia="方正仿宋_GBK"/>
          <w:sz w:val="32"/>
          <w:szCs w:val="32"/>
          <w:lang w:val="en-US" w:eastAsia="zh-CN"/>
        </w:rPr>
        <w:t>0.00</w:t>
      </w:r>
      <w:r>
        <w:rPr>
          <w:rFonts w:hint="eastAsia" w:ascii="Times New Roman" w:hAnsi="Times New Roman" w:eastAsia="方正仿宋_GBK"/>
          <w:sz w:val="32"/>
          <w:szCs w:val="32"/>
        </w:rPr>
        <w:t>万元，与2023年度相比，</w:t>
      </w:r>
      <w:r>
        <w:rPr>
          <w:rFonts w:hint="eastAsia" w:ascii="Times New Roman" w:hAnsi="Times New Roman" w:eastAsia="方正仿宋_GBK"/>
          <w:sz w:val="32"/>
          <w:szCs w:val="32"/>
          <w:lang w:val="en-US" w:eastAsia="zh-CN"/>
        </w:rPr>
        <w:t>减少1.40</w:t>
      </w:r>
      <w:r>
        <w:rPr>
          <w:rFonts w:hint="eastAsia" w:ascii="Times New Roman" w:hAnsi="Times New Roman" w:eastAsia="方正仿宋_GBK"/>
          <w:sz w:val="32"/>
          <w:szCs w:val="32"/>
        </w:rPr>
        <w:t>万元，</w:t>
      </w:r>
      <w:r>
        <w:rPr>
          <w:rFonts w:hint="eastAsia" w:ascii="Times New Roman" w:hAnsi="Times New Roman" w:eastAsia="方正仿宋_GBK"/>
          <w:sz w:val="32"/>
          <w:szCs w:val="32"/>
          <w:lang w:val="en-US" w:eastAsia="zh-CN"/>
        </w:rPr>
        <w:t>下降100</w:t>
      </w:r>
      <w:r>
        <w:rPr>
          <w:rFonts w:hint="eastAsia" w:ascii="Times New Roman" w:hAnsi="Times New Roman" w:eastAsia="方正仿宋_GBK"/>
          <w:sz w:val="32"/>
          <w:szCs w:val="32"/>
        </w:rPr>
        <w:t>%，主要原因是本年度进行了会计差错更正。</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(二)财政拨款收入支出决算总体情况说明</w:t>
      </w:r>
      <w:r>
        <w:rPr>
          <w:rFonts w:hint="eastAsia" w:ascii="Times New Roman" w:hAnsi="Times New Roman" w:eastAsia="方正楷体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2024年度财政拨款收、支总计均为</w:t>
      </w:r>
      <w:r>
        <w:rPr>
          <w:rFonts w:hint="eastAsia" w:ascii="Times New Roman" w:hAnsi="Times New Roman" w:eastAsia="方正仿宋_GBK"/>
          <w:sz w:val="32"/>
          <w:szCs w:val="32"/>
          <w:lang w:val="en-US" w:eastAsia="zh-CN"/>
        </w:rPr>
        <w:t>2878.40</w:t>
      </w:r>
      <w:r>
        <w:rPr>
          <w:rFonts w:hint="eastAsia" w:ascii="Times New Roman" w:hAnsi="Times New Roman" w:eastAsia="方正仿宋_GBK"/>
          <w:sz w:val="32"/>
          <w:szCs w:val="32"/>
        </w:rPr>
        <w:t>万元。与2023年度相比，财政拨款收、支总计各增加</w:t>
      </w:r>
      <w:r>
        <w:rPr>
          <w:rFonts w:hint="eastAsia" w:ascii="Times New Roman" w:hAnsi="Times New Roman" w:eastAsia="方正仿宋_GBK"/>
          <w:sz w:val="32"/>
          <w:szCs w:val="32"/>
          <w:lang w:val="en-US" w:eastAsia="zh-CN"/>
        </w:rPr>
        <w:t>48.82</w:t>
      </w:r>
      <w:r>
        <w:rPr>
          <w:rFonts w:hint="eastAsia"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1.73</w:t>
      </w:r>
      <w:r>
        <w:rPr>
          <w:rFonts w:hint="eastAsia" w:ascii="Times New Roman" w:hAnsi="Times New Roman" w:eastAsia="方正仿宋_GBK"/>
          <w:sz w:val="32"/>
          <w:szCs w:val="32"/>
        </w:rPr>
        <w:t>%。主要原因是年中人员变动，增人增资；以及增加了专项工作经费，如</w:t>
      </w:r>
      <w:r>
        <w:rPr>
          <w:rFonts w:hint="eastAsia" w:ascii="Times New Roman" w:hAnsi="Times New Roman" w:eastAsia="方正仿宋_GBK"/>
          <w:sz w:val="32"/>
          <w:szCs w:val="32"/>
          <w:lang w:val="en-US" w:eastAsia="zh-CN"/>
        </w:rPr>
        <w:t>社区养老服务中心建设</w:t>
      </w:r>
      <w:r>
        <w:rPr>
          <w:rFonts w:hint="eastAsia" w:ascii="Times New Roman" w:hAnsi="Times New Roman" w:eastAsia="方正仿宋_GBK"/>
          <w:sz w:val="32"/>
          <w:szCs w:val="32"/>
        </w:rPr>
        <w:t>、乡村公路安保工程、林业有害生物防治等项目。</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（三）一般公共预算财政拨款</w:t>
      </w:r>
      <w:r>
        <w:rPr>
          <w:rFonts w:hint="eastAsia" w:ascii="Times New Roman" w:hAnsi="Times New Roman" w:eastAsia="方正楷体_GBK"/>
          <w:sz w:val="32"/>
          <w:szCs w:val="32"/>
        </w:rPr>
        <w:t>收入</w:t>
      </w:r>
      <w:r>
        <w:rPr>
          <w:rFonts w:ascii="Times New Roman" w:hAnsi="Times New Roman" w:eastAsia="方正楷体_GBK"/>
          <w:sz w:val="32"/>
          <w:szCs w:val="32"/>
        </w:rPr>
        <w:t>支出决算情况说明</w:t>
      </w:r>
      <w:r>
        <w:rPr>
          <w:rFonts w:hint="eastAsia" w:ascii="Times New Roman" w:hAnsi="Times New Roman" w:eastAsia="方正楷体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1．收入情况。2024年度一般公共预算财政拨款收入</w:t>
      </w:r>
      <w:r>
        <w:rPr>
          <w:rFonts w:hint="eastAsia" w:ascii="Times New Roman" w:hAnsi="Times New Roman" w:eastAsia="方正仿宋_GBK"/>
          <w:sz w:val="32"/>
          <w:szCs w:val="32"/>
          <w:lang w:val="en-US" w:eastAsia="zh-CN"/>
        </w:rPr>
        <w:t>2815.87</w:t>
      </w:r>
      <w:r>
        <w:rPr>
          <w:rFonts w:hint="eastAsia" w:ascii="Times New Roman" w:hAnsi="Times New Roman" w:eastAsia="方正仿宋_GBK"/>
          <w:sz w:val="32"/>
          <w:szCs w:val="32"/>
        </w:rPr>
        <w:t>万元，与2023年度相比，增加</w:t>
      </w:r>
      <w:r>
        <w:rPr>
          <w:rFonts w:hint="eastAsia" w:ascii="Times New Roman" w:hAnsi="Times New Roman" w:eastAsia="方正仿宋_GBK"/>
          <w:sz w:val="32"/>
          <w:szCs w:val="32"/>
          <w:lang w:val="en-US" w:eastAsia="zh-CN"/>
        </w:rPr>
        <w:t>240.27</w:t>
      </w:r>
      <w:r>
        <w:rPr>
          <w:rFonts w:hint="eastAsia"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9.33</w:t>
      </w:r>
      <w:r>
        <w:rPr>
          <w:rFonts w:hint="eastAsia" w:ascii="Times New Roman" w:hAnsi="Times New Roman" w:eastAsia="方正仿宋_GBK"/>
          <w:sz w:val="32"/>
          <w:szCs w:val="32"/>
        </w:rPr>
        <w:t>%。主要原因是年中人员变动，增人增资；以及增加了专项工作经费。较年初预算数增加</w:t>
      </w:r>
      <w:r>
        <w:rPr>
          <w:rFonts w:hint="eastAsia" w:ascii="Times New Roman" w:hAnsi="Times New Roman" w:eastAsia="方正仿宋_GBK"/>
          <w:sz w:val="32"/>
          <w:szCs w:val="32"/>
          <w:lang w:val="en-US" w:eastAsia="zh-CN"/>
        </w:rPr>
        <w:t>635.33</w:t>
      </w:r>
      <w:r>
        <w:rPr>
          <w:rFonts w:hint="eastAsia"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29.14</w:t>
      </w:r>
      <w:r>
        <w:rPr>
          <w:rFonts w:hint="eastAsia" w:ascii="Times New Roman" w:hAnsi="Times New Roman" w:eastAsia="方正仿宋_GBK"/>
          <w:sz w:val="32"/>
          <w:szCs w:val="32"/>
        </w:rPr>
        <w:t>%。主要原因是专项工作经费增加，如</w:t>
      </w:r>
      <w:r>
        <w:rPr>
          <w:rFonts w:hint="eastAsia" w:ascii="Times New Roman" w:hAnsi="Times New Roman" w:eastAsia="方正仿宋_GBK"/>
          <w:sz w:val="32"/>
          <w:szCs w:val="32"/>
          <w:lang w:val="en-US" w:eastAsia="zh-CN"/>
        </w:rPr>
        <w:t>社区养老服务中心建设</w:t>
      </w:r>
      <w:r>
        <w:rPr>
          <w:rFonts w:hint="eastAsia" w:ascii="Times New Roman" w:hAnsi="Times New Roman" w:eastAsia="方正仿宋_GBK"/>
          <w:sz w:val="32"/>
          <w:szCs w:val="32"/>
        </w:rPr>
        <w:t>、乡村公路安保工程、林业有害生物防治等项目。此外，年初财政拨款结转和结余</w:t>
      </w:r>
      <w:r>
        <w:rPr>
          <w:rFonts w:hint="eastAsia" w:ascii="Times New Roman" w:hAnsi="Times New Roman" w:eastAsia="方正仿宋_GBK"/>
          <w:sz w:val="32"/>
          <w:szCs w:val="32"/>
          <w:lang w:val="en-US" w:eastAsia="zh-CN"/>
        </w:rPr>
        <w:t>38.17</w:t>
      </w:r>
      <w:r>
        <w:rPr>
          <w:rFonts w:hint="eastAsia" w:ascii="Times New Roman" w:hAnsi="Times New Roman" w:eastAsia="方正仿宋_GBK"/>
          <w:sz w:val="32"/>
          <w:szCs w:val="32"/>
        </w:rPr>
        <w:t>万元。</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bCs/>
          <w:sz w:val="32"/>
          <w:szCs w:val="32"/>
        </w:rPr>
      </w:pPr>
      <w:r>
        <w:rPr>
          <w:rFonts w:ascii="Times New Roman" w:hAnsi="Times New Roman" w:eastAsia="方正仿宋_GBK"/>
          <w:bCs/>
          <w:sz w:val="32"/>
          <w:szCs w:val="32"/>
        </w:rPr>
        <w:t>2</w:t>
      </w:r>
      <w:r>
        <w:rPr>
          <w:rFonts w:hint="eastAsia" w:ascii="Times New Roman" w:hAnsi="Times New Roman" w:eastAsia="方正仿宋_GBK"/>
          <w:bCs/>
          <w:sz w:val="32"/>
          <w:szCs w:val="32"/>
        </w:rPr>
        <w:t>．</w:t>
      </w:r>
      <w:r>
        <w:rPr>
          <w:rFonts w:ascii="Times New Roman" w:hAnsi="Times New Roman" w:eastAsia="方正仿宋_GBK"/>
          <w:bCs/>
          <w:sz w:val="32"/>
          <w:szCs w:val="32"/>
        </w:rPr>
        <w:t>支出情况。</w:t>
      </w:r>
      <w:r>
        <w:rPr>
          <w:rFonts w:ascii="Times New Roman" w:hAnsi="Times New Roman" w:eastAsia="方正仿宋_GBK"/>
          <w:sz w:val="32"/>
          <w:szCs w:val="32"/>
        </w:rPr>
        <w:t>2024年度一般公共预算财政拨款支出</w:t>
      </w:r>
      <w:r>
        <w:rPr>
          <w:rFonts w:hint="eastAsia" w:ascii="Times New Roman" w:hAnsi="Times New Roman" w:eastAsia="方正仿宋_GBK"/>
          <w:sz w:val="32"/>
          <w:szCs w:val="32"/>
          <w:lang w:val="en-US" w:eastAsia="zh-CN"/>
        </w:rPr>
        <w:t>2854.03</w:t>
      </w:r>
      <w:r>
        <w:rPr>
          <w:rFonts w:ascii="Times New Roman" w:hAnsi="Times New Roman" w:eastAsia="方正仿宋_GBK"/>
          <w:sz w:val="32"/>
          <w:szCs w:val="32"/>
        </w:rPr>
        <w:t>万元，与20</w:t>
      </w:r>
      <w:r>
        <w:rPr>
          <w:rFonts w:hint="eastAsia" w:ascii="Times New Roman" w:hAnsi="Times New Roman" w:eastAsia="方正仿宋_GBK"/>
          <w:sz w:val="32"/>
          <w:szCs w:val="32"/>
        </w:rPr>
        <w:t>2</w:t>
      </w:r>
      <w:r>
        <w:rPr>
          <w:rFonts w:ascii="Times New Roman" w:hAnsi="Times New Roman" w:eastAsia="方正仿宋_GBK"/>
          <w:sz w:val="32"/>
          <w:szCs w:val="32"/>
        </w:rPr>
        <w:t>3年</w:t>
      </w:r>
      <w:r>
        <w:rPr>
          <w:rFonts w:hint="eastAsia" w:ascii="Times New Roman" w:hAnsi="Times New Roman" w:eastAsia="方正仿宋_GBK"/>
          <w:sz w:val="32"/>
          <w:szCs w:val="32"/>
        </w:rPr>
        <w:t>度</w:t>
      </w:r>
      <w:r>
        <w:rPr>
          <w:rFonts w:ascii="Times New Roman" w:hAnsi="Times New Roman" w:eastAsia="方正仿宋_GBK"/>
          <w:sz w:val="32"/>
          <w:szCs w:val="32"/>
        </w:rPr>
        <w:t>相比，增加</w:t>
      </w:r>
      <w:r>
        <w:rPr>
          <w:rFonts w:hint="eastAsia" w:ascii="Times New Roman" w:hAnsi="Times New Roman" w:eastAsia="方正仿宋_GBK"/>
          <w:sz w:val="32"/>
          <w:szCs w:val="32"/>
          <w:lang w:val="en-US" w:eastAsia="zh-CN"/>
        </w:rPr>
        <w:t>104.09</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3.79</w:t>
      </w:r>
      <w:r>
        <w:rPr>
          <w:rFonts w:ascii="Times New Roman" w:hAnsi="Times New Roman" w:eastAsia="方正仿宋_GBK"/>
          <w:sz w:val="32"/>
          <w:szCs w:val="32"/>
        </w:rPr>
        <w:t>%。主要原因是</w:t>
      </w:r>
      <w:r>
        <w:rPr>
          <w:rFonts w:hint="eastAsia" w:ascii="Times New Roman" w:hAnsi="Times New Roman" w:eastAsia="方正仿宋_GBK"/>
          <w:sz w:val="32"/>
          <w:szCs w:val="32"/>
        </w:rPr>
        <w:t>年中人员变动，增人增资；以及增加了专项工作经费</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673.49</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30.89</w:t>
      </w:r>
      <w:r>
        <w:rPr>
          <w:rFonts w:ascii="Times New Roman" w:hAnsi="Times New Roman" w:eastAsia="方正仿宋_GBK"/>
          <w:sz w:val="32"/>
          <w:szCs w:val="32"/>
        </w:rPr>
        <w:t>%。主要原因是</w:t>
      </w:r>
      <w:r>
        <w:rPr>
          <w:rFonts w:hint="eastAsia" w:ascii="Times New Roman" w:hAnsi="Times New Roman" w:eastAsia="方正仿宋_GBK"/>
          <w:sz w:val="32"/>
          <w:szCs w:val="32"/>
        </w:rPr>
        <w:t>专项工作经费增加，如</w:t>
      </w:r>
      <w:r>
        <w:rPr>
          <w:rFonts w:hint="eastAsia" w:ascii="Times New Roman" w:hAnsi="Times New Roman" w:eastAsia="方正仿宋_GBK"/>
          <w:sz w:val="32"/>
          <w:szCs w:val="32"/>
          <w:lang w:val="en-US" w:eastAsia="zh-CN"/>
        </w:rPr>
        <w:t>社区养老服务中心建设</w:t>
      </w:r>
      <w:r>
        <w:rPr>
          <w:rFonts w:hint="eastAsia" w:ascii="Times New Roman" w:hAnsi="Times New Roman" w:eastAsia="方正仿宋_GBK"/>
          <w:sz w:val="32"/>
          <w:szCs w:val="32"/>
        </w:rPr>
        <w:t>、乡村公路安保工程、林业有害生物防治等项目</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一般公共预算财政拨款支出主要</w:t>
      </w:r>
      <w:r>
        <w:rPr>
          <w:rFonts w:hint="eastAsia" w:ascii="Times New Roman" w:hAnsi="Times New Roman" w:eastAsia="方正仿宋_GBK"/>
          <w:sz w:val="32"/>
          <w:szCs w:val="32"/>
        </w:rPr>
        <w:t>用途如下</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（1）一般公共服务支出</w:t>
      </w:r>
      <w:r>
        <w:rPr>
          <w:rFonts w:hint="eastAsia" w:ascii="Times New Roman" w:hAnsi="Times New Roman" w:eastAsia="方正仿宋_GBK"/>
          <w:sz w:val="32"/>
          <w:szCs w:val="32"/>
          <w:lang w:val="en-US" w:eastAsia="zh-CN"/>
        </w:rPr>
        <w:t>655.24</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22.96</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70.20</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12.00</w:t>
      </w:r>
      <w:r>
        <w:rPr>
          <w:rFonts w:ascii="Times New Roman" w:hAnsi="Times New Roman" w:eastAsia="方正仿宋_GBK"/>
          <w:sz w:val="32"/>
          <w:szCs w:val="32"/>
        </w:rPr>
        <w:t>%，主要原因是</w:t>
      </w:r>
      <w:r>
        <w:rPr>
          <w:rFonts w:hint="eastAsia" w:ascii="Times New Roman" w:hAnsi="Times New Roman" w:eastAsia="方正仿宋_GBK"/>
          <w:sz w:val="32"/>
          <w:szCs w:val="32"/>
        </w:rPr>
        <w:t>增人增资，以及年中上级各部门下达专项资金：如信访维稳工作经费，第五次全国经济普查清查阶段两员补贴、村（社区）食品药品安全协管员项目经费</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铁路护路人员经费</w:t>
      </w:r>
      <w:r>
        <w:rPr>
          <w:rFonts w:hint="eastAsia" w:ascii="Times New Roman" w:hAnsi="Times New Roman" w:eastAsia="方正仿宋_GBK"/>
          <w:sz w:val="32"/>
          <w:szCs w:val="32"/>
        </w:rPr>
        <w:t>等，这些专项资金在年中下达后已完成拨付</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default" w:ascii="Times New Roman" w:hAnsi="Times New Roman" w:eastAsia="方正仿宋_GBK"/>
          <w:sz w:val="32"/>
          <w:szCs w:val="32"/>
          <w:lang w:val="en-US" w:eastAsia="zh-CN"/>
        </w:rPr>
      </w:pPr>
      <w:r>
        <w:rPr>
          <w:rFonts w:ascii="Times New Roman" w:hAnsi="Times New Roman" w:eastAsia="方正仿宋_GBK"/>
          <w:sz w:val="32"/>
          <w:szCs w:val="32"/>
        </w:rPr>
        <w:t>（2）</w:t>
      </w:r>
      <w:r>
        <w:rPr>
          <w:rFonts w:hint="eastAsia" w:ascii="Times New Roman" w:hAnsi="Times New Roman" w:eastAsia="方正仿宋_GBK"/>
          <w:sz w:val="32"/>
          <w:szCs w:val="32"/>
          <w:lang w:val="en-US" w:eastAsia="zh-CN"/>
        </w:rPr>
        <w:t>文化旅游体育与传媒支出54.07万元，占1.89%，较年初预算数增加19.39万元，增长55.91%，主要原因是增人增资，以及</w:t>
      </w:r>
      <w:r>
        <w:rPr>
          <w:rFonts w:hint="eastAsia" w:ascii="Times New Roman" w:hAnsi="Times New Roman" w:eastAsia="方正仿宋_GBK"/>
          <w:sz w:val="32"/>
          <w:szCs w:val="32"/>
        </w:rPr>
        <w:t>年中</w:t>
      </w:r>
      <w:r>
        <w:rPr>
          <w:rFonts w:hint="eastAsia" w:ascii="Times New Roman" w:hAnsi="Times New Roman" w:eastAsia="方正仿宋_GBK"/>
          <w:sz w:val="32"/>
          <w:szCs w:val="32"/>
          <w:lang w:val="en-US" w:eastAsia="zh-CN"/>
        </w:rPr>
        <w:t>下达</w:t>
      </w:r>
      <w:r>
        <w:rPr>
          <w:rFonts w:hint="eastAsia" w:ascii="Times New Roman" w:hAnsi="Times New Roman" w:eastAsia="方正仿宋_GBK"/>
          <w:sz w:val="32"/>
          <w:szCs w:val="32"/>
        </w:rPr>
        <w:t>免费开放资金等专项工作经费。</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社会保障与就业支出</w:t>
      </w:r>
      <w:r>
        <w:rPr>
          <w:rFonts w:hint="eastAsia" w:ascii="Times New Roman" w:hAnsi="Times New Roman" w:eastAsia="方正仿宋_GBK"/>
          <w:sz w:val="32"/>
          <w:szCs w:val="32"/>
          <w:lang w:val="en-US" w:eastAsia="zh-CN"/>
        </w:rPr>
        <w:t>553.56</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19.40</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187.69</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51.30</w:t>
      </w:r>
      <w:r>
        <w:rPr>
          <w:rFonts w:ascii="Times New Roman" w:hAnsi="Times New Roman" w:eastAsia="方正仿宋_GBK"/>
          <w:sz w:val="32"/>
          <w:szCs w:val="32"/>
        </w:rPr>
        <w:t>%，主要原因是</w:t>
      </w:r>
      <w:r>
        <w:rPr>
          <w:rFonts w:hint="eastAsia" w:ascii="Times New Roman" w:hAnsi="Times New Roman" w:eastAsia="方正仿宋_GBK"/>
          <w:sz w:val="32"/>
          <w:szCs w:val="32"/>
        </w:rPr>
        <w:t>年中</w:t>
      </w:r>
      <w:r>
        <w:rPr>
          <w:rFonts w:hint="eastAsia" w:ascii="Times New Roman" w:hAnsi="Times New Roman" w:eastAsia="方正仿宋_GBK"/>
          <w:sz w:val="32"/>
          <w:szCs w:val="32"/>
          <w:lang w:val="en-US" w:eastAsia="zh-CN"/>
        </w:rPr>
        <w:t>下达涉农公益性岗位资金、社区养老服务中心建设补助资金、残疾人阳光家园居家托养补助等专项工作经费</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卫生健康</w:t>
      </w:r>
      <w:r>
        <w:rPr>
          <w:rFonts w:ascii="Times New Roman" w:hAnsi="Times New Roman" w:eastAsia="方正仿宋_GBK"/>
          <w:sz w:val="32"/>
          <w:szCs w:val="32"/>
        </w:rPr>
        <w:t>支出</w:t>
      </w:r>
      <w:r>
        <w:rPr>
          <w:rFonts w:hint="eastAsia" w:ascii="Times New Roman" w:hAnsi="Times New Roman" w:eastAsia="方正仿宋_GBK"/>
          <w:sz w:val="32"/>
          <w:szCs w:val="32"/>
          <w:lang w:val="en-US" w:eastAsia="zh-CN"/>
        </w:rPr>
        <w:t>61.09</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2.14</w:t>
      </w:r>
      <w:r>
        <w:rPr>
          <w:rFonts w:ascii="Times New Roman" w:hAnsi="Times New Roman" w:eastAsia="方正仿宋_GBK"/>
          <w:sz w:val="32"/>
          <w:szCs w:val="32"/>
        </w:rPr>
        <w:t>%，较年初预算数</w:t>
      </w:r>
      <w:r>
        <w:rPr>
          <w:rFonts w:hint="eastAsia" w:ascii="Times New Roman" w:hAnsi="Times New Roman" w:eastAsia="方正仿宋_GBK"/>
          <w:sz w:val="32"/>
          <w:szCs w:val="32"/>
          <w:lang w:val="en-US" w:eastAsia="zh-CN"/>
        </w:rPr>
        <w:t>减少2.10</w:t>
      </w:r>
      <w:r>
        <w:rPr>
          <w:rFonts w:ascii="Times New Roman" w:hAnsi="Times New Roman" w:eastAsia="方正仿宋_GBK"/>
          <w:sz w:val="32"/>
          <w:szCs w:val="32"/>
        </w:rPr>
        <w:t>万元，</w:t>
      </w:r>
      <w:r>
        <w:rPr>
          <w:rFonts w:hint="eastAsia" w:ascii="Times New Roman" w:hAnsi="Times New Roman" w:eastAsia="方正仿宋_GBK"/>
          <w:sz w:val="32"/>
          <w:szCs w:val="32"/>
          <w:lang w:val="en-US" w:eastAsia="zh-CN"/>
        </w:rPr>
        <w:t>下降3.32</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人员调出，卫生健康支出减少</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城乡社区</w:t>
      </w:r>
      <w:r>
        <w:rPr>
          <w:rFonts w:ascii="Times New Roman" w:hAnsi="Times New Roman" w:eastAsia="方正仿宋_GBK"/>
          <w:sz w:val="32"/>
          <w:szCs w:val="32"/>
        </w:rPr>
        <w:t>支出</w:t>
      </w:r>
      <w:r>
        <w:rPr>
          <w:rFonts w:hint="eastAsia" w:ascii="Times New Roman" w:hAnsi="Times New Roman" w:eastAsia="方正仿宋_GBK"/>
          <w:sz w:val="32"/>
          <w:szCs w:val="32"/>
          <w:lang w:val="en-US" w:eastAsia="zh-CN"/>
        </w:rPr>
        <w:t>150.60</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5.28</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6.32</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4.38</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年中新增相关人员经费</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农林水</w:t>
      </w:r>
      <w:r>
        <w:rPr>
          <w:rFonts w:ascii="Times New Roman" w:hAnsi="Times New Roman" w:eastAsia="方正仿宋_GBK"/>
          <w:sz w:val="32"/>
          <w:szCs w:val="32"/>
        </w:rPr>
        <w:t>支出</w:t>
      </w:r>
      <w:r>
        <w:rPr>
          <w:rFonts w:hint="eastAsia" w:ascii="Times New Roman" w:hAnsi="Times New Roman" w:eastAsia="方正仿宋_GBK"/>
          <w:sz w:val="32"/>
          <w:szCs w:val="32"/>
          <w:lang w:val="en-US" w:eastAsia="zh-CN"/>
        </w:rPr>
        <w:t>803.92</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28.17</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212.56</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35.94</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年中新增动物强制免疫资金、农业防灾减灾和水利救灾资金、新农人培育提升项目、撂荒地核查和盘活利用项目、到户产业补助等专项资金</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交通运输支出348.00</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12.19</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108.74</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45.45</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年中新增虎劲村畅通工程项目、农村道路安防工程、公路养护经费等专项资金</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8</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自然资源海洋气象等支出74.00</w:t>
      </w:r>
      <w:r>
        <w:rPr>
          <w:rFonts w:hint="eastAsia" w:ascii="Times New Roman" w:hAnsi="Times New Roman" w:eastAsia="方正仿宋_GBK"/>
          <w:sz w:val="32"/>
          <w:szCs w:val="32"/>
          <w:lang w:eastAsia="zh-CN"/>
        </w:rPr>
        <w:t>万元，占</w:t>
      </w:r>
      <w:r>
        <w:rPr>
          <w:rFonts w:hint="eastAsia" w:ascii="Times New Roman" w:hAnsi="Times New Roman" w:eastAsia="方正仿宋_GBK"/>
          <w:sz w:val="32"/>
          <w:szCs w:val="32"/>
          <w:lang w:val="en-US" w:eastAsia="zh-CN"/>
        </w:rPr>
        <w:t>2.59</w:t>
      </w:r>
      <w:r>
        <w:rPr>
          <w:rFonts w:hint="eastAsia" w:ascii="Times New Roman" w:hAnsi="Times New Roman" w:eastAsia="方正仿宋_GBK"/>
          <w:sz w:val="32"/>
          <w:szCs w:val="32"/>
          <w:lang w:eastAsia="zh-CN"/>
        </w:rPr>
        <w:t>%，较年初预算数</w:t>
      </w:r>
      <w:r>
        <w:rPr>
          <w:rFonts w:hint="eastAsia" w:ascii="Times New Roman" w:hAnsi="Times New Roman" w:eastAsia="方正仿宋_GBK"/>
          <w:sz w:val="32"/>
          <w:szCs w:val="32"/>
          <w:lang w:val="en-US" w:eastAsia="zh-CN"/>
        </w:rPr>
        <w:t>无增减</w:t>
      </w:r>
      <w:r>
        <w:rPr>
          <w:rFonts w:hint="eastAsia" w:ascii="Times New Roman" w:hAnsi="Times New Roman" w:eastAsia="方正仿宋_GBK"/>
          <w:sz w:val="32"/>
          <w:szCs w:val="32"/>
          <w:lang w:eastAsia="zh-CN"/>
        </w:rPr>
        <w:t>，主要原因是202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年</w:t>
      </w:r>
      <w:r>
        <w:rPr>
          <w:rFonts w:hint="eastAsia" w:ascii="Times New Roman" w:hAnsi="Times New Roman" w:eastAsia="方正仿宋_GBK"/>
          <w:sz w:val="32"/>
          <w:szCs w:val="32"/>
          <w:lang w:val="en-US" w:eastAsia="zh-CN"/>
        </w:rPr>
        <w:t>自然资源海洋气象等支出</w:t>
      </w:r>
      <w:r>
        <w:rPr>
          <w:rFonts w:hint="eastAsia" w:ascii="Times New Roman" w:hAnsi="Times New Roman" w:eastAsia="方正仿宋_GBK"/>
          <w:sz w:val="32"/>
          <w:szCs w:val="32"/>
          <w:lang w:eastAsia="zh-CN"/>
        </w:rPr>
        <w:t>均在预算内，无额外指标。</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9</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住房保障支出60.11</w:t>
      </w:r>
      <w:r>
        <w:rPr>
          <w:rFonts w:hint="eastAsia" w:ascii="Times New Roman" w:hAnsi="Times New Roman" w:eastAsia="方正仿宋_GBK"/>
          <w:sz w:val="32"/>
          <w:szCs w:val="32"/>
          <w:lang w:eastAsia="zh-CN"/>
        </w:rPr>
        <w:t>万元，占</w:t>
      </w:r>
      <w:r>
        <w:rPr>
          <w:rFonts w:hint="eastAsia" w:ascii="Times New Roman" w:hAnsi="Times New Roman" w:eastAsia="方正仿宋_GBK"/>
          <w:sz w:val="32"/>
          <w:szCs w:val="32"/>
          <w:lang w:val="en-US" w:eastAsia="zh-CN"/>
        </w:rPr>
        <w:t>2.11</w:t>
      </w:r>
      <w:r>
        <w:rPr>
          <w:rFonts w:hint="eastAsia" w:ascii="Times New Roman" w:hAnsi="Times New Roman" w:eastAsia="方正仿宋_GBK"/>
          <w:sz w:val="32"/>
          <w:szCs w:val="32"/>
          <w:lang w:eastAsia="zh-CN"/>
        </w:rPr>
        <w:t>%，较年初预算数</w:t>
      </w:r>
      <w:r>
        <w:rPr>
          <w:rFonts w:hint="eastAsia" w:ascii="Times New Roman" w:hAnsi="Times New Roman" w:eastAsia="方正仿宋_GBK"/>
          <w:sz w:val="32"/>
          <w:szCs w:val="32"/>
          <w:lang w:val="en-US" w:eastAsia="zh-CN"/>
        </w:rPr>
        <w:t>减少3.14</w:t>
      </w:r>
      <w:r>
        <w:rPr>
          <w:rFonts w:hint="eastAsia" w:ascii="Times New Roman" w:hAnsi="Times New Roman" w:eastAsia="方正仿宋_GBK"/>
          <w:sz w:val="32"/>
          <w:szCs w:val="32"/>
          <w:lang w:eastAsia="zh-CN"/>
        </w:rPr>
        <w:t>万元，</w:t>
      </w:r>
      <w:r>
        <w:rPr>
          <w:rFonts w:hint="eastAsia" w:ascii="Times New Roman" w:hAnsi="Times New Roman" w:eastAsia="方正仿宋_GBK"/>
          <w:sz w:val="32"/>
          <w:szCs w:val="32"/>
          <w:lang w:val="en-US" w:eastAsia="zh-CN"/>
        </w:rPr>
        <w:t>下降4.96</w:t>
      </w:r>
      <w:r>
        <w:rPr>
          <w:rFonts w:hint="eastAsia" w:ascii="Times New Roman" w:hAnsi="Times New Roman" w:eastAsia="方正仿宋_GBK"/>
          <w:sz w:val="32"/>
          <w:szCs w:val="32"/>
          <w:lang w:eastAsia="zh-CN"/>
        </w:rPr>
        <w:t>%，主要原因是部分职工退休，住房公积金交纳减少。</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10</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灾害防治及应急管理</w:t>
      </w:r>
      <w:r>
        <w:rPr>
          <w:rFonts w:ascii="Times New Roman" w:hAnsi="Times New Roman" w:eastAsia="方正仿宋_GBK"/>
          <w:sz w:val="32"/>
          <w:szCs w:val="32"/>
        </w:rPr>
        <w:t>支出</w:t>
      </w:r>
      <w:r>
        <w:rPr>
          <w:rFonts w:hint="eastAsia" w:ascii="Times New Roman" w:hAnsi="Times New Roman" w:eastAsia="方正仿宋_GBK"/>
          <w:sz w:val="32"/>
          <w:szCs w:val="32"/>
          <w:lang w:val="en-US" w:eastAsia="zh-CN"/>
        </w:rPr>
        <w:t>93.43</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3.27</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91.43</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4571.50</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年中新增应急管理费用、自然灾害救助资金、森林防灭火物资补助等专项工作经费。</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b/>
          <w:bCs/>
          <w:sz w:val="32"/>
          <w:szCs w:val="32"/>
        </w:rPr>
      </w:pPr>
      <w:r>
        <w:rPr>
          <w:rFonts w:ascii="Times New Roman" w:hAnsi="Times New Roman" w:eastAsia="方正仿宋_GBK"/>
          <w:sz w:val="32"/>
          <w:szCs w:val="32"/>
        </w:rPr>
        <w:t>3. 结转结余情况。2024年度年末</w:t>
      </w:r>
      <w:r>
        <w:rPr>
          <w:rFonts w:hint="eastAsia" w:ascii="Times New Roman" w:hAnsi="Times New Roman" w:eastAsia="方正仿宋_GBK"/>
          <w:sz w:val="32"/>
          <w:szCs w:val="32"/>
        </w:rPr>
        <w:t>一般公共预算财政拨款</w:t>
      </w:r>
      <w:r>
        <w:rPr>
          <w:rFonts w:ascii="Times New Roman" w:hAnsi="Times New Roman" w:eastAsia="方正仿宋_GBK"/>
          <w:sz w:val="32"/>
          <w:szCs w:val="32"/>
        </w:rPr>
        <w:t>结转和结余</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hint="eastAsia" w:ascii="Times New Roman" w:hAnsi="Times New Roman" w:eastAsia="方正仿宋_GBK"/>
          <w:sz w:val="32"/>
          <w:szCs w:val="32"/>
          <w:lang w:val="en-US" w:eastAsia="zh-CN"/>
        </w:rPr>
        <w:t>减少1.40</w:t>
      </w:r>
      <w:r>
        <w:rPr>
          <w:rFonts w:ascii="Times New Roman" w:hAnsi="Times New Roman" w:eastAsia="方正仿宋_GBK"/>
          <w:sz w:val="32"/>
          <w:szCs w:val="32"/>
        </w:rPr>
        <w:t>万元，</w:t>
      </w:r>
      <w:r>
        <w:rPr>
          <w:rFonts w:hint="eastAsia" w:ascii="Times New Roman" w:hAnsi="Times New Roman" w:eastAsia="方正仿宋_GBK"/>
          <w:sz w:val="32"/>
          <w:szCs w:val="32"/>
          <w:lang w:val="en-US" w:eastAsia="zh-CN"/>
        </w:rPr>
        <w:t>下降100.00</w:t>
      </w:r>
      <w:r>
        <w:rPr>
          <w:rFonts w:ascii="Times New Roman" w:hAnsi="Times New Roman" w:eastAsia="方正仿宋_GBK"/>
          <w:sz w:val="32"/>
          <w:szCs w:val="32"/>
        </w:rPr>
        <w:t>%，主要原因是</w:t>
      </w:r>
      <w:r>
        <w:rPr>
          <w:rFonts w:hint="eastAsia" w:ascii="Times New Roman" w:hAnsi="Times New Roman" w:eastAsia="方正仿宋_GBK"/>
          <w:sz w:val="32"/>
          <w:szCs w:val="32"/>
        </w:rPr>
        <w:t>本年度进行了会计差错更正</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（四）一般公共预算财政拨款基本支出决算情况说明</w:t>
      </w:r>
      <w:r>
        <w:rPr>
          <w:rFonts w:hint="eastAsia" w:ascii="Times New Roman" w:hAnsi="Times New Roman" w:eastAsia="方正楷体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2024年度一般公共预算财政拨款基本支出</w:t>
      </w:r>
      <w:r>
        <w:rPr>
          <w:rFonts w:hint="eastAsia" w:ascii="Times New Roman" w:hAnsi="Times New Roman" w:eastAsia="方正仿宋_GBK"/>
          <w:sz w:val="32"/>
          <w:szCs w:val="32"/>
          <w:lang w:val="en-US" w:eastAsia="zh-CN"/>
        </w:rPr>
        <w:t>1779.70</w:t>
      </w:r>
      <w:r>
        <w:rPr>
          <w:rFonts w:ascii="Times New Roman" w:hAnsi="Times New Roman" w:eastAsia="方正仿宋_GBK"/>
          <w:sz w:val="32"/>
          <w:szCs w:val="32"/>
        </w:rPr>
        <w:t>万元。其中：</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人员经费</w:t>
      </w:r>
      <w:r>
        <w:rPr>
          <w:rFonts w:hint="eastAsia" w:ascii="Times New Roman" w:hAnsi="Times New Roman" w:eastAsia="方正仿宋_GBK"/>
          <w:sz w:val="32"/>
          <w:szCs w:val="32"/>
          <w:lang w:val="en-US" w:eastAsia="zh-CN"/>
        </w:rPr>
        <w:t>1555.19</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增加</w:t>
      </w:r>
      <w:r>
        <w:rPr>
          <w:rFonts w:hint="eastAsia" w:ascii="Times New Roman" w:hAnsi="Times New Roman" w:eastAsia="方正仿宋_GBK"/>
          <w:sz w:val="32"/>
          <w:szCs w:val="32"/>
          <w:lang w:val="en-US" w:eastAsia="zh-CN"/>
        </w:rPr>
        <w:t>60.58</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4.05</w:t>
      </w:r>
      <w:r>
        <w:rPr>
          <w:rFonts w:ascii="Times New Roman" w:hAnsi="Times New Roman" w:eastAsia="方正仿宋_GBK"/>
          <w:sz w:val="32"/>
          <w:szCs w:val="32"/>
        </w:rPr>
        <w:t>%，主要原因是</w:t>
      </w:r>
      <w:r>
        <w:rPr>
          <w:rFonts w:hint="eastAsia" w:ascii="Times New Roman" w:hAnsi="Times New Roman" w:eastAsia="方正仿宋_GBK"/>
          <w:sz w:val="32"/>
          <w:szCs w:val="32"/>
        </w:rPr>
        <w:t>人员增加，人员经费相对增加</w:t>
      </w:r>
      <w:r>
        <w:rPr>
          <w:rFonts w:ascii="Times New Roman" w:hAnsi="Times New Roman" w:eastAsia="方正仿宋_GBK"/>
          <w:sz w:val="32"/>
          <w:szCs w:val="32"/>
        </w:rPr>
        <w:t>。人员经费用途主要包括基本工资、津贴补贴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在职人员五险一金、</w:t>
      </w:r>
      <w:r>
        <w:rPr>
          <w:rFonts w:hint="eastAsia" w:ascii="Times New Roman" w:hAnsi="Times New Roman" w:eastAsia="方正仿宋_GBK"/>
          <w:sz w:val="32"/>
          <w:szCs w:val="32"/>
        </w:rPr>
        <w:t>离休人员离休费、退休人员补助</w:t>
      </w:r>
      <w:r>
        <w:rPr>
          <w:rFonts w:ascii="Times New Roman" w:hAnsi="Times New Roman" w:eastAsia="方正仿宋_GBK"/>
          <w:sz w:val="32"/>
          <w:szCs w:val="32"/>
        </w:rPr>
        <w:t>等支出。</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公用经费</w:t>
      </w:r>
      <w:r>
        <w:rPr>
          <w:rFonts w:hint="eastAsia" w:ascii="Times New Roman" w:hAnsi="Times New Roman" w:eastAsia="方正仿宋_GBK"/>
          <w:sz w:val="32"/>
          <w:szCs w:val="32"/>
          <w:lang w:val="en-US" w:eastAsia="zh-CN"/>
        </w:rPr>
        <w:t>224.51</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增加</w:t>
      </w:r>
      <w:r>
        <w:rPr>
          <w:rFonts w:hint="eastAsia" w:ascii="Times New Roman" w:hAnsi="Times New Roman" w:eastAsia="方正仿宋_GBK"/>
          <w:sz w:val="32"/>
          <w:szCs w:val="32"/>
          <w:lang w:val="en-US" w:eastAsia="zh-CN"/>
        </w:rPr>
        <w:t>41.79</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22.87</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新进人员增加，公用经费有所增加</w:t>
      </w:r>
      <w:r>
        <w:rPr>
          <w:rFonts w:ascii="Times New Roman" w:hAnsi="Times New Roman" w:eastAsia="方正仿宋_GBK"/>
          <w:sz w:val="32"/>
          <w:szCs w:val="32"/>
        </w:rPr>
        <w:t>。公用经费用途主要包括办公费、邮电费、</w:t>
      </w:r>
      <w:r>
        <w:rPr>
          <w:rFonts w:hint="eastAsia" w:ascii="Times New Roman" w:hAnsi="Times New Roman" w:eastAsia="方正仿宋_GBK"/>
          <w:sz w:val="32"/>
          <w:szCs w:val="32"/>
          <w:lang w:val="en-US" w:eastAsia="zh-CN"/>
        </w:rPr>
        <w:t>水电费、差旅费、维修（护）费</w:t>
      </w:r>
      <w:r>
        <w:rPr>
          <w:rFonts w:ascii="Times New Roman" w:hAnsi="Times New Roman" w:eastAsia="方正仿宋_GBK"/>
          <w:sz w:val="32"/>
          <w:szCs w:val="32"/>
        </w:rPr>
        <w:t>等支出。</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（五）政府性基金预算收支决算情况说明</w:t>
      </w:r>
      <w:r>
        <w:rPr>
          <w:rFonts w:hint="eastAsia" w:ascii="Times New Roman" w:hAnsi="Times New Roman" w:eastAsia="方正楷体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cs="Times New Roman"/>
          <w:b/>
          <w:bCs/>
          <w:kern w:val="2"/>
          <w:sz w:val="32"/>
          <w:szCs w:val="32"/>
        </w:rPr>
      </w:pPr>
      <w:r>
        <w:rPr>
          <w:rFonts w:ascii="Times New Roman" w:hAnsi="Times New Roman" w:eastAsia="方正仿宋_GBK"/>
          <w:sz w:val="32"/>
          <w:szCs w:val="32"/>
        </w:rPr>
        <w:t>2024年度政府性基金预算财政拨款年初结转结余</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万元，年末结转结余</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万元。本年收入</w:t>
      </w:r>
      <w:r>
        <w:rPr>
          <w:rFonts w:hint="eastAsia" w:ascii="Times New Roman" w:hAnsi="Times New Roman" w:eastAsia="方正仿宋_GBK"/>
          <w:sz w:val="32"/>
          <w:szCs w:val="32"/>
          <w:lang w:val="en-US" w:eastAsia="zh-CN"/>
        </w:rPr>
        <w:t>24.37</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hint="eastAsia" w:ascii="Times New Roman" w:hAnsi="Times New Roman" w:eastAsia="方正仿宋_GBK"/>
          <w:sz w:val="32"/>
          <w:szCs w:val="32"/>
          <w:lang w:val="en-US" w:eastAsia="zh-CN"/>
        </w:rPr>
        <w:t>减少53.88</w:t>
      </w:r>
      <w:r>
        <w:rPr>
          <w:rFonts w:ascii="Times New Roman" w:hAnsi="Times New Roman" w:eastAsia="方正仿宋_GBK"/>
          <w:sz w:val="32"/>
          <w:szCs w:val="32"/>
        </w:rPr>
        <w:t>万元，</w:t>
      </w:r>
      <w:r>
        <w:rPr>
          <w:rFonts w:hint="eastAsia" w:ascii="Times New Roman" w:hAnsi="Times New Roman" w:eastAsia="方正仿宋_GBK"/>
          <w:sz w:val="32"/>
          <w:szCs w:val="32"/>
          <w:lang w:val="en-US" w:eastAsia="zh-CN"/>
        </w:rPr>
        <w:t>下降68.86</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仅安排社区运动会、老年幸福（爱心）食堂建设补助、社会福利院消防设施整改3个项目</w:t>
      </w:r>
      <w:r>
        <w:rPr>
          <w:rFonts w:ascii="Times New Roman" w:hAnsi="Times New Roman" w:eastAsia="方正仿宋_GBK"/>
          <w:sz w:val="32"/>
          <w:szCs w:val="32"/>
        </w:rPr>
        <w:t>。本年支出</w:t>
      </w:r>
      <w:r>
        <w:rPr>
          <w:rFonts w:hint="eastAsia" w:ascii="Times New Roman" w:hAnsi="Times New Roman" w:eastAsia="方正仿宋_GBK"/>
          <w:sz w:val="32"/>
          <w:szCs w:val="32"/>
          <w:lang w:val="en-US" w:eastAsia="zh-CN"/>
        </w:rPr>
        <w:t>24.37</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hint="eastAsia" w:ascii="Times New Roman" w:hAnsi="Times New Roman" w:eastAsia="方正仿宋_GBK"/>
          <w:sz w:val="32"/>
          <w:szCs w:val="32"/>
          <w:lang w:val="en-US" w:eastAsia="zh-CN"/>
        </w:rPr>
        <w:t>减少53.88</w:t>
      </w:r>
      <w:r>
        <w:rPr>
          <w:rFonts w:ascii="Times New Roman" w:hAnsi="Times New Roman" w:eastAsia="方正仿宋_GBK"/>
          <w:sz w:val="32"/>
          <w:szCs w:val="32"/>
        </w:rPr>
        <w:t>万元，</w:t>
      </w:r>
      <w:r>
        <w:rPr>
          <w:rFonts w:hint="eastAsia" w:ascii="Times New Roman" w:hAnsi="Times New Roman" w:eastAsia="方正仿宋_GBK"/>
          <w:sz w:val="32"/>
          <w:szCs w:val="32"/>
          <w:lang w:val="en-US" w:eastAsia="zh-CN"/>
        </w:rPr>
        <w:t>下降68.86</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仅安排社区运动会、老年幸福（爱心）食堂建设补助、社会福利院消防设施整改3个项目</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（六）国有资本经营预算财政拨款支出决算情况说明</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default" w:ascii="方正仿宋_GBK" w:hAnsi="方正仿宋_GBK" w:eastAsia="方正仿宋_GBK" w:cs="方正仿宋_GBK"/>
          <w:sz w:val="32"/>
          <w:szCs w:val="32"/>
        </w:rPr>
      </w:pPr>
      <w:r>
        <w:rPr>
          <w:rFonts w:ascii="Times New Roman" w:hAnsi="Times New Roman" w:eastAsia="方正仿宋_GBK"/>
          <w:sz w:val="32"/>
          <w:szCs w:val="32"/>
        </w:rPr>
        <w:t>本</w:t>
      </w:r>
      <w:r>
        <w:rPr>
          <w:rFonts w:hint="eastAsia" w:ascii="Times New Roman" w:hAnsi="Times New Roman" w:eastAsia="方正仿宋_GBK"/>
          <w:sz w:val="32"/>
          <w:szCs w:val="32"/>
          <w:lang w:val="en-US" w:eastAsia="zh-CN"/>
        </w:rPr>
        <w:t>部门</w:t>
      </w:r>
      <w:r>
        <w:rPr>
          <w:rFonts w:ascii="Times New Roman" w:hAnsi="Times New Roman" w:eastAsia="方正仿宋_GBK"/>
          <w:sz w:val="32"/>
          <w:szCs w:val="32"/>
        </w:rPr>
        <w:t>2024年度无国有资本经营预算财政拨款支出</w:t>
      </w:r>
      <w:r>
        <w:rPr>
          <w:rFonts w:hint="eastAsia" w:ascii="Times New Roman" w:hAnsi="Times New Roman" w:eastAsia="方正仿宋_GBK"/>
          <w:sz w:val="32"/>
          <w:szCs w:val="32"/>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（一）“三公”经费支出总体情况说明</w:t>
      </w:r>
      <w:r>
        <w:rPr>
          <w:rFonts w:hint="eastAsia" w:ascii="Times New Roman" w:hAnsi="Times New Roman" w:eastAsia="方正楷体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rPr>
      </w:pPr>
      <w:r>
        <w:rPr>
          <w:rFonts w:ascii="Times New Roman" w:hAnsi="Times New Roman" w:eastAsia="方正仿宋_GBK"/>
          <w:sz w:val="32"/>
          <w:szCs w:val="32"/>
        </w:rPr>
        <w:t>2024年度“三公”经费支出共计</w:t>
      </w:r>
      <w:r>
        <w:rPr>
          <w:rFonts w:hint="eastAsia" w:ascii="Times New Roman" w:hAnsi="Times New Roman" w:eastAsia="方正仿宋_GBK"/>
          <w:sz w:val="32"/>
          <w:szCs w:val="32"/>
          <w:lang w:val="en-US" w:eastAsia="zh-CN"/>
        </w:rPr>
        <w:t>17.42</w:t>
      </w:r>
      <w:r>
        <w:rPr>
          <w:rFonts w:ascii="Times New Roman" w:hAnsi="Times New Roman" w:eastAsia="方正仿宋_GBK"/>
          <w:sz w:val="32"/>
          <w:szCs w:val="32"/>
        </w:rPr>
        <w:t>万元，较年初预算数减少</w:t>
      </w:r>
      <w:r>
        <w:rPr>
          <w:rFonts w:hint="eastAsia" w:ascii="Times New Roman" w:hAnsi="Times New Roman" w:eastAsia="方正仿宋_GBK"/>
          <w:sz w:val="32"/>
          <w:szCs w:val="32"/>
          <w:lang w:val="en-US" w:eastAsia="zh-CN"/>
        </w:rPr>
        <w:t>5.78</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24.91</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较上年支出数减少</w:t>
      </w:r>
      <w:r>
        <w:rPr>
          <w:rFonts w:hint="eastAsia" w:ascii="Times New Roman" w:hAnsi="Times New Roman" w:eastAsia="方正仿宋_GBK"/>
          <w:sz w:val="32"/>
          <w:szCs w:val="32"/>
          <w:lang w:val="en-US" w:eastAsia="zh-CN"/>
        </w:rPr>
        <w:t>0.17</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0.97</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较年初预算和上年决算下降的主要原因是</w:t>
      </w:r>
      <w:r>
        <w:rPr>
          <w:rFonts w:hint="eastAsia" w:ascii="Times New Roman" w:hAnsi="Times New Roman" w:eastAsia="方正仿宋_GBK"/>
          <w:sz w:val="32"/>
          <w:szCs w:val="32"/>
        </w:rPr>
        <w:t>打造节约型机关，缩减“三公”经费支出。</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（二）“三公”经费分项支出情况</w:t>
      </w:r>
      <w:r>
        <w:rPr>
          <w:rFonts w:hint="eastAsia" w:ascii="Times New Roman" w:hAnsi="Times New Roman" w:eastAsia="方正楷体_GBK"/>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2024年度本</w:t>
      </w:r>
      <w:r>
        <w:rPr>
          <w:rFonts w:hint="eastAsia" w:ascii="Times New Roman" w:hAnsi="Times New Roman" w:eastAsia="方正仿宋_GBK"/>
          <w:sz w:val="32"/>
          <w:szCs w:val="32"/>
          <w:lang w:val="en-US" w:eastAsia="zh-CN"/>
        </w:rPr>
        <w:t>部门</w:t>
      </w:r>
      <w:r>
        <w:rPr>
          <w:rFonts w:ascii="Times New Roman" w:hAnsi="Times New Roman" w:eastAsia="方正仿宋_GBK"/>
          <w:sz w:val="32"/>
          <w:szCs w:val="32"/>
        </w:rPr>
        <w:t>因公出国（境）费用</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r>
        <w:rPr>
          <w:rFonts w:hint="eastAsia" w:ascii="Times New Roman" w:hAnsi="Times New Roman" w:eastAsia="方正仿宋_GBK"/>
          <w:sz w:val="32"/>
          <w:szCs w:val="32"/>
        </w:rPr>
        <w:t>本</w:t>
      </w:r>
      <w:r>
        <w:rPr>
          <w:rFonts w:hint="eastAsia" w:ascii="Times New Roman" w:hAnsi="Times New Roman" w:eastAsia="方正仿宋_GBK"/>
          <w:sz w:val="32"/>
          <w:szCs w:val="32"/>
          <w:lang w:val="en-US" w:eastAsia="zh-CN"/>
        </w:rPr>
        <w:t>部门</w:t>
      </w:r>
      <w:r>
        <w:rPr>
          <w:rFonts w:hint="eastAsia" w:ascii="Times New Roman" w:hAnsi="Times New Roman" w:eastAsia="方正仿宋_GBK"/>
          <w:sz w:val="32"/>
          <w:szCs w:val="32"/>
        </w:rPr>
        <w:t>2023年度未发生因公出国（境）费用支出，与上年决算数持平。</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公务车购置费</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r>
        <w:rPr>
          <w:rFonts w:hint="eastAsia" w:ascii="Times New Roman" w:hAnsi="Times New Roman" w:eastAsia="方正仿宋_GBK"/>
          <w:sz w:val="32"/>
          <w:szCs w:val="32"/>
        </w:rPr>
        <w:t>本</w:t>
      </w:r>
      <w:r>
        <w:rPr>
          <w:rFonts w:hint="eastAsia" w:ascii="Times New Roman" w:hAnsi="Times New Roman" w:eastAsia="方正仿宋_GBK"/>
          <w:sz w:val="32"/>
          <w:szCs w:val="32"/>
          <w:lang w:val="en-US" w:eastAsia="zh-CN"/>
        </w:rPr>
        <w:t>部门</w:t>
      </w:r>
      <w:r>
        <w:rPr>
          <w:rFonts w:hint="eastAsia" w:ascii="Times New Roman" w:hAnsi="Times New Roman" w:eastAsia="方正仿宋_GBK"/>
          <w:sz w:val="32"/>
          <w:szCs w:val="32"/>
        </w:rPr>
        <w:t>2023年度未发生</w:t>
      </w:r>
      <w:r>
        <w:rPr>
          <w:rFonts w:ascii="Times New Roman" w:hAnsi="Times New Roman" w:eastAsia="方正仿宋_GBK"/>
          <w:sz w:val="32"/>
          <w:szCs w:val="32"/>
        </w:rPr>
        <w:t>公务车购置费</w:t>
      </w:r>
      <w:r>
        <w:rPr>
          <w:rFonts w:hint="eastAsia" w:ascii="Times New Roman" w:hAnsi="Times New Roman" w:eastAsia="方正仿宋_GBK"/>
          <w:sz w:val="32"/>
          <w:szCs w:val="32"/>
        </w:rPr>
        <w:t>支出，与上年决算数持平。</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公务车运行维护费</w:t>
      </w:r>
      <w:r>
        <w:rPr>
          <w:rFonts w:hint="eastAsia" w:ascii="Times New Roman" w:hAnsi="Times New Roman" w:eastAsia="方正仿宋_GBK"/>
          <w:sz w:val="32"/>
          <w:szCs w:val="32"/>
          <w:lang w:val="en-US" w:eastAsia="zh-CN"/>
        </w:rPr>
        <w:t>11.86</w:t>
      </w:r>
      <w:r>
        <w:rPr>
          <w:rFonts w:ascii="Times New Roman" w:hAnsi="Times New Roman" w:eastAsia="方正仿宋_GBK"/>
          <w:sz w:val="32"/>
          <w:szCs w:val="32"/>
        </w:rPr>
        <w:t>万元，主要用于</w:t>
      </w:r>
      <w:r>
        <w:rPr>
          <w:rFonts w:hint="eastAsia" w:ascii="Times New Roman" w:hAnsi="Times New Roman" w:eastAsia="方正仿宋_GBK"/>
          <w:sz w:val="32"/>
          <w:szCs w:val="32"/>
        </w:rPr>
        <w:t>因公出行、下村</w:t>
      </w:r>
      <w:r>
        <w:rPr>
          <w:rFonts w:hint="eastAsia" w:ascii="Times New Roman" w:hAnsi="Times New Roman" w:eastAsia="方正仿宋_GBK"/>
          <w:sz w:val="32"/>
          <w:szCs w:val="32"/>
          <w:lang w:val="en-US" w:eastAsia="zh-CN"/>
        </w:rPr>
        <w:t>入户</w:t>
      </w:r>
      <w:r>
        <w:rPr>
          <w:rFonts w:hint="eastAsia" w:ascii="Times New Roman" w:hAnsi="Times New Roman" w:eastAsia="方正仿宋_GBK"/>
          <w:sz w:val="32"/>
          <w:szCs w:val="32"/>
        </w:rPr>
        <w:t>、应急救灾等工作所需的公务车燃料费、维修费、保险费等</w:t>
      </w:r>
      <w:r>
        <w:rPr>
          <w:rFonts w:ascii="Times New Roman" w:hAnsi="Times New Roman" w:eastAsia="方正仿宋_GBK"/>
          <w:sz w:val="32"/>
          <w:szCs w:val="32"/>
        </w:rPr>
        <w:t>。费用支出较年初预算数减少</w:t>
      </w:r>
      <w:r>
        <w:rPr>
          <w:rFonts w:hint="eastAsia" w:ascii="Times New Roman" w:hAnsi="Times New Roman" w:eastAsia="方正仿宋_GBK"/>
          <w:sz w:val="32"/>
          <w:szCs w:val="32"/>
          <w:lang w:val="en-US" w:eastAsia="zh-CN"/>
        </w:rPr>
        <w:t>4.14</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25.88</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较上年支出数减少</w:t>
      </w:r>
      <w:r>
        <w:rPr>
          <w:rFonts w:hint="eastAsia" w:ascii="Times New Roman" w:hAnsi="Times New Roman" w:eastAsia="方正仿宋_GBK"/>
          <w:sz w:val="32"/>
          <w:szCs w:val="32"/>
          <w:lang w:val="en-US" w:eastAsia="zh-CN"/>
        </w:rPr>
        <w:t>0.17</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1.41</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较年初预算和上年决算下降的主要原因是</w:t>
      </w:r>
      <w:r>
        <w:rPr>
          <w:rFonts w:hint="eastAsia" w:ascii="Times New Roman" w:hAnsi="Times New Roman" w:eastAsia="方正仿宋_GBK"/>
          <w:sz w:val="32"/>
          <w:szCs w:val="32"/>
        </w:rPr>
        <w:t>严格落实公车使用规定，厉行节俭，公车运行维护成本下降</w:t>
      </w:r>
      <w:r>
        <w:rPr>
          <w:rFonts w:ascii="Times New Roman" w:hAnsi="Times New Roman" w:eastAsia="方正仿宋_GBK"/>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公务接待费</w:t>
      </w:r>
      <w:r>
        <w:rPr>
          <w:rFonts w:hint="eastAsia" w:ascii="Times New Roman" w:hAnsi="Times New Roman" w:eastAsia="方正仿宋_GBK"/>
          <w:sz w:val="32"/>
          <w:szCs w:val="32"/>
          <w:lang w:val="en-US" w:eastAsia="zh-CN"/>
        </w:rPr>
        <w:t>5.56</w:t>
      </w:r>
      <w:r>
        <w:rPr>
          <w:rFonts w:ascii="Times New Roman" w:hAnsi="Times New Roman" w:eastAsia="方正仿宋_GBK"/>
          <w:sz w:val="32"/>
          <w:szCs w:val="32"/>
        </w:rPr>
        <w:t>万元，主要用于</w:t>
      </w:r>
      <w:r>
        <w:rPr>
          <w:rFonts w:hint="eastAsia" w:ascii="Times New Roman" w:hAnsi="Times New Roman" w:eastAsia="方正仿宋_GBK"/>
          <w:sz w:val="32"/>
          <w:szCs w:val="32"/>
        </w:rPr>
        <w:t>接待各单位工作检查误餐支出</w:t>
      </w:r>
      <w:r>
        <w:rPr>
          <w:rFonts w:ascii="Times New Roman" w:hAnsi="Times New Roman" w:eastAsia="方正仿宋_GBK"/>
          <w:sz w:val="32"/>
          <w:szCs w:val="32"/>
        </w:rPr>
        <w:t>。费用支出较年初预算数减少</w:t>
      </w:r>
      <w:r>
        <w:rPr>
          <w:rFonts w:hint="eastAsia" w:ascii="Times New Roman" w:hAnsi="Times New Roman" w:eastAsia="方正仿宋_GBK"/>
          <w:sz w:val="32"/>
          <w:szCs w:val="32"/>
          <w:lang w:val="en-US" w:eastAsia="zh-CN"/>
        </w:rPr>
        <w:t>1.63</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22.64</w:t>
      </w:r>
      <w:r>
        <w:rPr>
          <w:rFonts w:ascii="Times New Roman" w:hAnsi="Times New Roman" w:eastAsia="方正仿宋_GBK"/>
          <w:sz w:val="32"/>
          <w:szCs w:val="32"/>
        </w:rPr>
        <w:t>%，主要原因是</w:t>
      </w:r>
      <w:r>
        <w:rPr>
          <w:rFonts w:hint="eastAsia" w:ascii="Times New Roman" w:hAnsi="Times New Roman" w:eastAsia="方正仿宋_GBK"/>
          <w:sz w:val="32"/>
          <w:szCs w:val="32"/>
        </w:rPr>
        <w:t>严格执行中央八项规定，提倡食堂就餐，减少公务接待费用</w:t>
      </w:r>
      <w:r>
        <w:rPr>
          <w:rFonts w:ascii="Times New Roman" w:hAnsi="Times New Roman" w:eastAsia="方正仿宋_GBK"/>
          <w:sz w:val="32"/>
          <w:szCs w:val="32"/>
        </w:rPr>
        <w:t>。</w:t>
      </w:r>
      <w:r>
        <w:rPr>
          <w:rFonts w:hint="eastAsia" w:ascii="Times New Roman" w:hAnsi="Times New Roman" w:eastAsia="方正仿宋_GBK"/>
          <w:sz w:val="32"/>
          <w:szCs w:val="32"/>
        </w:rPr>
        <w:t>与上年决算数持平。</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（三）三公”经费实物量情况</w:t>
      </w:r>
      <w:r>
        <w:rPr>
          <w:rFonts w:hint="eastAsia" w:ascii="Times New Roman" w:hAnsi="Times New Roman" w:eastAsia="方正楷体_GBK"/>
          <w:sz w:val="32"/>
          <w:szCs w:val="32"/>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ascii="Times New Roman" w:hAnsi="Times New Roman" w:eastAsia="方正仿宋_GBK"/>
          <w:sz w:val="32"/>
          <w:szCs w:val="32"/>
        </w:rPr>
        <w:t>2024年度本</w:t>
      </w:r>
      <w:r>
        <w:rPr>
          <w:rFonts w:hint="eastAsia" w:ascii="Times New Roman" w:hAnsi="Times New Roman" w:eastAsia="方正仿宋_GBK"/>
          <w:sz w:val="32"/>
          <w:szCs w:val="32"/>
          <w:lang w:val="en-US" w:eastAsia="zh-CN"/>
        </w:rPr>
        <w:t>部门</w:t>
      </w:r>
      <w:r>
        <w:rPr>
          <w:rFonts w:ascii="Times New Roman" w:hAnsi="Times New Roman" w:eastAsia="方正仿宋_GBK"/>
          <w:sz w:val="32"/>
          <w:szCs w:val="32"/>
        </w:rPr>
        <w:t>因公出国（境）共计</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个团组，</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人；公务用车购置</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辆，公务车保有量为</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辆；国内公务接待</w:t>
      </w:r>
      <w:r>
        <w:rPr>
          <w:rFonts w:hint="eastAsia" w:ascii="Times New Roman" w:hAnsi="Times New Roman" w:eastAsia="方正仿宋_GBK"/>
          <w:sz w:val="32"/>
          <w:szCs w:val="32"/>
          <w:lang w:val="en-US" w:eastAsia="zh-CN"/>
        </w:rPr>
        <w:t>133</w:t>
      </w:r>
      <w:r>
        <w:rPr>
          <w:rFonts w:ascii="Times New Roman" w:hAnsi="Times New Roman" w:eastAsia="方正仿宋_GBK"/>
          <w:sz w:val="32"/>
          <w:szCs w:val="32"/>
        </w:rPr>
        <w:t>批次</w:t>
      </w:r>
      <w:r>
        <w:rPr>
          <w:rFonts w:hint="eastAsia" w:ascii="Times New Roman" w:hAnsi="Times New Roman" w:eastAsia="方正仿宋_GBK"/>
          <w:sz w:val="32"/>
          <w:szCs w:val="32"/>
          <w:lang w:val="en-US" w:eastAsia="zh-CN"/>
        </w:rPr>
        <w:t>928</w:t>
      </w:r>
      <w:r>
        <w:rPr>
          <w:rFonts w:ascii="Times New Roman" w:hAnsi="Times New Roman" w:eastAsia="方正仿宋_GBK"/>
          <w:sz w:val="32"/>
          <w:szCs w:val="32"/>
        </w:rPr>
        <w:t>人，其中：国内外事接待</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批次，</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人；国（境）外公务接待</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批次，</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人。2024年本</w:t>
      </w:r>
      <w:r>
        <w:rPr>
          <w:rFonts w:hint="eastAsia" w:ascii="Times New Roman" w:hAnsi="Times New Roman" w:eastAsia="方正仿宋_GBK"/>
          <w:sz w:val="32"/>
          <w:szCs w:val="32"/>
          <w:lang w:val="en-US" w:eastAsia="zh-CN"/>
        </w:rPr>
        <w:t>部门</w:t>
      </w:r>
      <w:r>
        <w:rPr>
          <w:rFonts w:ascii="Times New Roman" w:hAnsi="Times New Roman" w:eastAsia="方正仿宋_GBK"/>
          <w:sz w:val="32"/>
          <w:szCs w:val="32"/>
        </w:rPr>
        <w:t>人均接待费</w:t>
      </w:r>
      <w:r>
        <w:rPr>
          <w:rFonts w:hint="eastAsia" w:ascii="Times New Roman" w:hAnsi="Times New Roman" w:eastAsia="方正仿宋_GBK"/>
          <w:sz w:val="32"/>
          <w:szCs w:val="32"/>
          <w:lang w:val="en-US" w:eastAsia="zh-CN"/>
        </w:rPr>
        <w:t>59.91</w:t>
      </w:r>
      <w:r>
        <w:rPr>
          <w:rFonts w:ascii="Times New Roman" w:hAnsi="Times New Roman" w:eastAsia="方正仿宋_GBK"/>
          <w:sz w:val="32"/>
          <w:szCs w:val="32"/>
        </w:rPr>
        <w:t>元，车均购置费</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万元，车均维护费</w:t>
      </w:r>
      <w:r>
        <w:rPr>
          <w:rFonts w:hint="eastAsia" w:ascii="Times New Roman" w:hAnsi="Times New Roman" w:eastAsia="方正仿宋_GBK"/>
          <w:sz w:val="32"/>
          <w:szCs w:val="32"/>
          <w:lang w:val="en-US" w:eastAsia="zh-CN"/>
        </w:rPr>
        <w:t>2.97</w:t>
      </w:r>
      <w:r>
        <w:rPr>
          <w:rFonts w:ascii="Times New Roman" w:hAnsi="Times New Roman" w:eastAsia="方正仿宋_GBK"/>
          <w:sz w:val="32"/>
          <w:szCs w:val="32"/>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keepNext w:val="0"/>
        <w:keepLines w:val="0"/>
        <w:pageBreakBefore w:val="0"/>
        <w:widowControl/>
        <w:kinsoku/>
        <w:wordWrap/>
        <w:overflowPunct/>
        <w:topLinePunct w:val="0"/>
        <w:autoSpaceDN/>
        <w:bidi w:val="0"/>
        <w:adjustRightInd/>
        <w:spacing w:line="57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（一）财政拨款会议费、培训费和差旅费情况说明。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Times New Roman" w:hAnsi="Times New Roman" w:eastAsia="方正仿宋_GBK" w:cs="Times New Roman"/>
          <w:kern w:val="2"/>
          <w:sz w:val="32"/>
          <w:szCs w:val="32"/>
        </w:rPr>
      </w:pPr>
      <w:r>
        <w:rPr>
          <w:rFonts w:ascii="Times New Roman" w:hAnsi="Times New Roman" w:eastAsia="方正仿宋_GBK"/>
          <w:sz w:val="32"/>
          <w:szCs w:val="32"/>
        </w:rPr>
        <w:t>本年度会议费支出</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r>
        <w:rPr>
          <w:rFonts w:hint="eastAsia" w:ascii="Times New Roman" w:hAnsi="Times New Roman" w:eastAsia="方正仿宋_GBK"/>
          <w:sz w:val="32"/>
          <w:szCs w:val="32"/>
        </w:rPr>
        <w:t>与</w:t>
      </w:r>
      <w:r>
        <w:rPr>
          <w:rFonts w:ascii="Times New Roman" w:hAnsi="Times New Roman" w:eastAsia="方正仿宋_GBK"/>
          <w:sz w:val="32"/>
          <w:szCs w:val="32"/>
        </w:rPr>
        <w:t>上年决算数</w:t>
      </w:r>
      <w:r>
        <w:rPr>
          <w:rFonts w:hint="eastAsia" w:ascii="Times New Roman" w:hAnsi="Times New Roman" w:eastAsia="方正仿宋_GBK"/>
          <w:sz w:val="32"/>
          <w:szCs w:val="32"/>
        </w:rPr>
        <w:t>持平</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主要原因是会计做账科目选择办公费，</w:t>
      </w:r>
      <w:r>
        <w:rPr>
          <w:rFonts w:hint="eastAsia" w:ascii="Times New Roman" w:hAnsi="Times New Roman" w:eastAsia="方正仿宋_GBK"/>
          <w:sz w:val="32"/>
          <w:szCs w:val="32"/>
        </w:rPr>
        <w:t>未使用会议费</w:t>
      </w:r>
      <w:r>
        <w:rPr>
          <w:rFonts w:hint="eastAsia" w:ascii="Times New Roman" w:hAnsi="Times New Roman" w:eastAsia="方正仿宋_GBK"/>
          <w:sz w:val="32"/>
          <w:szCs w:val="32"/>
          <w:lang w:val="en-US" w:eastAsia="zh-CN"/>
        </w:rPr>
        <w:t>科目</w:t>
      </w:r>
      <w:r>
        <w:rPr>
          <w:rFonts w:ascii="Times New Roman" w:hAnsi="Times New Roman" w:eastAsia="方正仿宋_GBK"/>
          <w:sz w:val="32"/>
          <w:szCs w:val="32"/>
        </w:rPr>
        <w:t>。本年度培训费支出</w:t>
      </w:r>
      <w:r>
        <w:rPr>
          <w:rFonts w:hint="eastAsia" w:ascii="Times New Roman" w:hAnsi="Times New Roman" w:eastAsia="方正仿宋_GBK"/>
          <w:sz w:val="32"/>
          <w:szCs w:val="32"/>
          <w:lang w:val="en-US" w:eastAsia="zh-CN"/>
        </w:rPr>
        <w:t>0.61</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减少</w:t>
      </w:r>
      <w:r>
        <w:rPr>
          <w:rFonts w:hint="eastAsia" w:ascii="Times New Roman" w:hAnsi="Times New Roman" w:eastAsia="方正仿宋_GBK"/>
          <w:sz w:val="32"/>
          <w:szCs w:val="32"/>
          <w:lang w:val="en-US" w:eastAsia="zh-CN"/>
        </w:rPr>
        <w:t>0.6</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49.59</w:t>
      </w:r>
      <w:r>
        <w:rPr>
          <w:rFonts w:ascii="Times New Roman" w:hAnsi="Times New Roman" w:eastAsia="方正仿宋_GBK"/>
          <w:sz w:val="32"/>
          <w:szCs w:val="32"/>
        </w:rPr>
        <w:t>%，主要原因是</w:t>
      </w:r>
      <w:r>
        <w:rPr>
          <w:rFonts w:hint="eastAsia" w:ascii="Times New Roman" w:hAnsi="Times New Roman" w:eastAsia="方正仿宋_GBK"/>
          <w:sz w:val="32"/>
          <w:szCs w:val="32"/>
        </w:rPr>
        <w:t>严格控制不必要培训经费支出</w:t>
      </w:r>
      <w:r>
        <w:rPr>
          <w:rFonts w:ascii="Times New Roman" w:hAnsi="Times New Roman" w:eastAsia="方正仿宋_GBK"/>
          <w:sz w:val="32"/>
          <w:szCs w:val="32"/>
        </w:rPr>
        <w:t>。本年度</w:t>
      </w:r>
      <w:r>
        <w:rPr>
          <w:rFonts w:hint="eastAsia" w:ascii="Times New Roman" w:hAnsi="Times New Roman" w:eastAsia="方正仿宋_GBK"/>
          <w:sz w:val="32"/>
          <w:szCs w:val="32"/>
        </w:rPr>
        <w:t>差旅</w:t>
      </w:r>
      <w:r>
        <w:rPr>
          <w:rFonts w:ascii="Times New Roman" w:hAnsi="Times New Roman" w:eastAsia="方正仿宋_GBK"/>
          <w:sz w:val="32"/>
          <w:szCs w:val="32"/>
        </w:rPr>
        <w:t>费支出</w:t>
      </w:r>
      <w:r>
        <w:rPr>
          <w:rFonts w:hint="eastAsia" w:ascii="Times New Roman" w:hAnsi="Times New Roman" w:eastAsia="方正仿宋_GBK"/>
          <w:sz w:val="32"/>
          <w:szCs w:val="32"/>
          <w:lang w:val="en-US" w:eastAsia="zh-CN"/>
        </w:rPr>
        <w:t>15.89</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减少</w:t>
      </w:r>
      <w:r>
        <w:rPr>
          <w:rFonts w:hint="eastAsia" w:ascii="Times New Roman" w:hAnsi="Times New Roman" w:eastAsia="方正仿宋_GBK"/>
          <w:sz w:val="32"/>
          <w:szCs w:val="32"/>
          <w:lang w:val="en-US" w:eastAsia="zh-CN"/>
        </w:rPr>
        <w:t>22.18</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58.26</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严格执行机关管理办法，厉行节约，减少不必要的差旅费开支</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ascii="Times New Roman" w:hAnsi="Times New Roman" w:eastAsia="方正仿宋_GBK" w:cs="Times New Roman"/>
          <w:b/>
          <w:bCs/>
          <w:kern w:val="2"/>
          <w:sz w:val="32"/>
          <w:szCs w:val="32"/>
        </w:rPr>
      </w:pPr>
      <w:r>
        <w:rPr>
          <w:rFonts w:ascii="Times New Roman" w:hAnsi="Times New Roman" w:eastAsia="方正仿宋_GBK"/>
          <w:sz w:val="32"/>
          <w:szCs w:val="32"/>
        </w:rPr>
        <w:t>2024年度本部门机关运行经费支出</w:t>
      </w:r>
      <w:r>
        <w:rPr>
          <w:rFonts w:hint="eastAsia" w:ascii="Times New Roman" w:hAnsi="Times New Roman" w:eastAsia="方正仿宋_GBK"/>
          <w:sz w:val="32"/>
          <w:szCs w:val="32"/>
          <w:lang w:val="en-US" w:eastAsia="zh-CN"/>
        </w:rPr>
        <w:t>117.12</w:t>
      </w:r>
      <w:r>
        <w:rPr>
          <w:rFonts w:ascii="Times New Roman" w:hAnsi="Times New Roman" w:eastAsia="方正仿宋_GBK"/>
          <w:sz w:val="32"/>
          <w:szCs w:val="32"/>
        </w:rPr>
        <w:t>万元，主要用于</w:t>
      </w:r>
      <w:r>
        <w:rPr>
          <w:rFonts w:hint="eastAsia" w:ascii="Times New Roman" w:hAnsi="Times New Roman" w:eastAsia="方正仿宋_GBK"/>
          <w:sz w:val="32"/>
          <w:szCs w:val="32"/>
        </w:rPr>
        <w:t>开支办公费、水费、电费、邮电费、差旅费、培训费、劳务费、公务接待费、公务车运行维护费等等维持单位正常运转经费开支</w:t>
      </w:r>
      <w:r>
        <w:rPr>
          <w:rFonts w:ascii="Times New Roman" w:hAnsi="Times New Roman" w:eastAsia="方正仿宋_GBK"/>
          <w:sz w:val="32"/>
          <w:szCs w:val="32"/>
        </w:rPr>
        <w:t>。机关运行经费</w:t>
      </w:r>
      <w:r>
        <w:rPr>
          <w:rFonts w:hint="eastAsia" w:ascii="Times New Roman" w:hAnsi="Times New Roman" w:eastAsia="方正仿宋_GBK"/>
          <w:sz w:val="32"/>
          <w:szCs w:val="32"/>
        </w:rPr>
        <w:t>与</w:t>
      </w:r>
      <w:r>
        <w:rPr>
          <w:rFonts w:ascii="Times New Roman" w:hAnsi="Times New Roman" w:eastAsia="方正仿宋_GBK"/>
          <w:sz w:val="32"/>
          <w:szCs w:val="32"/>
        </w:rPr>
        <w:t>上年决算数</w:t>
      </w:r>
      <w:r>
        <w:rPr>
          <w:rFonts w:hint="eastAsia" w:ascii="Times New Roman" w:hAnsi="Times New Roman" w:eastAsia="方正仿宋_GBK"/>
          <w:sz w:val="32"/>
          <w:szCs w:val="32"/>
        </w:rPr>
        <w:t>持平</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严格执行机关管理办法，厉行节约，减少不必要的机关运行经费</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ascii="Times New Roman" w:hAnsi="Times New Roman" w:eastAsia="方正仿宋_GBK" w:cs="Times New Roman"/>
          <w:b/>
          <w:bCs/>
          <w:sz w:val="32"/>
          <w:szCs w:val="32"/>
        </w:rPr>
      </w:pPr>
      <w:r>
        <w:rPr>
          <w:rFonts w:ascii="Times New Roman" w:hAnsi="Times New Roman" w:eastAsia="方正仿宋_GBK"/>
          <w:sz w:val="32"/>
          <w:szCs w:val="32"/>
        </w:rPr>
        <w:t>截至2024年12月31日，本</w:t>
      </w:r>
      <w:r>
        <w:rPr>
          <w:rFonts w:hint="eastAsia" w:ascii="Times New Roman" w:hAnsi="Times New Roman" w:eastAsia="方正仿宋_GBK"/>
          <w:sz w:val="32"/>
          <w:szCs w:val="32"/>
          <w:lang w:val="en-US" w:eastAsia="zh-CN"/>
        </w:rPr>
        <w:t>部门</w:t>
      </w:r>
      <w:r>
        <w:rPr>
          <w:rFonts w:ascii="Times New Roman" w:hAnsi="Times New Roman" w:eastAsia="方正仿宋_GBK"/>
          <w:sz w:val="32"/>
          <w:szCs w:val="32"/>
        </w:rPr>
        <w:t>共有车辆</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辆，其中，副部（省）级及以上领导用车</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辆、主要</w:t>
      </w:r>
      <w:r>
        <w:rPr>
          <w:rFonts w:hint="eastAsia" w:ascii="Times New Roman" w:hAnsi="Times New Roman" w:eastAsia="方正仿宋_GBK"/>
          <w:sz w:val="32"/>
          <w:szCs w:val="32"/>
        </w:rPr>
        <w:t>领导干部</w:t>
      </w:r>
      <w:r>
        <w:rPr>
          <w:rFonts w:ascii="Times New Roman" w:hAnsi="Times New Roman" w:eastAsia="方正仿宋_GBK"/>
          <w:sz w:val="32"/>
          <w:szCs w:val="32"/>
        </w:rPr>
        <w:t>用车</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辆、机要通信用车</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辆、应急保障用车</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辆、执法执勤用车</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辆，特种专业技术用车</w:t>
      </w: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辆，离退休干部用车</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辆。单价100万元（含）以上设备</w:t>
      </w:r>
      <w:r>
        <w:rPr>
          <w:rFonts w:hint="eastAsia" w:ascii="Times New Roman" w:hAnsi="Times New Roman" w:eastAsia="方正仿宋_GBK"/>
          <w:sz w:val="32"/>
          <w:szCs w:val="32"/>
        </w:rPr>
        <w:t>（不含车辆）</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台（套）。</w:t>
      </w:r>
    </w:p>
    <w:p>
      <w:pPr>
        <w:keepNext w:val="0"/>
        <w:keepLines w:val="0"/>
        <w:pageBreakBefore w:val="0"/>
        <w:widowControl/>
        <w:kinsoku/>
        <w:wordWrap/>
        <w:overflowPunct/>
        <w:topLinePunct w:val="0"/>
        <w:autoSpaceDN/>
        <w:bidi w:val="0"/>
        <w:adjustRightInd/>
        <w:spacing w:line="57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（四）政府采购支出情况说明。</w:t>
      </w:r>
    </w:p>
    <w:p>
      <w:pPr>
        <w:pStyle w:val="11"/>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Times New Roman" w:hAnsi="Times New Roman" w:eastAsia="方正仿宋_GBK"/>
          <w:sz w:val="32"/>
          <w:szCs w:val="32"/>
        </w:rPr>
        <w:t>2024年度我</w:t>
      </w:r>
      <w:r>
        <w:rPr>
          <w:rFonts w:hint="eastAsia" w:ascii="Times New Roman" w:hAnsi="Times New Roman" w:eastAsia="方正仿宋_GBK"/>
          <w:sz w:val="32"/>
          <w:szCs w:val="32"/>
        </w:rPr>
        <w:t>部门</w:t>
      </w:r>
      <w:r>
        <w:rPr>
          <w:rFonts w:ascii="Times New Roman" w:hAnsi="Times New Roman" w:eastAsia="方正仿宋_GBK"/>
          <w:sz w:val="32"/>
          <w:szCs w:val="32"/>
        </w:rPr>
        <w:t>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2"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keepNext w:val="0"/>
        <w:keepLines w:val="0"/>
        <w:pageBreakBefore w:val="0"/>
        <w:widowControl/>
        <w:kinsoku/>
        <w:wordWrap/>
        <w:overflowPunct/>
        <w:topLinePunct w:val="0"/>
        <w:autoSpaceDN/>
        <w:bidi w:val="0"/>
        <w:adjustRightInd/>
        <w:spacing w:line="570" w:lineRule="exact"/>
        <w:ind w:firstLine="640" w:firstLineChars="200"/>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（一）单位自评情况</w:t>
      </w:r>
    </w:p>
    <w:p>
      <w:pPr>
        <w:pStyle w:val="11"/>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根据预算绩效管理要求，我部门对部门整体和</w:t>
      </w:r>
      <w:r>
        <w:rPr>
          <w:rFonts w:hint="eastAsia" w:ascii="Times New Roman" w:hAnsi="Times New Roman" w:eastAsia="方正仿宋_GBK" w:cs="Times New Roman"/>
          <w:sz w:val="32"/>
          <w:szCs w:val="32"/>
          <w:lang w:val="en-US" w:eastAsia="zh-CN"/>
        </w:rPr>
        <w:t>92</w:t>
      </w:r>
      <w:r>
        <w:rPr>
          <w:rFonts w:hint="eastAsia" w:ascii="Times New Roman" w:hAnsi="Times New Roman" w:eastAsia="方正仿宋_GBK" w:cs="Times New Roman"/>
          <w:sz w:val="32"/>
          <w:szCs w:val="32"/>
        </w:rPr>
        <w:t>个项目开展了绩效自评，涉及财政拨款项目支出资金</w:t>
      </w:r>
      <w:r>
        <w:rPr>
          <w:rFonts w:hint="eastAsia" w:ascii="Times New Roman" w:hAnsi="Times New Roman" w:eastAsia="方正仿宋_GBK" w:cs="Times New Roman"/>
          <w:sz w:val="32"/>
          <w:szCs w:val="32"/>
          <w:lang w:val="en-US" w:eastAsia="zh-CN"/>
        </w:rPr>
        <w:t>1098.70</w:t>
      </w:r>
      <w:r>
        <w:rPr>
          <w:rFonts w:hint="eastAsia"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lang w:eastAsia="zh-CN"/>
        </w:rPr>
      </w:pPr>
      <w:r>
        <w:rPr>
          <w:rFonts w:hint="default" w:ascii="Times New Roman" w:hAnsi="Times New Roman" w:eastAsia="方正仿宋_GBK" w:cs="Times New Roman"/>
          <w:b w:val="0"/>
          <w:bCs w:val="0"/>
          <w:kern w:val="0"/>
          <w:sz w:val="32"/>
          <w:szCs w:val="32"/>
          <w:shd w:val="clear" w:fill="FFFFFF"/>
          <w:lang w:val="en-US" w:eastAsia="zh-CN"/>
        </w:rPr>
        <w:t>2024</w:t>
      </w:r>
      <w:r>
        <w:rPr>
          <w:rFonts w:hint="eastAsia" w:ascii="方正仿宋_GBK" w:hAnsi="方正仿宋_GBK" w:eastAsia="方正仿宋_GBK" w:cs="方正仿宋_GBK"/>
          <w:b w:val="0"/>
          <w:bCs w:val="0"/>
          <w:kern w:val="0"/>
          <w:sz w:val="32"/>
          <w:szCs w:val="32"/>
          <w:shd w:val="clear" w:fill="FFFFFF"/>
          <w:lang w:val="en-US" w:eastAsia="zh-CN"/>
        </w:rPr>
        <w:t>年度</w:t>
      </w:r>
      <w:r>
        <w:rPr>
          <w:rFonts w:hint="eastAsia" w:ascii="方正仿宋_GBK" w:hAnsi="方正仿宋_GBK" w:eastAsia="方正仿宋_GBK" w:cs="方正仿宋_GBK"/>
          <w:b w:val="0"/>
          <w:bCs w:val="0"/>
          <w:kern w:val="0"/>
          <w:sz w:val="32"/>
          <w:szCs w:val="32"/>
          <w:shd w:val="clear" w:fill="FFFFFF"/>
        </w:rPr>
        <w:t>部门整体绩效自评</w:t>
      </w:r>
      <w:r>
        <w:rPr>
          <w:rFonts w:hint="eastAsia" w:ascii="方正仿宋_GBK" w:hAnsi="方正仿宋_GBK" w:eastAsia="方正仿宋_GBK" w:cs="方正仿宋_GBK"/>
          <w:b w:val="0"/>
          <w:bCs w:val="0"/>
          <w:kern w:val="0"/>
          <w:sz w:val="32"/>
          <w:szCs w:val="32"/>
          <w:shd w:val="clear" w:fill="FFFFFF"/>
          <w:lang w:eastAsia="zh-CN"/>
        </w:rPr>
        <w:t>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2" w:firstLineChars="200"/>
        <w:jc w:val="left"/>
        <w:textAlignment w:val="auto"/>
        <w:rPr>
          <w:rFonts w:hint="eastAsia" w:ascii="方正仿宋_GBK" w:hAnsi="方正仿宋_GBK" w:eastAsia="方正仿宋_GBK" w:cs="方正仿宋_GBK"/>
          <w:b/>
          <w:bCs/>
          <w:kern w:val="0"/>
          <w:sz w:val="32"/>
          <w:szCs w:val="32"/>
          <w:shd w:val="clear" w:fill="FFFFFF"/>
          <w:lang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138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7"/>
        <w:gridCol w:w="858"/>
        <w:gridCol w:w="896"/>
        <w:gridCol w:w="1022"/>
        <w:gridCol w:w="2309"/>
        <w:gridCol w:w="1081"/>
        <w:gridCol w:w="1692"/>
        <w:gridCol w:w="1843"/>
        <w:gridCol w:w="650"/>
        <w:gridCol w:w="90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8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8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line="570" w:lineRule="exact"/>
              <w:jc w:val="right"/>
              <w:rPr>
                <w:rFonts w:hint="eastAsia" w:ascii="宋体" w:hAnsi="宋体" w:eastAsia="宋体" w:cs="宋体"/>
                <w:b/>
                <w:bCs/>
                <w:i w:val="0"/>
                <w:iCs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丰都县江池镇人民政府整体监控</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50023000024P000077</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line="570" w:lineRule="exact"/>
              <w:jc w:val="right"/>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920-丰都县江池镇人民政府</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何燕芯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70668006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line="570" w:lineRule="exact"/>
              <w:jc w:val="center"/>
              <w:rPr>
                <w:rFonts w:hint="eastAsia" w:ascii="宋体" w:hAnsi="宋体" w:eastAsia="宋体" w:cs="宋体"/>
                <w:i w:val="0"/>
                <w:iCs w:val="0"/>
                <w:color w:val="000000"/>
                <w:sz w:val="22"/>
                <w:szCs w:val="22"/>
                <w:u w:val="none"/>
              </w:rPr>
            </w:pP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3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85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8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02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21,805,430.76 </w:t>
            </w:r>
          </w:p>
        </w:tc>
        <w:tc>
          <w:tcPr>
            <w:tcW w:w="230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0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37,413,076.83 </w:t>
            </w:r>
          </w:p>
        </w:tc>
        <w:tc>
          <w:tcPr>
            <w:tcW w:w="169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31,304,095.83 </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line="57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85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8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02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21,805,430.76 </w:t>
            </w:r>
          </w:p>
        </w:tc>
        <w:tc>
          <w:tcPr>
            <w:tcW w:w="230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0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37,413,076.83 </w:t>
            </w:r>
          </w:p>
        </w:tc>
        <w:tc>
          <w:tcPr>
            <w:tcW w:w="169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31,304,095.83 </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85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8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02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21,805,430.76 </w:t>
            </w:r>
          </w:p>
        </w:tc>
        <w:tc>
          <w:tcPr>
            <w:tcW w:w="230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0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36,290,276.83 </w:t>
            </w:r>
          </w:p>
        </w:tc>
        <w:tc>
          <w:tcPr>
            <w:tcW w:w="169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30,631,989.83 </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line="57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2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69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6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42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N/>
              <w:bidi w:val="0"/>
              <w:adjustRightInd/>
              <w:spacing w:line="570"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目标1：贯彻执行上级的各项方针政策，确保各项工作目标任务圆满完成。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目标2：妥善处理突发性、群体性事件，调节和处理好各种利益矛盾和纠纷。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目标3：财务方面严格按照“三公”经费预算管理的规定实施。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目标4：贯彻落实社会治安综合治理、安全生产，“乡村振兴”推进工作，人民生活水平不断提高，社会公众满意程度普遍提升。</w:t>
            </w:r>
          </w:p>
        </w:tc>
        <w:tc>
          <w:tcPr>
            <w:tcW w:w="69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N/>
              <w:bidi w:val="0"/>
              <w:adjustRightInd/>
              <w:spacing w:line="570"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目标1：贯彻执行上级的各项方针政策，确保各项工作目标任务圆满完成。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目标2：妥善处理突发性、群体性事件，调节和处理好各种利益矛盾和纠纷。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目标3：财务方面严格按照“三公”经费预算管理的规定实施。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目标4：贯彻落实社会治安综合治理、安全生产，“乡村振兴”推进工作，人民生活水平不断提高，社会公众满意程度普遍提升。</w:t>
            </w:r>
          </w:p>
        </w:tc>
        <w:tc>
          <w:tcPr>
            <w:tcW w:w="2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N/>
              <w:bidi w:val="0"/>
              <w:adjustRightInd/>
              <w:spacing w:line="570"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1.严格贯彻执行上级的各项方针政策，确保各项工作目标任务圆满完成。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2.妥善处理突发性、群体性事件，调节和处理好各种利益矛盾和纠纷。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3.财务方面严格按照“三公”经费预算管理的规定实施。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4.贯彻落实社会治安综合治理、安全生产，“乡村振兴”推进工作，人民生活水平不断提高，社会公众满意程度普遍提升。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完成支出总额</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17594369.81</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31304095.83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年中陆续下达各类专项资金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资金使用合格率</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预算执行及时率</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做到以收定支，收支平衡</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促进本镇经济社会发展</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维护社会秩序，保证社会公正，不断改善经济社会发展环境，为经济建设和人民生活创造良好的条件</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做好本辖区内社会公益事业的建设，促进环保等各项社会事业的协调发展</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推动乡村振兴，促进可持续发展</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社会公众或服务对象满意度</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r>
    </w:tbl>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rightChars="0" w:firstLine="640" w:firstLineChars="200"/>
        <w:jc w:val="left"/>
        <w:textAlignment w:val="auto"/>
        <w:rPr>
          <w:rFonts w:hint="eastAsia" w:ascii="方正书宋_GBK" w:hAnsi="方正书宋_GBK" w:eastAsia="方正书宋_GBK" w:cs="方正书宋_GBK"/>
          <w:b/>
          <w:bCs/>
          <w:kern w:val="0"/>
          <w:sz w:val="32"/>
          <w:szCs w:val="32"/>
          <w:shd w:val="clear" w:fill="FFFFFF"/>
        </w:rPr>
        <w:sectPr>
          <w:pgSz w:w="16840" w:h="11915" w:orient="landscape"/>
          <w:pgMar w:top="1800" w:right="1440" w:bottom="1800" w:left="144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年度项目绩效自评表见附件</w:t>
      </w:r>
    </w:p>
    <w:p>
      <w:pPr>
        <w:keepNext w:val="0"/>
        <w:keepLines w:val="0"/>
        <w:pageBreakBefore w:val="0"/>
        <w:widowControl/>
        <w:kinsoku/>
        <w:wordWrap/>
        <w:overflowPunct/>
        <w:topLinePunct w:val="0"/>
        <w:autoSpaceDN/>
        <w:bidi w:val="0"/>
        <w:adjustRightInd/>
        <w:spacing w:line="570" w:lineRule="exact"/>
        <w:ind w:firstLine="640" w:firstLineChars="200"/>
        <w:textAlignment w:val="auto"/>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（二）部门绩效评价情况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sz w:val="32"/>
          <w:szCs w:val="32"/>
        </w:rPr>
        <w:t>我</w:t>
      </w:r>
      <w:r>
        <w:rPr>
          <w:rFonts w:hint="eastAsia" w:ascii="Times New Roman" w:hAnsi="Times New Roman" w:eastAsia="方正仿宋_GBK"/>
          <w:sz w:val="32"/>
          <w:szCs w:val="32"/>
          <w:lang w:val="en-US" w:eastAsia="zh-CN"/>
        </w:rPr>
        <w:t>部门</w:t>
      </w:r>
      <w:r>
        <w:rPr>
          <w:rFonts w:hint="eastAsia" w:ascii="Times New Roman" w:hAnsi="Times New Roman" w:eastAsia="方正仿宋_GBK"/>
          <w:sz w:val="32"/>
          <w:szCs w:val="32"/>
        </w:rPr>
        <w:t>未组织开展绩效评价。</w:t>
      </w:r>
    </w:p>
    <w:p>
      <w:pPr>
        <w:keepNext w:val="0"/>
        <w:keepLines w:val="0"/>
        <w:pageBreakBefore w:val="0"/>
        <w:widowControl/>
        <w:kinsoku/>
        <w:wordWrap/>
        <w:overflowPunct/>
        <w:topLinePunct w:val="0"/>
        <w:autoSpaceDN/>
        <w:bidi w:val="0"/>
        <w:adjustRightInd/>
        <w:spacing w:line="570" w:lineRule="exact"/>
        <w:ind w:firstLine="640" w:firstLineChars="200"/>
        <w:textAlignment w:val="auto"/>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lang w:val="en-US" w:eastAsia="zh-CN"/>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县财政局未委托第三方对我部门开展绩效评价。</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2"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本单位决算公开信息反馈和联系方式：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向真妮</w:t>
      </w:r>
      <w:r>
        <w:rPr>
          <w:rFonts w:hint="eastAsia" w:ascii="Times New Roman" w:hAnsi="Times New Roman" w:eastAsia="方正仿宋_GBK" w:cs="Times New Roman"/>
          <w:sz w:val="32"/>
          <w:szCs w:val="32"/>
        </w:rPr>
        <w:t xml:space="preserve">   023-</w:t>
      </w:r>
      <w:r>
        <w:rPr>
          <w:rFonts w:hint="eastAsia" w:ascii="Times New Roman" w:hAnsi="Times New Roman" w:eastAsia="方正仿宋_GBK" w:cs="Times New Roman"/>
          <w:sz w:val="32"/>
          <w:szCs w:val="32"/>
          <w:lang w:val="en-US" w:eastAsia="zh-CN"/>
        </w:rPr>
        <w:t>70668010</w:t>
      </w:r>
    </w:p>
    <w:p>
      <w:pPr>
        <w:pStyle w:val="11"/>
        <w:keepNext w:val="0"/>
        <w:keepLines w:val="0"/>
        <w:pageBreakBefore w:val="0"/>
        <w:widowControl/>
        <w:kinsoku/>
        <w:wordWrap/>
        <w:overflowPunct/>
        <w:topLinePunct w:val="0"/>
        <w:autoSpaceDE w:val="0"/>
        <w:autoSpaceDN/>
        <w:bidi w:val="0"/>
        <w:adjustRightInd/>
        <w:spacing w:line="570" w:lineRule="exact"/>
        <w:ind w:firstLine="640"/>
        <w:jc w:val="both"/>
        <w:textAlignment w:val="auto"/>
        <w:rPr>
          <w:rStyle w:val="10"/>
          <w:rFonts w:ascii="方正仿宋_GBK" w:hAnsi="方正仿宋_GBK" w:eastAsia="方正仿宋_GBK" w:cs="方正仿宋_GBK"/>
          <w:sz w:val="32"/>
          <w:szCs w:val="32"/>
          <w:shd w:val="clear" w:color="auto" w:fill="FFFF00"/>
        </w:rPr>
        <w:sectPr>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3511" w:type="pct"/>
        <w:tblInd w:w="0" w:type="dxa"/>
        <w:tblLayout w:type="autofit"/>
        <w:tblCellMar>
          <w:top w:w="0" w:type="dxa"/>
          <w:left w:w="0" w:type="dxa"/>
          <w:bottom w:w="0" w:type="dxa"/>
          <w:right w:w="0" w:type="dxa"/>
        </w:tblCellMar>
      </w:tblPr>
      <w:tblGrid>
        <w:gridCol w:w="3460"/>
        <w:gridCol w:w="1848"/>
        <w:gridCol w:w="3178"/>
        <w:gridCol w:w="2273"/>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60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858"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4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0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467"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丰都县江池镇人民政府</w:t>
            </w:r>
          </w:p>
        </w:tc>
        <w:tc>
          <w:tcPr>
            <w:tcW w:w="14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10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46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532"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2,815.87</w:t>
            </w: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655.24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24.37</w:t>
            </w: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858"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2,840.24</w:t>
            </w: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2,878.40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38.17</w:t>
            </w: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105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2,878.40</w:t>
            </w: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0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2,878.40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4061" w:type="pct"/>
        <w:tblInd w:w="0" w:type="dxa"/>
        <w:tblLayout w:type="fixed"/>
        <w:tblCellMar>
          <w:top w:w="0" w:type="dxa"/>
          <w:left w:w="0" w:type="dxa"/>
          <w:bottom w:w="0" w:type="dxa"/>
          <w:right w:w="0" w:type="dxa"/>
        </w:tblCellMar>
      </w:tblPr>
      <w:tblGrid>
        <w:gridCol w:w="1362"/>
        <w:gridCol w:w="2973"/>
        <w:gridCol w:w="1047"/>
        <w:gridCol w:w="1050"/>
        <w:gridCol w:w="1035"/>
        <w:gridCol w:w="975"/>
        <w:gridCol w:w="930"/>
        <w:gridCol w:w="975"/>
        <w:gridCol w:w="975"/>
        <w:gridCol w:w="1125"/>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丰都县江池镇人民政府</w:t>
            </w:r>
          </w:p>
        </w:tc>
        <w:tc>
          <w:tcPr>
            <w:tcW w:w="42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5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5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741"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547"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9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4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9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4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9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4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9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74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2,840.24</w:t>
            </w:r>
            <w:r>
              <w:rPr>
                <w:rFonts w:ascii="Times New Roman" w:hAnsi="Times New Roman"/>
                <w:b/>
                <w:color w:val="000000"/>
                <w:sz w:val="20"/>
                <w:u w:color="auto"/>
              </w:rPr>
              <w:t xml:space="preserve"> </w:t>
            </w:r>
          </w:p>
        </w:tc>
        <w:tc>
          <w:tcPr>
            <w:tcW w:w="4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2,840.24</w:t>
            </w:r>
            <w:r>
              <w:rPr>
                <w:rFonts w:ascii="Times New Roman" w:hAnsi="Times New Roman"/>
                <w:b/>
                <w:color w:val="000000"/>
                <w:sz w:val="20"/>
                <w:u w:color="auto"/>
              </w:rPr>
              <w:t xml:space="preserve"> </w:t>
            </w:r>
          </w:p>
        </w:tc>
        <w:tc>
          <w:tcPr>
            <w:tcW w:w="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654.74</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654.74</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632.76</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632.76</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484.05</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484.05</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553.56</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553.56</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104.11</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104.11</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105.63</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105.63</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105.63</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105.63</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233.60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233.60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91.27</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91.27</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93.34</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93.34</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93.34</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93.34</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13.88</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13.88</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14.72</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14.72</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21.31</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21.31</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150.60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150.60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787.81</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787.81</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299.83</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299.83</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200.05</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200.05</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17.29</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17.29</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57.77</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57.77</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160.27</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160.27</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75.11</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75.11</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71.33</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71.33</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312.31</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312.31</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297.21</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297.21</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326.45</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326.45</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326.45</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326.45</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259.37</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259.37</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93.43</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93.43</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7"/>
        <w:tblW w:w="3919" w:type="pct"/>
        <w:tblInd w:w="0" w:type="dxa"/>
        <w:tblLayout w:type="fixed"/>
        <w:tblCellMar>
          <w:top w:w="0" w:type="dxa"/>
          <w:left w:w="0" w:type="dxa"/>
          <w:bottom w:w="0" w:type="dxa"/>
          <w:right w:w="0" w:type="dxa"/>
        </w:tblCellMar>
      </w:tblPr>
      <w:tblGrid>
        <w:gridCol w:w="1237"/>
        <w:gridCol w:w="3197"/>
        <w:gridCol w:w="1320"/>
        <w:gridCol w:w="1230"/>
        <w:gridCol w:w="1215"/>
        <w:gridCol w:w="1455"/>
        <w:gridCol w:w="1245"/>
        <w:gridCol w:w="1111"/>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39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丰都县江池镇人民政府 </w:t>
            </w:r>
          </w:p>
        </w:tc>
        <w:tc>
          <w:tcPr>
            <w:tcW w:w="51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39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8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51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3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1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3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1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3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1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3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8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2,878.40</w:t>
            </w:r>
            <w:r>
              <w:rPr>
                <w:rFonts w:ascii="Times New Roman" w:hAnsi="Times New Roman"/>
                <w:b/>
                <w:color w:val="000000"/>
                <w:sz w:val="20"/>
                <w:u w:color="auto"/>
              </w:rPr>
              <w:t xml:space="preserve"> </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1,779.70</w:t>
            </w:r>
            <w:r>
              <w:rPr>
                <w:rFonts w:ascii="Times New Roman" w:hAnsi="Times New Roman"/>
                <w:b/>
                <w:color w:val="000000"/>
                <w:sz w:val="20"/>
                <w:u w:color="auto"/>
              </w:rPr>
              <w:t xml:space="preserve"> </w:t>
            </w:r>
          </w:p>
        </w:tc>
        <w:tc>
          <w:tcPr>
            <w:tcW w:w="5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1,098.70</w:t>
            </w:r>
            <w:r>
              <w:rPr>
                <w:rFonts w:ascii="Times New Roman" w:hAnsi="Times New Roman"/>
                <w:b/>
                <w:color w:val="000000"/>
                <w:sz w:val="20"/>
                <w:u w:color="auto"/>
              </w:rPr>
              <w:t xml:space="preserve"> </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655.24</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582.36</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72.88</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632.76</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577.79</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54.97</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484.05</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484.05</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93.73</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44.98</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47.46</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47.46</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553.56</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451.34</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102.22</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104.11</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104.11</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105.63</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105.63</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105.63</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105.63</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233.60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233.60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91.27</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91.27</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93.34</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93.34</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93.34</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93.34</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13.88</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14.72</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14.72</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21.31</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21.31</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150.60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803.92</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490.74</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313.18</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308.68</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200.05</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108.64</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200.05</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200.05</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17.29</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17.29</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66.63</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66.63</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167.53</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167.53</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75.11</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75.11</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78.59</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78.59</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312.31</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290.69</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21.62</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297.21</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290.69</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259.37</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259.37</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82.55</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82.55</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93.43</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93.43</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p>
      <w:pPr>
        <w:rPr>
          <w:rFonts w:hint="default" w:cs="宋体"/>
          <w:sz w:val="21"/>
          <w:szCs w:val="21"/>
        </w:rPr>
      </w:pPr>
    </w:p>
    <w:tbl>
      <w:tblPr>
        <w:tblStyle w:val="7"/>
        <w:tblW w:w="4012" w:type="pct"/>
        <w:tblInd w:w="0" w:type="dxa"/>
        <w:tblLayout w:type="autofit"/>
        <w:tblCellMar>
          <w:top w:w="0" w:type="dxa"/>
          <w:left w:w="0" w:type="dxa"/>
          <w:bottom w:w="0" w:type="dxa"/>
          <w:right w:w="0" w:type="dxa"/>
        </w:tblCellMar>
      </w:tblPr>
      <w:tblGrid>
        <w:gridCol w:w="2943"/>
        <w:gridCol w:w="1094"/>
        <w:gridCol w:w="2820"/>
        <w:gridCol w:w="1242"/>
        <w:gridCol w:w="1306"/>
        <w:gridCol w:w="1315"/>
        <w:gridCol w:w="1574"/>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78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丰都县江池镇人民政府</w:t>
            </w:r>
          </w:p>
        </w:tc>
        <w:tc>
          <w:tcPr>
            <w:tcW w:w="50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3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789"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0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3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35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1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14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210"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14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2,815.87</w:t>
            </w:r>
            <w:r>
              <w:rPr>
                <w:rFonts w:ascii="Times New Roman" w:hAnsi="Times New Roman"/>
                <w:color w:val="000000"/>
                <w:sz w:val="18"/>
                <w:u w:color="auto"/>
              </w:rPr>
              <w:t xml:space="preserve"> </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655.24</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655.24</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24.37</w:t>
            </w:r>
            <w:r>
              <w:rPr>
                <w:rFonts w:ascii="Times New Roman" w:hAnsi="Times New Roman"/>
                <w:color w:val="000000"/>
                <w:sz w:val="18"/>
                <w:u w:color="auto"/>
              </w:rPr>
              <w:t xml:space="preserve"> </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54.07</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54.07</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553.56</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553.56</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61.09</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61.09</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150.60</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150.60</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803.92</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803.92</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348.00</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348.00</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74.00</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74.00</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60.11</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60.11</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93.43</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93.43</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24.37</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24.37</w:t>
            </w: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2,840.24</w:t>
            </w:r>
            <w:r>
              <w:rPr>
                <w:rFonts w:ascii="Times New Roman" w:hAnsi="Times New Roman"/>
                <w:color w:val="000000"/>
                <w:sz w:val="18"/>
                <w:u w:color="auto"/>
              </w:rPr>
              <w:t xml:space="preserve"> </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2,878.40</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2,854.03</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24.37</w:t>
            </w: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38.17</w:t>
            </w:r>
            <w:r>
              <w:rPr>
                <w:rFonts w:ascii="Times New Roman" w:hAnsi="Times New Roman"/>
                <w:color w:val="000000"/>
                <w:sz w:val="18"/>
                <w:u w:color="auto"/>
              </w:rPr>
              <w:t xml:space="preserve"> </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38.17</w:t>
            </w:r>
            <w:r>
              <w:rPr>
                <w:rFonts w:ascii="Times New Roman" w:hAnsi="Times New Roman"/>
                <w:color w:val="000000"/>
                <w:sz w:val="18"/>
                <w:u w:color="auto"/>
              </w:rPr>
              <w:t xml:space="preserve"> </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2,878.40</w:t>
            </w:r>
            <w:r>
              <w:rPr>
                <w:rFonts w:ascii="Times New Roman" w:hAnsi="Times New Roman"/>
                <w:color w:val="000000"/>
                <w:sz w:val="18"/>
                <w:u w:color="auto"/>
              </w:rPr>
              <w:t xml:space="preserve"> </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2,878.40</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2,854.03</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24.37</w:t>
            </w: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3283" w:type="pct"/>
        <w:tblInd w:w="0" w:type="dxa"/>
        <w:tblLayout w:type="autofit"/>
        <w:tblCellMar>
          <w:top w:w="0" w:type="dxa"/>
          <w:left w:w="0" w:type="dxa"/>
          <w:bottom w:w="0" w:type="dxa"/>
          <w:right w:w="0" w:type="dxa"/>
        </w:tblCellMar>
      </w:tblPr>
      <w:tblGrid>
        <w:gridCol w:w="1298"/>
        <w:gridCol w:w="4074"/>
        <w:gridCol w:w="1282"/>
        <w:gridCol w:w="1424"/>
        <w:gridCol w:w="1982"/>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3307"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丰都县江池镇人民政府</w:t>
            </w:r>
          </w:p>
        </w:tc>
        <w:tc>
          <w:tcPr>
            <w:tcW w:w="7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98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330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7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98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26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2329"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64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02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3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70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98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64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2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70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8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64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2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70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8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2670"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2,854.03</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1,779.70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1,074.33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655.24</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582.36</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632.76</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577.79</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484.05</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484.05</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93.73</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5.79</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47.46</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47.46</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47.46</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47.46</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553.56</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451.34</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102.22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104.11</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104.11</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105.63</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105.63</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105.63</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105.63</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233.60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233.60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91.27</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91.27</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93.34</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93.34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93.34</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13.88</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13.88</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25.06</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25.06</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14.72</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14.72</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21.31</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21.31</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150.60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803.92</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490.74</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308.68</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200.05</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200.05</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200.05</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17.29</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66.63</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66.63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4.71</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167.53</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167.53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75.11</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78.59</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312.31</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290.69</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297.21</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290.69</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259.37</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259.37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82.55</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93.43</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233" w:type="pct"/>
        <w:tblInd w:w="0" w:type="dxa"/>
        <w:tblLayout w:type="fixed"/>
        <w:tblCellMar>
          <w:top w:w="0" w:type="dxa"/>
          <w:left w:w="0" w:type="dxa"/>
          <w:bottom w:w="0" w:type="dxa"/>
          <w:right w:w="0" w:type="dxa"/>
        </w:tblCellMar>
      </w:tblPr>
      <w:tblGrid>
        <w:gridCol w:w="802"/>
        <w:gridCol w:w="2810"/>
        <w:gridCol w:w="793"/>
        <w:gridCol w:w="918"/>
        <w:gridCol w:w="1833"/>
        <w:gridCol w:w="946"/>
        <w:gridCol w:w="1169"/>
        <w:gridCol w:w="2289"/>
        <w:gridCol w:w="141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758"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丰都县江池镇人民政府</w:t>
            </w:r>
          </w:p>
        </w:tc>
        <w:tc>
          <w:tcPr>
            <w:tcW w:w="36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5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8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54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758"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6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5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8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54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9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02"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309"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w:t>
            </w:r>
            <w:r>
              <w:rPr>
                <w:rFonts w:hint="eastAsia" w:ascii="宋体" w:hAnsi="宋体" w:eastAsia="宋体" w:cs="宋体"/>
                <w:b/>
                <w:color w:val="000000"/>
                <w:sz w:val="18"/>
                <w:szCs w:val="18"/>
              </w:rPr>
              <w:t>按“款”级经济分类科目</w:t>
            </w:r>
            <w:r>
              <w:rPr>
                <w:rFonts w:ascii="宋体" w:hAnsi="宋体" w:eastAsia="宋体" w:cs="宋体"/>
                <w:b/>
                <w:color w:val="000000"/>
                <w:sz w:val="18"/>
                <w:szCs w:val="18"/>
              </w:rPr>
              <w:t>）</w:t>
            </w:r>
          </w:p>
        </w:tc>
        <w:tc>
          <w:tcPr>
            <w:tcW w:w="30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3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70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w:t>
            </w:r>
            <w:r>
              <w:rPr>
                <w:rFonts w:hint="eastAsia" w:ascii="宋体" w:hAnsi="宋体" w:eastAsia="宋体" w:cs="宋体"/>
                <w:b/>
                <w:color w:val="000000"/>
                <w:sz w:val="18"/>
                <w:szCs w:val="18"/>
              </w:rPr>
              <w:t>按“款”级经济分类科目</w:t>
            </w:r>
            <w:r>
              <w:rPr>
                <w:rFonts w:ascii="宋体" w:hAnsi="宋体" w:eastAsia="宋体" w:cs="宋体"/>
                <w:b/>
                <w:color w:val="000000"/>
                <w:sz w:val="18"/>
                <w:szCs w:val="18"/>
              </w:rPr>
              <w:t>）</w:t>
            </w:r>
          </w:p>
        </w:tc>
        <w:tc>
          <w:tcPr>
            <w:tcW w:w="36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450"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8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w:t>
            </w:r>
            <w:r>
              <w:rPr>
                <w:rFonts w:hint="eastAsia" w:ascii="宋体" w:hAnsi="宋体" w:eastAsia="宋体" w:cs="宋体"/>
                <w:b/>
                <w:color w:val="000000"/>
                <w:sz w:val="18"/>
                <w:szCs w:val="18"/>
              </w:rPr>
              <w:t>按“款”级经济分类科目</w:t>
            </w:r>
            <w:r>
              <w:rPr>
                <w:rFonts w:ascii="宋体" w:hAnsi="宋体" w:eastAsia="宋体" w:cs="宋体"/>
                <w:b/>
                <w:color w:val="000000"/>
                <w:sz w:val="18"/>
                <w:szCs w:val="18"/>
              </w:rPr>
              <w:t>）</w:t>
            </w:r>
          </w:p>
        </w:tc>
        <w:tc>
          <w:tcPr>
            <w:tcW w:w="54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30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0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70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6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5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8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4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973.28</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223.36</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206.32</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104.96</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112.14</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151.65</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221.47</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95.60</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62.43</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11.06</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38.91</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8.36</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14.74</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60.11</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14.04</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581.91</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15.47</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523.43</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43.00</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16.30</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11.86</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21.74</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30.39</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392"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30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1,555.19</w:t>
            </w:r>
            <w:r>
              <w:rPr>
                <w:rFonts w:ascii="Times New Roman" w:hAnsi="Times New Roman"/>
                <w:color w:val="000000"/>
                <w:sz w:val="18"/>
                <w:u w:color="auto"/>
              </w:rPr>
              <w:t xml:space="preserve"> </w:t>
            </w:r>
          </w:p>
        </w:tc>
        <w:tc>
          <w:tcPr>
            <w:tcW w:w="2757"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5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224.51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7"/>
        <w:tblW w:w="4052" w:type="pct"/>
        <w:tblInd w:w="0" w:type="dxa"/>
        <w:tblLayout w:type="fixed"/>
        <w:tblCellMar>
          <w:top w:w="0" w:type="dxa"/>
          <w:left w:w="0" w:type="dxa"/>
          <w:bottom w:w="0" w:type="dxa"/>
          <w:right w:w="0" w:type="dxa"/>
        </w:tblCellMar>
      </w:tblPr>
      <w:tblGrid>
        <w:gridCol w:w="1373"/>
        <w:gridCol w:w="2957"/>
        <w:gridCol w:w="1142"/>
        <w:gridCol w:w="1200"/>
        <w:gridCol w:w="1305"/>
        <w:gridCol w:w="1440"/>
        <w:gridCol w:w="1590"/>
        <w:gridCol w:w="1410"/>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203"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丰都县江池镇人民政府</w:t>
            </w:r>
          </w:p>
        </w:tc>
        <w:tc>
          <w:tcPr>
            <w:tcW w:w="48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4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203"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8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4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74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459"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74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59"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64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9"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4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9"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4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743"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24.37</w:t>
            </w:r>
            <w:r>
              <w:rPr>
                <w:rFonts w:ascii="Times New Roman" w:hAnsi="Times New Roman"/>
                <w:b/>
                <w:color w:val="000000"/>
                <w:sz w:val="20"/>
                <w:u w:color="auto"/>
              </w:rPr>
              <w:t xml:space="preserve"> </w:t>
            </w:r>
          </w:p>
        </w:tc>
        <w:tc>
          <w:tcPr>
            <w:tcW w:w="5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24.37</w:t>
            </w:r>
            <w:r>
              <w:rPr>
                <w:rFonts w:ascii="Times New Roman" w:hAnsi="Times New Roman"/>
                <w:b/>
                <w:color w:val="000000"/>
                <w:sz w:val="20"/>
                <w:u w:color="auto"/>
              </w:rPr>
              <w:t xml:space="preserve"> </w:t>
            </w:r>
          </w:p>
        </w:tc>
        <w:tc>
          <w:tcPr>
            <w:tcW w:w="5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24.37</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5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5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5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5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5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5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4066" w:type="pct"/>
        <w:tblInd w:w="0" w:type="dxa"/>
        <w:tblLayout w:type="fixed"/>
        <w:tblCellMar>
          <w:top w:w="0" w:type="dxa"/>
          <w:left w:w="0" w:type="dxa"/>
          <w:bottom w:w="0" w:type="dxa"/>
          <w:right w:w="0" w:type="dxa"/>
        </w:tblCellMar>
      </w:tblPr>
      <w:tblGrid>
        <w:gridCol w:w="1305"/>
        <w:gridCol w:w="1782"/>
        <w:gridCol w:w="1620"/>
        <w:gridCol w:w="3238"/>
        <w:gridCol w:w="235"/>
        <w:gridCol w:w="2090"/>
        <w:gridCol w:w="219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328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丰都县江池镇人民政府</w:t>
            </w:r>
          </w:p>
        </w:tc>
        <w:tc>
          <w:tcPr>
            <w:tcW w:w="8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87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3282" w:type="pct"/>
            <w:gridSpan w:val="5"/>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8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87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2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76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52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71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649"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9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811" w:type="pct"/>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52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71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4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11"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52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71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4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11"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52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71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4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11"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2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811"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5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7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6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2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811"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tbl>
      <w:tblPr>
        <w:tblStyle w:val="7"/>
        <w:tblW w:w="3591" w:type="pct"/>
        <w:tblInd w:w="0" w:type="dxa"/>
        <w:tblLayout w:type="autofit"/>
        <w:tblCellMar>
          <w:top w:w="0" w:type="dxa"/>
          <w:left w:w="170" w:type="dxa"/>
          <w:bottom w:w="0" w:type="dxa"/>
          <w:right w:w="170" w:type="dxa"/>
        </w:tblCellMar>
      </w:tblPr>
      <w:tblGrid>
        <w:gridCol w:w="3156"/>
        <w:gridCol w:w="1246"/>
        <w:gridCol w:w="1171"/>
        <w:gridCol w:w="3761"/>
        <w:gridCol w:w="167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43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566"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532"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70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757"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2000"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丰都县江池镇人民政府</w:t>
            </w:r>
          </w:p>
        </w:tc>
        <w:tc>
          <w:tcPr>
            <w:tcW w:w="532"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70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757"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117.12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17.42</w:t>
            </w:r>
            <w:r>
              <w:rPr>
                <w:rFonts w:ascii="Times New Roman" w:hAnsi="Times New Roman"/>
                <w:color w:val="000000"/>
                <w:sz w:val="18"/>
                <w:u w:color="auto"/>
              </w:rPr>
              <w:t xml:space="preserve"> </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17.42</w:t>
            </w: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117.12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11.86</w:t>
            </w:r>
            <w:r>
              <w:rPr>
                <w:rFonts w:ascii="Times New Roman" w:hAnsi="Times New Roman"/>
                <w:color w:val="000000"/>
                <w:sz w:val="18"/>
                <w:u w:color="auto"/>
              </w:rPr>
              <w:t xml:space="preserve"> </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11.86</w:t>
            </w: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11.86</w:t>
            </w:r>
            <w:r>
              <w:rPr>
                <w:rFonts w:ascii="Times New Roman" w:hAnsi="Times New Roman"/>
                <w:color w:val="000000"/>
                <w:sz w:val="18"/>
                <w:u w:color="auto"/>
              </w:rPr>
              <w:t xml:space="preserve"> </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11.86</w:t>
            </w: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w:t>
            </w:r>
            <w:r>
              <w:rPr>
                <w:rFonts w:hint="eastAsia" w:ascii="Times New Roman" w:hAnsi="Times New Roman"/>
                <w:color w:val="000000"/>
                <w:kern w:val="2"/>
                <w:sz w:val="18"/>
                <w:szCs w:val="18"/>
                <w:lang w:val="en-US" w:eastAsia="zh-CN"/>
              </w:rPr>
              <w:t>6</w:t>
            </w:r>
            <w:r>
              <w:rPr>
                <w:rFonts w:ascii="Times New Roman" w:hAnsi="Times New Roman"/>
                <w:color w:val="000000"/>
                <w:sz w:val="18"/>
                <w:u w:color="auto"/>
              </w:rPr>
              <w:t xml:space="preserve"> </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w:t>
            </w:r>
            <w:r>
              <w:rPr>
                <w:rFonts w:hint="eastAsia" w:ascii="Times New Roman" w:hAnsi="Times New Roman"/>
                <w:color w:val="000000"/>
                <w:kern w:val="2"/>
                <w:sz w:val="18"/>
                <w:szCs w:val="18"/>
                <w:lang w:val="en-US" w:eastAsia="zh-CN"/>
              </w:rPr>
              <w:t>6</w:t>
            </w: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w:t>
            </w:r>
            <w:r>
              <w:rPr>
                <w:rFonts w:hint="eastAsia" w:ascii="Times New Roman" w:hAnsi="Times New Roman"/>
                <w:color w:val="000000"/>
                <w:kern w:val="2"/>
                <w:sz w:val="18"/>
                <w:szCs w:val="18"/>
                <w:lang w:val="en-US" w:eastAsia="zh-CN"/>
              </w:rPr>
              <w:t>6</w:t>
            </w: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133</w:t>
            </w: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928</w:t>
            </w: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15.89</w:t>
            </w: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bookmarkEnd w:id="0"/>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12F9D"/>
    <w:rsid w:val="01474EBF"/>
    <w:rsid w:val="01F3521E"/>
    <w:rsid w:val="03077B2E"/>
    <w:rsid w:val="03B87EA0"/>
    <w:rsid w:val="03E3214F"/>
    <w:rsid w:val="044C50BA"/>
    <w:rsid w:val="05BC6D49"/>
    <w:rsid w:val="06194FF1"/>
    <w:rsid w:val="06713B9F"/>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6B0C11"/>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193219"/>
    <w:rsid w:val="114278C6"/>
    <w:rsid w:val="1158083A"/>
    <w:rsid w:val="11643A4B"/>
    <w:rsid w:val="11ED0F98"/>
    <w:rsid w:val="11F03528"/>
    <w:rsid w:val="12835D39"/>
    <w:rsid w:val="12C921C4"/>
    <w:rsid w:val="12F52ECF"/>
    <w:rsid w:val="13871C70"/>
    <w:rsid w:val="13A71CB4"/>
    <w:rsid w:val="13AF1D43"/>
    <w:rsid w:val="13CE1647"/>
    <w:rsid w:val="13DA0C25"/>
    <w:rsid w:val="13FD55AB"/>
    <w:rsid w:val="14200702"/>
    <w:rsid w:val="14907817"/>
    <w:rsid w:val="163A6CEE"/>
    <w:rsid w:val="173708E3"/>
    <w:rsid w:val="174C19C7"/>
    <w:rsid w:val="1784669F"/>
    <w:rsid w:val="17C374FC"/>
    <w:rsid w:val="18636A0E"/>
    <w:rsid w:val="189079DC"/>
    <w:rsid w:val="189B0D0B"/>
    <w:rsid w:val="18B43F7C"/>
    <w:rsid w:val="194A1770"/>
    <w:rsid w:val="19B906A4"/>
    <w:rsid w:val="19FB026E"/>
    <w:rsid w:val="1B6F15B6"/>
    <w:rsid w:val="1BAA2EDC"/>
    <w:rsid w:val="1C0742C1"/>
    <w:rsid w:val="1C5C0973"/>
    <w:rsid w:val="1CA55E64"/>
    <w:rsid w:val="1D014A01"/>
    <w:rsid w:val="1D022362"/>
    <w:rsid w:val="1D1B04B0"/>
    <w:rsid w:val="1D1D2C3D"/>
    <w:rsid w:val="1D6534C4"/>
    <w:rsid w:val="1DBD6767"/>
    <w:rsid w:val="1DC52125"/>
    <w:rsid w:val="1DCD0774"/>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3A37EA"/>
    <w:rsid w:val="24B92327"/>
    <w:rsid w:val="24C14514"/>
    <w:rsid w:val="2533755C"/>
    <w:rsid w:val="25791755"/>
    <w:rsid w:val="26396DF4"/>
    <w:rsid w:val="27167136"/>
    <w:rsid w:val="27B23302"/>
    <w:rsid w:val="29310A5F"/>
    <w:rsid w:val="29C37A35"/>
    <w:rsid w:val="2A076083"/>
    <w:rsid w:val="2A5A1B71"/>
    <w:rsid w:val="2A73162E"/>
    <w:rsid w:val="2A751F0B"/>
    <w:rsid w:val="2B167953"/>
    <w:rsid w:val="2B200583"/>
    <w:rsid w:val="2B220436"/>
    <w:rsid w:val="2B8209DE"/>
    <w:rsid w:val="2B9F460F"/>
    <w:rsid w:val="2BA64024"/>
    <w:rsid w:val="2C6762A3"/>
    <w:rsid w:val="2EBF7B3E"/>
    <w:rsid w:val="2EDE1934"/>
    <w:rsid w:val="2EE20276"/>
    <w:rsid w:val="2FCA4B37"/>
    <w:rsid w:val="2FE029D7"/>
    <w:rsid w:val="2FF06E00"/>
    <w:rsid w:val="30562E26"/>
    <w:rsid w:val="30586FEC"/>
    <w:rsid w:val="30EC7046"/>
    <w:rsid w:val="313E6AF7"/>
    <w:rsid w:val="315F0B22"/>
    <w:rsid w:val="319D022C"/>
    <w:rsid w:val="31C90022"/>
    <w:rsid w:val="31D84415"/>
    <w:rsid w:val="31EF3A0E"/>
    <w:rsid w:val="32285F6F"/>
    <w:rsid w:val="32770556"/>
    <w:rsid w:val="329C0913"/>
    <w:rsid w:val="32AA0460"/>
    <w:rsid w:val="3337290D"/>
    <w:rsid w:val="33E31118"/>
    <w:rsid w:val="33EF7674"/>
    <w:rsid w:val="342D7BC6"/>
    <w:rsid w:val="34475F39"/>
    <w:rsid w:val="34ED54E4"/>
    <w:rsid w:val="352930DB"/>
    <w:rsid w:val="35573069"/>
    <w:rsid w:val="355F6038"/>
    <w:rsid w:val="35717CBC"/>
    <w:rsid w:val="358C217E"/>
    <w:rsid w:val="35937598"/>
    <w:rsid w:val="36C9128A"/>
    <w:rsid w:val="372E3953"/>
    <w:rsid w:val="37841E99"/>
    <w:rsid w:val="37BE7A98"/>
    <w:rsid w:val="37BF1123"/>
    <w:rsid w:val="383C3F15"/>
    <w:rsid w:val="388B3C27"/>
    <w:rsid w:val="38BE4696"/>
    <w:rsid w:val="3939115E"/>
    <w:rsid w:val="39B82A39"/>
    <w:rsid w:val="39C42CA8"/>
    <w:rsid w:val="39DC4FD6"/>
    <w:rsid w:val="39F03D7A"/>
    <w:rsid w:val="39F33306"/>
    <w:rsid w:val="3A2C1C67"/>
    <w:rsid w:val="3A6701BF"/>
    <w:rsid w:val="3AF26FAA"/>
    <w:rsid w:val="3B1705E5"/>
    <w:rsid w:val="3B18334B"/>
    <w:rsid w:val="3B36794F"/>
    <w:rsid w:val="3C566AD6"/>
    <w:rsid w:val="3C6A5B02"/>
    <w:rsid w:val="3D0657A9"/>
    <w:rsid w:val="3D2757A1"/>
    <w:rsid w:val="3D3D4FC4"/>
    <w:rsid w:val="3D65609E"/>
    <w:rsid w:val="3DDF3AB1"/>
    <w:rsid w:val="3E1D0952"/>
    <w:rsid w:val="3E42660A"/>
    <w:rsid w:val="3E7555B1"/>
    <w:rsid w:val="3E787ED9"/>
    <w:rsid w:val="3EEC37F3"/>
    <w:rsid w:val="3F032E93"/>
    <w:rsid w:val="3F0527E5"/>
    <w:rsid w:val="3F4814B0"/>
    <w:rsid w:val="3F5E5D98"/>
    <w:rsid w:val="3F694D83"/>
    <w:rsid w:val="3F885DCC"/>
    <w:rsid w:val="3FA5067B"/>
    <w:rsid w:val="3FCD675E"/>
    <w:rsid w:val="3FD86860"/>
    <w:rsid w:val="4004000C"/>
    <w:rsid w:val="40D54604"/>
    <w:rsid w:val="4105229D"/>
    <w:rsid w:val="411B6CE5"/>
    <w:rsid w:val="412070D7"/>
    <w:rsid w:val="41314E40"/>
    <w:rsid w:val="41E0734B"/>
    <w:rsid w:val="426554D0"/>
    <w:rsid w:val="426C1EA8"/>
    <w:rsid w:val="42736402"/>
    <w:rsid w:val="42E86A87"/>
    <w:rsid w:val="43307B09"/>
    <w:rsid w:val="43470647"/>
    <w:rsid w:val="438D0E97"/>
    <w:rsid w:val="43BB152F"/>
    <w:rsid w:val="44494994"/>
    <w:rsid w:val="44991429"/>
    <w:rsid w:val="44C37687"/>
    <w:rsid w:val="453E18DA"/>
    <w:rsid w:val="45CB699A"/>
    <w:rsid w:val="465B470D"/>
    <w:rsid w:val="467A73AF"/>
    <w:rsid w:val="469D6AD4"/>
    <w:rsid w:val="471E6C84"/>
    <w:rsid w:val="4748792B"/>
    <w:rsid w:val="475D719D"/>
    <w:rsid w:val="47674801"/>
    <w:rsid w:val="48225EF7"/>
    <w:rsid w:val="488F422B"/>
    <w:rsid w:val="48E36915"/>
    <w:rsid w:val="495C4A24"/>
    <w:rsid w:val="497135DF"/>
    <w:rsid w:val="49A048F5"/>
    <w:rsid w:val="49C038E2"/>
    <w:rsid w:val="4A1605D9"/>
    <w:rsid w:val="4A263DF2"/>
    <w:rsid w:val="4A6F6675"/>
    <w:rsid w:val="4ABF0746"/>
    <w:rsid w:val="4AE47DFD"/>
    <w:rsid w:val="4B0502DF"/>
    <w:rsid w:val="4B135857"/>
    <w:rsid w:val="4B7951CB"/>
    <w:rsid w:val="4B7C315C"/>
    <w:rsid w:val="4C2756A6"/>
    <w:rsid w:val="4CCF773C"/>
    <w:rsid w:val="4DAC4ACA"/>
    <w:rsid w:val="4DBE01D2"/>
    <w:rsid w:val="4EC92552"/>
    <w:rsid w:val="4EFC6D10"/>
    <w:rsid w:val="4F0C6BA3"/>
    <w:rsid w:val="4F10477D"/>
    <w:rsid w:val="4F186D58"/>
    <w:rsid w:val="4FD70497"/>
    <w:rsid w:val="4FEA65B7"/>
    <w:rsid w:val="5042146E"/>
    <w:rsid w:val="50F06B6E"/>
    <w:rsid w:val="51AE6039"/>
    <w:rsid w:val="52234D33"/>
    <w:rsid w:val="52261ABA"/>
    <w:rsid w:val="522F6E0C"/>
    <w:rsid w:val="52463BA1"/>
    <w:rsid w:val="5298794F"/>
    <w:rsid w:val="52F163D4"/>
    <w:rsid w:val="531A2DB4"/>
    <w:rsid w:val="535022FC"/>
    <w:rsid w:val="53C0244D"/>
    <w:rsid w:val="53DD4D4E"/>
    <w:rsid w:val="53E578CE"/>
    <w:rsid w:val="541330F0"/>
    <w:rsid w:val="54272666"/>
    <w:rsid w:val="543B029D"/>
    <w:rsid w:val="544C3364"/>
    <w:rsid w:val="54861779"/>
    <w:rsid w:val="552256E1"/>
    <w:rsid w:val="554E5773"/>
    <w:rsid w:val="555A3CBC"/>
    <w:rsid w:val="5582012B"/>
    <w:rsid w:val="558E4E05"/>
    <w:rsid w:val="55AE3C72"/>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D7062E5"/>
    <w:rsid w:val="5F2D4A41"/>
    <w:rsid w:val="60C74F6C"/>
    <w:rsid w:val="61025A59"/>
    <w:rsid w:val="613D5BBC"/>
    <w:rsid w:val="61536C39"/>
    <w:rsid w:val="61D71F16"/>
    <w:rsid w:val="61E64F4A"/>
    <w:rsid w:val="623E0993"/>
    <w:rsid w:val="62944DD7"/>
    <w:rsid w:val="6319381F"/>
    <w:rsid w:val="63236436"/>
    <w:rsid w:val="63C25DC5"/>
    <w:rsid w:val="63C62057"/>
    <w:rsid w:val="64571EF5"/>
    <w:rsid w:val="64CB0157"/>
    <w:rsid w:val="64E65F95"/>
    <w:rsid w:val="64FB113D"/>
    <w:rsid w:val="65036946"/>
    <w:rsid w:val="654A25FE"/>
    <w:rsid w:val="656152C6"/>
    <w:rsid w:val="6587477F"/>
    <w:rsid w:val="658C3A08"/>
    <w:rsid w:val="65C013FE"/>
    <w:rsid w:val="65C031CA"/>
    <w:rsid w:val="65CE6852"/>
    <w:rsid w:val="66050FA4"/>
    <w:rsid w:val="66267C04"/>
    <w:rsid w:val="663F505A"/>
    <w:rsid w:val="66967186"/>
    <w:rsid w:val="66EE5541"/>
    <w:rsid w:val="67924660"/>
    <w:rsid w:val="683200C2"/>
    <w:rsid w:val="68407834"/>
    <w:rsid w:val="6883293E"/>
    <w:rsid w:val="688412AD"/>
    <w:rsid w:val="68EB1B71"/>
    <w:rsid w:val="69475C96"/>
    <w:rsid w:val="6A032EAC"/>
    <w:rsid w:val="6AAD2300"/>
    <w:rsid w:val="6B474EF5"/>
    <w:rsid w:val="6BBF53FD"/>
    <w:rsid w:val="6C560CAE"/>
    <w:rsid w:val="6C576495"/>
    <w:rsid w:val="6CDF702A"/>
    <w:rsid w:val="6D570F2E"/>
    <w:rsid w:val="6D903FF5"/>
    <w:rsid w:val="6DA955B8"/>
    <w:rsid w:val="6DDE6F4D"/>
    <w:rsid w:val="6DE346AB"/>
    <w:rsid w:val="6DE5391A"/>
    <w:rsid w:val="6EFD1324"/>
    <w:rsid w:val="6F5A53AC"/>
    <w:rsid w:val="6FAC003D"/>
    <w:rsid w:val="6FE55E12"/>
    <w:rsid w:val="6FFB2E76"/>
    <w:rsid w:val="708F6F7F"/>
    <w:rsid w:val="70D94BD3"/>
    <w:rsid w:val="71C34D91"/>
    <w:rsid w:val="727A179E"/>
    <w:rsid w:val="72D27981"/>
    <w:rsid w:val="72DB435C"/>
    <w:rsid w:val="72E2613A"/>
    <w:rsid w:val="72F771F4"/>
    <w:rsid w:val="734150D5"/>
    <w:rsid w:val="736650B0"/>
    <w:rsid w:val="73934AD2"/>
    <w:rsid w:val="750837F0"/>
    <w:rsid w:val="754758CF"/>
    <w:rsid w:val="761275E6"/>
    <w:rsid w:val="764F62AB"/>
    <w:rsid w:val="765C45EC"/>
    <w:rsid w:val="768A7619"/>
    <w:rsid w:val="76AA36E6"/>
    <w:rsid w:val="76E53085"/>
    <w:rsid w:val="772E1EBA"/>
    <w:rsid w:val="77303AE2"/>
    <w:rsid w:val="77EB79F7"/>
    <w:rsid w:val="78D56C32"/>
    <w:rsid w:val="796D60A4"/>
    <w:rsid w:val="79A031D5"/>
    <w:rsid w:val="7A1525F7"/>
    <w:rsid w:val="7B24540B"/>
    <w:rsid w:val="7B420052"/>
    <w:rsid w:val="7B861484"/>
    <w:rsid w:val="7BD06A28"/>
    <w:rsid w:val="7C3A7C0B"/>
    <w:rsid w:val="7C5248E4"/>
    <w:rsid w:val="7C566698"/>
    <w:rsid w:val="7C5866A3"/>
    <w:rsid w:val="7CBE2F89"/>
    <w:rsid w:val="7D7406BB"/>
    <w:rsid w:val="7DB2446C"/>
    <w:rsid w:val="7DE94331"/>
    <w:rsid w:val="7F446A19"/>
    <w:rsid w:val="7F7452B9"/>
    <w:rsid w:val="7F8401D1"/>
    <w:rsid w:val="7FAC32D7"/>
    <w:rsid w:val="FDEFA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3930</Words>
  <Characters>4611</Characters>
  <Lines>186</Lines>
  <Paragraphs>52</Paragraphs>
  <TotalTime>38</TotalTime>
  <ScaleCrop>false</ScaleCrop>
  <LinksUpToDate>false</LinksUpToDate>
  <CharactersWithSpaces>4612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fengdu</cp:lastModifiedBy>
  <dcterms:modified xsi:type="dcterms:W3CDTF">2025-09-16T18:08:39Z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y fmtid="{D5CDD505-2E9C-101B-9397-08002B2CF9AE}" pid="4" name="KSOTemplateDocerSaveRecord">
    <vt:lpwstr>eyJoZGlkIjoiYWE5MjgyNWZiZTY4MjU3ZjJlYTdjYTFhMTZmOWM2NWEiLCJ1c2VySWQiOiI2NDA4MjYxNjEifQ==</vt:lpwstr>
  </property>
</Properties>
</file>