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shd w:val="clear" w:color="auto" w:fill="FFFFFF"/>
          <w:lang w:eastAsia="zh-CN"/>
        </w:rPr>
        <w:t>江池镇</w:t>
      </w: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  <w:t>行政执法基本事项信息公示</w:t>
      </w:r>
    </w:p>
    <w:p>
      <w:pPr>
        <w:pStyle w:val="3"/>
        <w:spacing w:line="594" w:lineRule="exact"/>
        <w:jc w:val="center"/>
        <w:rPr>
          <w:rFonts w:ascii="Times New Roman" w:hAnsi="Times New Roman" w:eastAsia="方正楷体_GBK"/>
          <w:kern w:val="0"/>
          <w:sz w:val="32"/>
          <w:szCs w:val="32"/>
          <w:shd w:val="clear" w:color="auto" w:fill="FFFFFF"/>
        </w:rPr>
      </w:pP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一、执法主体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1.执法机关：丰都县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江池镇人民政府</w:t>
      </w:r>
    </w:p>
    <w:p>
      <w:pPr>
        <w:spacing w:line="594" w:lineRule="exact"/>
        <w:ind w:firstLine="640" w:firstLineChars="200"/>
        <w:jc w:val="left"/>
        <w:rPr>
          <w:rFonts w:hint="default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实施机构：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综合行政执法办公室、综合行政执法大队</w:t>
      </w: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3.执法人员名录</w:t>
      </w:r>
    </w:p>
    <w:tbl>
      <w:tblPr>
        <w:tblStyle w:val="4"/>
        <w:tblW w:w="5355" w:type="dxa"/>
        <w:tblInd w:w="488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85"/>
        <w:gridCol w:w="297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594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32"/>
                <w:szCs w:val="32"/>
              </w:rPr>
              <w:t>执法证号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default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郎华锋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22003099192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default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向晓波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22003097181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default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程洪秀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22003097191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刘光华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22003097190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代世香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22003097204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罗小春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22003097193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何燕芯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22003097231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秦郡鑫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22003097183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周  燕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22003097182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郎启云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94" w:lineRule="exact"/>
              <w:ind w:firstLine="640" w:firstLineChars="200"/>
              <w:jc w:val="left"/>
              <w:rPr>
                <w:rFonts w:ascii="Times New Roman" w:hAnsi="Times New Roman" w:eastAsia="方正仿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shd w:val="clear" w:color="auto" w:fill="FFFFFF"/>
                <w:lang w:val="en-US" w:eastAsia="zh-CN"/>
              </w:rPr>
              <w:t>22003097194</w:t>
            </w:r>
          </w:p>
        </w:tc>
      </w:tr>
    </w:tbl>
    <w:p>
      <w:pPr>
        <w:spacing w:line="594" w:lineRule="exact"/>
        <w:ind w:firstLine="640" w:firstLineChars="200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二、执法职责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农业、农机、畜牧、林政、水保水政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城乡规划、建设管理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市政市容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卫生计生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环境卫生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文化旅游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民政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安全生产、消防监督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劳动及社会保障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范围内</w:t>
      </w:r>
      <w:r>
        <w:rPr>
          <w:rFonts w:ascii="Times New Roman" w:hAnsi="Times New Roman" w:eastAsia="方正仿宋_GBK"/>
          <w:kern w:val="0"/>
          <w:sz w:val="32"/>
          <w:szCs w:val="32"/>
        </w:rPr>
        <w:t>事项的监督管理。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三、执法权限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根据授权或委托，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辖区范围内集中行使农林水利、规划建设、市政管理、环境保护、卫生计生、文化旅游、民政管理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消防监督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安全生产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等领域的</w:t>
      </w:r>
      <w:r>
        <w:rPr>
          <w:rFonts w:ascii="Times New Roman" w:hAnsi="Times New Roman" w:eastAsia="方正仿宋_GBK"/>
          <w:kern w:val="0"/>
          <w:sz w:val="32"/>
          <w:szCs w:val="32"/>
        </w:rPr>
        <w:t>行政检查、罚款等查处。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四、执法依据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1.中华人民共和国行政处罚法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中华人民共和国内河交通安全管理条例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方正仿宋_GBK"/>
          <w:kern w:val="0"/>
          <w:sz w:val="32"/>
          <w:szCs w:val="32"/>
        </w:rPr>
        <w:t>安全生产法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中华人民共和国城乡规划法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中华人民共和国公路法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中华人民共和国大气污染防治法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中华人民共和国测绘法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8.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中华人民共和国禁毒法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中华人民共和国电力法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10.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中华人民共和国防汛条例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11.</w:t>
      </w:r>
      <w:r>
        <w:rPr>
          <w:rFonts w:ascii="Times New Roman" w:hAnsi="Times New Roman" w:eastAsia="方正仿宋_GBK"/>
          <w:kern w:val="0"/>
          <w:sz w:val="32"/>
          <w:szCs w:val="32"/>
        </w:rPr>
        <w:t>中华人民共和国传染病防治法实施办法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12.</w:t>
      </w:r>
      <w:r>
        <w:rPr>
          <w:rFonts w:ascii="Times New Roman" w:hAnsi="Times New Roman" w:eastAsia="方正仿宋_GBK"/>
          <w:kern w:val="0"/>
          <w:sz w:val="32"/>
          <w:szCs w:val="32"/>
        </w:rPr>
        <w:t>公路安全保护条例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13.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重庆市城乡规划条例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14.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重庆市环境保护条例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15.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重庆市城镇房屋使用安全管理办法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16.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重庆市村镇规划建设管理条例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17.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重庆市城乡规划条例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18.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重庆市公路管理条例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19.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重庆市村镇供水条例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重庆市长江防护林体系管理条例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21.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重庆市水资源管理条例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22.</w:t>
      </w:r>
      <w:r>
        <w:rPr>
          <w:rFonts w:ascii="Times New Roman" w:hAnsi="Times New Roman" w:eastAsia="方正仿宋_GBK"/>
          <w:kern w:val="0"/>
          <w:sz w:val="32"/>
          <w:szCs w:val="32"/>
        </w:rPr>
        <w:t>重庆市殡葬事务管理办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法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23.</w:t>
      </w:r>
      <w:r>
        <w:rPr>
          <w:rFonts w:ascii="Times New Roman" w:hAnsi="Times New Roman" w:eastAsia="方正仿宋_GBK"/>
          <w:kern w:val="0"/>
          <w:sz w:val="32"/>
          <w:szCs w:val="32"/>
        </w:rPr>
        <w:t>地质灾害防治条例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24.</w:t>
      </w:r>
      <w:r>
        <w:rPr>
          <w:rFonts w:ascii="Times New Roman" w:hAnsi="Times New Roman" w:eastAsia="方正仿宋_GBK"/>
          <w:kern w:val="0"/>
          <w:sz w:val="32"/>
          <w:szCs w:val="32"/>
        </w:rPr>
        <w:t>其他相关法律法规及规章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五、执法程序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（一）立案、调查与决定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2．行政执法人员调查处理行政处罚案件时，应当向当事人或者有关人员出示执法证件。行政执法人员在调查处理行政处罚案件时与当事人有利害关系的，应当自行回避。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3．行政执法人员在调查处理行政处罚案件时应当依法搜集证据。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4．作出行政处罚前告知当事人拟作出行政处罚的事实、理由、依据、处罚内容，并告知当事人依法享有陈述、申辩权。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（二）送达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/>
          <w:kern w:val="0"/>
          <w:sz w:val="32"/>
          <w:szCs w:val="32"/>
        </w:rPr>
      </w:pPr>
      <w:r>
        <w:rPr>
          <w:rFonts w:ascii="Times New Roman" w:hAnsi="Times New Roman" w:eastAsia="方正楷体_GBK"/>
          <w:kern w:val="0"/>
          <w:sz w:val="32"/>
          <w:szCs w:val="32"/>
        </w:rPr>
        <w:t>（三）执行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当事人逾期不履行行政处罚决定的，作出行政处罚决定的行政主管部门可以采取下列措施：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1．到期不缴纳罚款的，每日按罚款数额的百分之三加处罚款；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2．根据法律规定，将查封、扣押的财物拍卖或者将冻结的存款划拨抵缴罚款；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3．申请人民法院强制执行。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当事人确有经济困难，需要延期或者分期缴纳罚款的，经当事人申请和作出处罚决定的行政主管部门审查批准，可以暂缓或者分期缴纳。</w:t>
      </w:r>
    </w:p>
    <w:p>
      <w:pPr>
        <w:numPr>
          <w:ilvl w:val="0"/>
          <w:numId w:val="1"/>
        </w:numPr>
        <w:spacing w:line="594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投诉举报电话：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023-70668006  023-70668023</w:t>
      </w:r>
    </w:p>
    <w:p>
      <w:pPr>
        <w:numPr>
          <w:ilvl w:val="0"/>
          <w:numId w:val="0"/>
        </w:numPr>
        <w:spacing w:line="594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七、救济途径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1．自接到决定书之日起60日内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向</w:t>
      </w:r>
      <w:r>
        <w:rPr>
          <w:rFonts w:ascii="Times New Roman" w:hAnsi="Times New Roman" w:eastAsia="方正仿宋_GBK"/>
          <w:kern w:val="0"/>
          <w:sz w:val="32"/>
          <w:szCs w:val="32"/>
        </w:rPr>
        <w:t>县政府申请行政复议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2．六个月内向涪陵区人民法院起诉。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E6AFDD"/>
    <w:multiLevelType w:val="singleLevel"/>
    <w:tmpl w:val="F2E6AFD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ZDQ1Y2U5NmJmZTVjOTJmMDMzMDZhM2Q4NTU4NGIifQ=="/>
  </w:docVars>
  <w:rsids>
    <w:rsidRoot w:val="00000000"/>
    <w:rsid w:val="010D69BD"/>
    <w:rsid w:val="035A5DE5"/>
    <w:rsid w:val="19436634"/>
    <w:rsid w:val="1A7935F0"/>
    <w:rsid w:val="271241D9"/>
    <w:rsid w:val="52207599"/>
    <w:rsid w:val="57BDF38E"/>
    <w:rsid w:val="5F872C74"/>
    <w:rsid w:val="6F9F12E6"/>
    <w:rsid w:val="70D94A29"/>
    <w:rsid w:val="790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1569</Characters>
  <Lines>0</Lines>
  <Paragraphs>0</Paragraphs>
  <TotalTime>4</TotalTime>
  <ScaleCrop>false</ScaleCrop>
  <LinksUpToDate>false</LinksUpToDate>
  <CharactersWithSpaces>1573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2023-05-26T23:53:00Z</dcterms:created>
  <dc:creator>Administrator</dc:creator>
  <cp:lastModifiedBy>fengdu</cp:lastModifiedBy>
  <dcterms:modified xsi:type="dcterms:W3CDTF">2023-05-29T10:31:57Z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51B99555435D4E8CA26D4713C3BA7020_13</vt:lpwstr>
  </property>
</Properties>
</file>