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丰都县龙河镇人民政府</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Times New Roman" w:hAnsi="Times New Roman" w:eastAsia="黑体" w:cs="Times New Roman"/>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textAlignment w:val="auto"/>
        <w:outlineLvl w:val="9"/>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w:t>
      </w:r>
      <w:r>
        <w:rPr>
          <w:rFonts w:hint="default" w:ascii="Times New Roman" w:hAnsi="Times New Roman" w:eastAsia="方正楷体_GBK" w:cs="Times New Roman"/>
          <w:b w:val="0"/>
          <w:bCs/>
          <w:sz w:val="32"/>
          <w:szCs w:val="32"/>
          <w:lang w:eastAsia="zh-CN"/>
        </w:rPr>
        <w:t>职能职责</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落实国家政策，严格依法行政，发挥经济管理职能</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加强政策引导，制定发展规划，服务市场主体和营造发展环境，</w:t>
      </w:r>
      <w:r>
        <w:rPr>
          <w:rFonts w:hint="default" w:ascii="Times New Roman" w:hAnsi="Times New Roman" w:eastAsia="方正仿宋_GBK" w:cs="Times New Roman"/>
          <w:sz w:val="32"/>
          <w:szCs w:val="32"/>
          <w:lang w:eastAsia="zh-CN"/>
        </w:rPr>
        <w:t>做</w:t>
      </w:r>
      <w:r>
        <w:rPr>
          <w:rFonts w:hint="default" w:ascii="Times New Roman" w:hAnsi="Times New Roman" w:eastAsia="方正仿宋_GBK" w:cs="Times New Roman"/>
          <w:sz w:val="32"/>
          <w:szCs w:val="32"/>
        </w:rPr>
        <w:t>好市场监管，促进社会事业发展</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发展镇村经济、文化和社会事业，提供公共服务，维护社会稳定</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构建社会主义和谐社会</w:t>
      </w:r>
      <w:r>
        <w:rPr>
          <w:rFonts w:hint="default" w:ascii="Times New Roman" w:hAnsi="Times New Roman" w:eastAsia="方正仿宋_GBK" w:cs="Times New Roman"/>
          <w:sz w:val="32"/>
          <w:szCs w:val="32"/>
          <w:lang w:eastAsia="zh-CN"/>
        </w:rPr>
        <w:t>，履行</w:t>
      </w:r>
      <w:r>
        <w:rPr>
          <w:rFonts w:hint="default" w:ascii="Times New Roman" w:hAnsi="Times New Roman" w:eastAsia="方正仿宋_GBK" w:cs="Times New Roman"/>
          <w:sz w:val="32"/>
          <w:szCs w:val="32"/>
        </w:rPr>
        <w:t>纪检、宣传、统战、法制、武装、编制、人事、民宗侨台以及综合协调、文秘等职责。</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制定</w:t>
      </w:r>
      <w:r>
        <w:rPr>
          <w:rFonts w:hint="default" w:ascii="Times New Roman" w:hAnsi="Times New Roman" w:eastAsia="方正仿宋_GBK" w:cs="Times New Roman"/>
          <w:sz w:val="32"/>
          <w:szCs w:val="32"/>
        </w:rPr>
        <w:t>经济发展规划、农村经营管理、经济社会统计、扶贫开发、乡村振兴。</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负责民政、教育、文化、体育、社会救助、残疾人事业、劳动就业、社会保障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卫生、计生、老龄事业发展</w:t>
      </w:r>
      <w:r>
        <w:rPr>
          <w:rFonts w:hint="default" w:ascii="Times New Roman" w:hAnsi="Times New Roman" w:eastAsia="方正仿宋_GBK" w:cs="Times New Roman"/>
          <w:sz w:val="32"/>
          <w:szCs w:val="32"/>
          <w:lang w:eastAsia="zh-CN"/>
        </w:rPr>
        <w:t>，做好社会保障工作</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完成县委、县政府交办的其他事项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lang w:eastAsia="zh-CN"/>
        </w:rPr>
      </w:pPr>
      <w:r>
        <w:rPr>
          <w:rFonts w:hint="default" w:ascii="Times New Roman" w:hAnsi="Times New Roman" w:eastAsia="方正楷体_GBK" w:cs="Times New Roman"/>
          <w:b w:val="0"/>
          <w:bCs/>
          <w:sz w:val="32"/>
          <w:szCs w:val="32"/>
        </w:rPr>
        <w:t>（</w:t>
      </w:r>
      <w:r>
        <w:rPr>
          <w:rFonts w:hint="default" w:ascii="Times New Roman" w:hAnsi="Times New Roman" w:eastAsia="方正楷体_GBK" w:cs="Times New Roman"/>
          <w:b w:val="0"/>
          <w:bCs/>
          <w:sz w:val="32"/>
          <w:szCs w:val="32"/>
          <w:lang w:eastAsia="zh-CN"/>
        </w:rPr>
        <w:t>二</w:t>
      </w:r>
      <w:r>
        <w:rPr>
          <w:rFonts w:hint="default" w:ascii="Times New Roman" w:hAnsi="Times New Roman" w:eastAsia="方正楷体_GBK" w:cs="Times New Roman"/>
          <w:b w:val="0"/>
          <w:bCs/>
          <w:sz w:val="32"/>
          <w:szCs w:val="32"/>
        </w:rPr>
        <w:t>）</w:t>
      </w:r>
      <w:r>
        <w:rPr>
          <w:rFonts w:hint="default" w:ascii="Times New Roman" w:hAnsi="Times New Roman" w:eastAsia="方正楷体_GBK" w:cs="Times New Roman"/>
          <w:b w:val="0"/>
          <w:bCs/>
          <w:sz w:val="32"/>
          <w:szCs w:val="32"/>
          <w:lang w:eastAsia="zh-CN"/>
        </w:rPr>
        <w:t>机构设置</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丰都县龙河镇人民政府下设综合办事机构</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个：基层治理综合指挥室</w:t>
      </w:r>
      <w:r>
        <w:rPr>
          <w:rFonts w:hint="default" w:ascii="Times New Roman" w:hAnsi="Times New Roman" w:eastAsia="方正仿宋_GBK" w:cs="Times New Roman"/>
          <w:sz w:val="32"/>
          <w:lang w:eastAsia="zh-CN"/>
        </w:rPr>
        <w:t>、党的建设办公室、经济发展办公室、民生服务办公室、平安法治办公室</w:t>
      </w:r>
      <w:r>
        <w:rPr>
          <w:rFonts w:hint="default" w:ascii="Times New Roman" w:hAnsi="Times New Roman" w:eastAsia="方正仿宋_GBK" w:cs="Times New Roman"/>
          <w:sz w:val="32"/>
        </w:rPr>
        <w:t>。事业</w:t>
      </w:r>
      <w:r>
        <w:rPr>
          <w:rFonts w:hint="default" w:ascii="Times New Roman" w:hAnsi="Times New Roman" w:eastAsia="方正仿宋_GBK" w:cs="Times New Roman"/>
          <w:sz w:val="32"/>
          <w:lang w:eastAsia="zh-CN"/>
        </w:rPr>
        <w:t>单位</w:t>
      </w:r>
      <w:r>
        <w:rPr>
          <w:rFonts w:hint="default" w:ascii="Times New Roman" w:hAnsi="Times New Roman" w:eastAsia="方正仿宋_GBK" w:cs="Times New Roman"/>
          <w:sz w:val="32"/>
        </w:rPr>
        <w:t>5个：产业发展服务中心</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rPr>
        <w:t>便民服务中心（退役军人服务站）、综合行政执法大队、新时代文明实践服务中心和村镇建设服务中心。</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本</w:t>
      </w:r>
      <w:r>
        <w:rPr>
          <w:rFonts w:hint="default" w:ascii="Times New Roman" w:hAnsi="Times New Roman" w:eastAsia="方正仿宋_GBK" w:cs="Times New Roman"/>
          <w:sz w:val="32"/>
          <w:lang w:eastAsia="zh-CN"/>
        </w:rPr>
        <w:t>部门</w:t>
      </w:r>
      <w:r>
        <w:rPr>
          <w:rFonts w:hint="default" w:ascii="Times New Roman" w:hAnsi="Times New Roman" w:eastAsia="方正仿宋_GBK" w:cs="Times New Roman"/>
          <w:sz w:val="32"/>
        </w:rPr>
        <w:t>核定编制人数共8</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名，其中行政编制3</w:t>
      </w:r>
      <w:r>
        <w:rPr>
          <w:rFonts w:hint="default" w:ascii="Times New Roman" w:hAnsi="Times New Roman" w:eastAsia="方正仿宋_GBK" w:cs="Times New Roman"/>
          <w:sz w:val="32"/>
          <w:lang w:val="en-US" w:eastAsia="zh-CN"/>
        </w:rPr>
        <w:t>7</w:t>
      </w:r>
      <w:r>
        <w:rPr>
          <w:rFonts w:hint="default" w:ascii="Times New Roman" w:hAnsi="Times New Roman" w:eastAsia="方正仿宋_GBK" w:cs="Times New Roman"/>
          <w:sz w:val="32"/>
        </w:rPr>
        <w:t>名，行政工勤人员3名，事业编制45名。</w:t>
      </w:r>
      <w:r>
        <w:rPr>
          <w:rFonts w:hint="default" w:ascii="Times New Roman" w:hAnsi="Times New Roman" w:eastAsia="方正仿宋_GBK" w:cs="Times New Roman"/>
          <w:sz w:val="32"/>
          <w:lang w:eastAsia="zh-CN"/>
        </w:rPr>
        <w:t>截止</w:t>
      </w:r>
      <w:r>
        <w:rPr>
          <w:rFonts w:hint="default" w:ascii="Times New Roman" w:hAnsi="Times New Roman" w:eastAsia="方正仿宋_GBK" w:cs="Times New Roman"/>
          <w:sz w:val="32"/>
          <w:lang w:val="en-US" w:eastAsia="zh-CN"/>
        </w:rPr>
        <w:t>2024年底，</w:t>
      </w:r>
      <w:r>
        <w:rPr>
          <w:rFonts w:hint="default" w:ascii="Times New Roman" w:hAnsi="Times New Roman" w:eastAsia="方正仿宋_GBK" w:cs="Times New Roman"/>
          <w:sz w:val="32"/>
        </w:rPr>
        <w:t>在职人员</w:t>
      </w:r>
      <w:r>
        <w:rPr>
          <w:rFonts w:hint="default" w:ascii="Times New Roman" w:hAnsi="Times New Roman" w:eastAsia="方正仿宋_GBK" w:cs="Times New Roman"/>
          <w:sz w:val="32"/>
          <w:lang w:eastAsia="zh-CN"/>
        </w:rPr>
        <w:t>共</w:t>
      </w:r>
      <w:r>
        <w:rPr>
          <w:rFonts w:hint="default" w:ascii="Times New Roman" w:hAnsi="Times New Roman" w:eastAsia="方正仿宋_GBK" w:cs="Times New Roman"/>
          <w:sz w:val="32"/>
        </w:rPr>
        <w:t>7</w:t>
      </w:r>
      <w:r>
        <w:rPr>
          <w:rFonts w:hint="default" w:ascii="Times New Roman" w:hAnsi="Times New Roman" w:eastAsia="方正仿宋_GBK" w:cs="Times New Roman"/>
          <w:sz w:val="32"/>
          <w:lang w:val="en-US" w:eastAsia="zh-CN"/>
        </w:rPr>
        <w:t>1</w:t>
      </w:r>
      <w:r>
        <w:rPr>
          <w:rFonts w:hint="default" w:ascii="Times New Roman" w:hAnsi="Times New Roman" w:eastAsia="方正仿宋_GBK" w:cs="Times New Roman"/>
          <w:sz w:val="32"/>
        </w:rPr>
        <w:t>人，其中行政3</w:t>
      </w:r>
      <w:r>
        <w:rPr>
          <w:rFonts w:hint="default" w:ascii="Times New Roman" w:hAnsi="Times New Roman" w:eastAsia="方正仿宋_GBK" w:cs="Times New Roman"/>
          <w:sz w:val="32"/>
          <w:lang w:val="en-US" w:eastAsia="zh-CN"/>
        </w:rPr>
        <w:t>9</w:t>
      </w:r>
      <w:r>
        <w:rPr>
          <w:rFonts w:hint="default" w:ascii="Times New Roman" w:hAnsi="Times New Roman" w:eastAsia="方正仿宋_GBK" w:cs="Times New Roman"/>
          <w:sz w:val="32"/>
        </w:rPr>
        <w:t>人（含行政工勤3</w:t>
      </w:r>
      <w:r>
        <w:rPr>
          <w:rFonts w:hint="default" w:ascii="Times New Roman" w:hAnsi="Times New Roman" w:eastAsia="方正仿宋_GBK" w:cs="Times New Roman"/>
          <w:sz w:val="32"/>
          <w:lang w:eastAsia="zh-CN"/>
        </w:rPr>
        <w:t>人</w:t>
      </w:r>
      <w:r>
        <w:rPr>
          <w:rFonts w:hint="default" w:ascii="Times New Roman" w:hAnsi="Times New Roman" w:eastAsia="方正仿宋_GBK" w:cs="Times New Roman"/>
          <w:sz w:val="32"/>
        </w:rPr>
        <w:t>），事业3</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textAlignment w:val="auto"/>
        <w:outlineLvl w:val="9"/>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default"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default"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6148.32万元。收、支与2023年度相比，增加1006.29万元，增长19.6%，主要原因是</w:t>
      </w:r>
      <w:r>
        <w:rPr>
          <w:rFonts w:hint="default" w:ascii="Times New Roman" w:hAnsi="Times New Roman" w:eastAsia="方正仿宋_GBK" w:cs="Times New Roman"/>
          <w:sz w:val="32"/>
          <w:szCs w:val="32"/>
          <w:shd w:val="clear" w:color="auto" w:fill="FFFFFF"/>
          <w:lang w:eastAsia="zh-CN"/>
        </w:rPr>
        <w:t>增加农村公路养护、农村旧房整治提升及人居环境改造、石堡村产业路建设、安全生命防护工程、乡村公路安保工程等。</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2024年度收入合计5158.24万元，与2023年度相比，增加155.12万元，增长3.1%，主要原因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人员增加，人员费用开支增多，二是新增石堡村产业路建设、乡村公路安保工程等项目支出。</w:t>
      </w:r>
      <w:r>
        <w:rPr>
          <w:rFonts w:hint="default" w:ascii="Times New Roman" w:hAnsi="Times New Roman" w:eastAsia="方正仿宋_GBK" w:cs="Times New Roman"/>
          <w:sz w:val="32"/>
          <w:szCs w:val="32"/>
          <w:shd w:val="clear" w:color="auto" w:fill="FFFFFF"/>
        </w:rPr>
        <w:t>其中：财政拨款收入5158.24万元，占100.0%；事业收入0.00万元，占0.0%；经营收入0.00万元，占0.0%；其他收入0.00万元，占0.0%。此外，使用非财政拨款结余（含专用结余）0.00万元，年初结转和结余990.08万元。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2024年度支出合计5159.16万元，与2023年度相比，增加32.37万元，增长0.6%，主要原因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eastAsia="zh-CN"/>
        </w:rPr>
        <w:t>人员增加，人员费用开支增多，二是新增石堡村产业路建设、乡村公路安保工程等项目支出。</w:t>
      </w:r>
      <w:r>
        <w:rPr>
          <w:rFonts w:hint="default" w:ascii="Times New Roman" w:hAnsi="Times New Roman" w:eastAsia="方正仿宋_GBK" w:cs="Times New Roman"/>
          <w:sz w:val="32"/>
          <w:szCs w:val="32"/>
          <w:shd w:val="clear" w:color="auto" w:fill="FFFFFF"/>
        </w:rPr>
        <w:t>其中：基本支出2011.82万元，占39.0%；项目支出3147.34万元，占61.0%；经营支出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2024年度年末结转和结余989.17万元，与2023年度相比，增加973.93万元，增长6390.6%，主要原因是</w:t>
      </w:r>
      <w:r>
        <w:rPr>
          <w:rFonts w:hint="default" w:ascii="Times New Roman" w:hAnsi="Times New Roman" w:eastAsia="方正仿宋_GBK" w:cs="Times New Roman"/>
          <w:sz w:val="32"/>
          <w:szCs w:val="32"/>
          <w:highlight w:val="none"/>
          <w:shd w:val="clear" w:color="auto" w:fill="FFFFFF"/>
          <w:lang w:eastAsia="zh-CN"/>
        </w:rPr>
        <w:t>更正年初非财政</w:t>
      </w:r>
      <w:r>
        <w:rPr>
          <w:rFonts w:hint="default" w:ascii="Times New Roman" w:hAnsi="Times New Roman" w:eastAsia="方正仿宋_GBK" w:cs="Times New Roman"/>
          <w:sz w:val="32"/>
          <w:szCs w:val="32"/>
          <w:shd w:val="clear" w:color="auto" w:fill="FFFFFF"/>
          <w:lang w:eastAsia="zh-CN"/>
        </w:rPr>
        <w:t>拨款结转720</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eastAsia="zh-CN"/>
        </w:rPr>
        <w:t>4万元。</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2024年度财政拨款收、支总计均为5427.92万元。与2023年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相比，财政拨款收、支总计各增加285.89万元，增长5.6%。主要原因是</w:t>
      </w:r>
      <w:r>
        <w:rPr>
          <w:rFonts w:hint="default" w:ascii="Times New Roman" w:hAnsi="Times New Roman" w:eastAsia="方正仿宋_GBK" w:cs="Times New Roman"/>
          <w:sz w:val="32"/>
          <w:szCs w:val="32"/>
          <w:shd w:val="clear" w:color="auto" w:fill="FFFFFF"/>
          <w:lang w:eastAsia="zh-CN"/>
        </w:rPr>
        <w:t>增加农村公路养护、农村旧房整治提升及人居环境改造、石堡村产业路建设、安全生命防护工程、乡村公路安保工程等项目建设。</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2024年度一般公共预算财政拨款收入5148.06万元，与2023年度相比，增加212.52万元，增长4.3%。主要原因是</w:t>
      </w:r>
      <w:r>
        <w:rPr>
          <w:rFonts w:hint="default" w:ascii="Times New Roman" w:hAnsi="Times New Roman" w:eastAsia="方正仿宋_GBK" w:cs="Times New Roman"/>
          <w:sz w:val="32"/>
          <w:szCs w:val="32"/>
          <w:shd w:val="clear" w:color="auto" w:fill="FFFFFF"/>
          <w:lang w:eastAsia="zh-CN"/>
        </w:rPr>
        <w:t>人员增加，人员费用开支增多，以及新立项石堡村产业路建设项目、2024新农人培育提升项目等。</w:t>
      </w:r>
      <w:r>
        <w:rPr>
          <w:rFonts w:hint="default" w:ascii="Times New Roman" w:hAnsi="Times New Roman" w:eastAsia="方正仿宋_GBK" w:cs="Times New Roman"/>
          <w:sz w:val="32"/>
          <w:szCs w:val="32"/>
          <w:shd w:val="clear" w:color="auto" w:fill="FFFFFF"/>
        </w:rPr>
        <w:t>较年初预算数增加2220.96万元，增长75.9%。主要原因是</w:t>
      </w:r>
      <w:r>
        <w:rPr>
          <w:rFonts w:hint="default" w:ascii="Times New Roman" w:hAnsi="Times New Roman" w:eastAsia="方正仿宋_GBK" w:cs="Times New Roman"/>
          <w:sz w:val="32"/>
          <w:szCs w:val="32"/>
          <w:shd w:val="clear" w:color="auto" w:fill="FFFFFF"/>
          <w:lang w:eastAsia="zh-CN"/>
        </w:rPr>
        <w:t>年中追加项目类专项资金及预算调整，如2024年到户产业补助、2024新农人培育提升项目、龙河镇2024年公路日常养护资金、2024年“两类群体”就业创业补贴资金、龙河镇石堡村人居环境及产业提升项目。</w:t>
      </w:r>
      <w:r>
        <w:rPr>
          <w:rFonts w:hint="default" w:ascii="Times New Roman" w:hAnsi="Times New Roman" w:eastAsia="方正仿宋_GBK" w:cs="Times New Roman"/>
          <w:sz w:val="32"/>
          <w:szCs w:val="32"/>
          <w:shd w:val="clear" w:color="auto" w:fill="FFFFFF"/>
        </w:rPr>
        <w:t>此外，年初财政拨款结转和结余269.68万元。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2024年度一般公共预算财政拨款支出5148.98万元，与2023年度相比，增加97.59万元，增长1.9%。主要原因是</w:t>
      </w:r>
      <w:r>
        <w:rPr>
          <w:rFonts w:hint="default" w:ascii="Times New Roman" w:hAnsi="Times New Roman" w:eastAsia="方正仿宋_GBK" w:cs="Times New Roman"/>
          <w:sz w:val="32"/>
          <w:szCs w:val="32"/>
          <w:shd w:val="clear" w:color="auto" w:fill="FFFFFF"/>
          <w:lang w:eastAsia="zh-CN"/>
        </w:rPr>
        <w:t>人员增加，人员费用开支增多，以及新立项石堡村产业路建设项目、2024新农人培育提升项目等。</w:t>
      </w:r>
      <w:r>
        <w:rPr>
          <w:rFonts w:hint="default" w:ascii="Times New Roman" w:hAnsi="Times New Roman" w:eastAsia="方正仿宋_GBK" w:cs="Times New Roman"/>
          <w:sz w:val="32"/>
          <w:szCs w:val="32"/>
          <w:shd w:val="clear" w:color="auto" w:fill="FFFFFF"/>
        </w:rPr>
        <w:t>较年初预算数增加2221.88万元，增长75.9%。主要原因是</w:t>
      </w:r>
      <w:r>
        <w:rPr>
          <w:rFonts w:hint="default" w:ascii="Times New Roman" w:hAnsi="Times New Roman" w:eastAsia="方正仿宋_GBK" w:cs="Times New Roman"/>
          <w:sz w:val="32"/>
          <w:szCs w:val="32"/>
          <w:shd w:val="clear" w:color="auto" w:fill="FFFFFF"/>
          <w:lang w:eastAsia="zh-CN"/>
        </w:rPr>
        <w:t>年中追加项目类专项资金及预算调整，如2024年到户产业补助、2024新农人培育提升项目、龙河镇2024年公路日常养护资金、2024年“两类群体”就业创业补贴资金、龙河镇石堡村人居环境及产业提升项目。</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（1）一般公共服务支出1046.43万元，占20.3%，较年初预算数增加95.80万元，增长10.1%，主要原因是</w:t>
      </w:r>
      <w:r>
        <w:rPr>
          <w:rFonts w:hint="default" w:ascii="Times New Roman" w:hAnsi="Times New Roman" w:eastAsia="方正仿宋_GBK" w:cs="Times New Roman"/>
          <w:sz w:val="32"/>
          <w:szCs w:val="32"/>
          <w:shd w:val="clear" w:color="auto" w:fill="FFFFFF"/>
          <w:lang w:eastAsia="zh-CN"/>
        </w:rPr>
        <w:t>年中追加2023年农村旧房整治提升及人居环境改造、2024年“两类群体”就业创业补贴等项目经费。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）文化旅游体育与传媒支出56.04万元，占1.1%，较年初预算数增加0.19万元</w:t>
      </w:r>
      <w:r>
        <w:rPr>
          <w:rFonts w:hint="default" w:ascii="Times New Roman" w:hAnsi="Times New Roman" w:eastAsia="方正仿宋_GBK" w:cs="Times New Roman"/>
          <w:color w:val="auto"/>
          <w:sz w:val="32"/>
          <w:szCs w:val="32"/>
          <w:shd w:val="clear" w:color="auto" w:fill="FFFFFF"/>
        </w:rPr>
        <w:t>，增长0.3%，主要原因是</w:t>
      </w:r>
      <w:r>
        <w:rPr>
          <w:rFonts w:hint="default" w:ascii="Times New Roman" w:hAnsi="Times New Roman" w:eastAsia="方正仿宋_GBK" w:cs="Times New Roman"/>
          <w:color w:val="auto"/>
          <w:sz w:val="32"/>
          <w:szCs w:val="32"/>
          <w:shd w:val="clear" w:color="auto" w:fill="FFFFFF"/>
          <w:lang w:eastAsia="zh-CN"/>
        </w:rPr>
        <w:t>年中追加2023年龙河镇文物安全巡查人员补助等项目经费。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就业支出1003.86万元，占19.5%，较年初预算数增加369.29万元，增长58.2%，主要原因是</w:t>
      </w:r>
      <w:r>
        <w:rPr>
          <w:rFonts w:hint="default" w:ascii="Times New Roman" w:hAnsi="Times New Roman" w:eastAsia="方正仿宋_GBK" w:cs="Times New Roman"/>
          <w:sz w:val="32"/>
          <w:szCs w:val="32"/>
          <w:shd w:val="clear" w:color="auto" w:fill="FFFFFF"/>
          <w:lang w:eastAsia="zh-CN"/>
        </w:rPr>
        <w:t>年中追加</w:t>
      </w:r>
      <w:r>
        <w:rPr>
          <w:rFonts w:hint="default" w:ascii="Times New Roman" w:hAnsi="Times New Roman" w:eastAsia="方正仿宋_GBK" w:cs="Times New Roman"/>
          <w:sz w:val="32"/>
          <w:szCs w:val="32"/>
          <w:shd w:val="clear" w:color="auto" w:fill="FFFFFF"/>
        </w:rPr>
        <w:t>丰都县龙河镇居家养老服务中心建设</w:t>
      </w:r>
      <w:r>
        <w:rPr>
          <w:rFonts w:hint="default" w:ascii="Times New Roman" w:hAnsi="Times New Roman" w:eastAsia="方正仿宋_GBK" w:cs="Times New Roman"/>
          <w:sz w:val="32"/>
          <w:szCs w:val="32"/>
          <w:shd w:val="clear" w:color="auto" w:fill="FFFFFF"/>
          <w:lang w:eastAsia="zh-CN"/>
        </w:rPr>
        <w:t>、2024年龙河镇助残员资金、2024年助残员及阳光家园居家托养等项目经费。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）卫生健康支出90.07万元，占1.8%，较年初预算数增加8.60万元，增长10.6%，主要原因是</w:t>
      </w:r>
      <w:r>
        <w:rPr>
          <w:rFonts w:hint="default" w:ascii="Times New Roman" w:hAnsi="Times New Roman" w:eastAsia="方正仿宋_GBK" w:cs="Times New Roman"/>
          <w:sz w:val="32"/>
          <w:szCs w:val="32"/>
          <w:shd w:val="clear" w:color="auto" w:fill="FFFFFF"/>
          <w:lang w:eastAsia="zh-CN"/>
        </w:rPr>
        <w:t>人员新增，年中追加预算，用于缴纳职工保险。</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）城乡社区支出238.53万元，占4.6%，较年初预算数增加31.30万元，增长15.1%，主要原因是</w:t>
      </w:r>
      <w:r>
        <w:rPr>
          <w:rFonts w:hint="default" w:ascii="Times New Roman" w:hAnsi="Times New Roman" w:eastAsia="方正仿宋_GBK" w:cs="Times New Roman"/>
          <w:sz w:val="32"/>
          <w:szCs w:val="32"/>
          <w:shd w:val="clear" w:color="auto" w:fill="FFFFFF"/>
          <w:lang w:eastAsia="zh-CN"/>
        </w:rPr>
        <w:t>机构改革，原退役军人服务站撤销，新设立村镇建设服务中心。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）农林水支出2029.29万元，占39.4%，较年初预算数增加1616.49万元，增长391.6%，主要原因是</w:t>
      </w:r>
      <w:r>
        <w:rPr>
          <w:rFonts w:hint="default" w:ascii="Times New Roman" w:hAnsi="Times New Roman" w:eastAsia="方正仿宋_GBK" w:cs="Times New Roman"/>
          <w:sz w:val="32"/>
          <w:szCs w:val="32"/>
          <w:shd w:val="clear" w:color="auto" w:fill="FFFFFF"/>
          <w:lang w:eastAsia="zh-CN"/>
        </w:rPr>
        <w:t>年中追加龙河镇2022年乡村治理示范建设项目、龙河镇低收入脱贫人口到户产业和防旱抗旱救灾资金、2020年四好农村公路改建工程等项目经费。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）交通运输支出431.29万元，占8.4%，较年初预算数减少8.78万元，下降</w:t>
      </w:r>
      <w:r>
        <w:rPr>
          <w:rFonts w:hint="default" w:ascii="Times New Roman" w:hAnsi="Times New Roman" w:eastAsia="方正仿宋_GBK" w:cs="Times New Roman"/>
          <w:sz w:val="32"/>
          <w:szCs w:val="32"/>
          <w:highlight w:val="none"/>
          <w:shd w:val="clear" w:color="auto" w:fill="FFFFFF"/>
        </w:rPr>
        <w:t>2.0%，主要原因</w:t>
      </w:r>
      <w:r>
        <w:rPr>
          <w:rFonts w:hint="default" w:ascii="Times New Roman" w:hAnsi="Times New Roman" w:eastAsia="方正仿宋_GBK" w:cs="Times New Roman"/>
          <w:sz w:val="32"/>
          <w:szCs w:val="32"/>
          <w:highlight w:val="none"/>
          <w:shd w:val="clear" w:color="auto" w:fill="FFFFFF"/>
          <w:lang w:eastAsia="zh-CN"/>
        </w:rPr>
        <w:t>是公路建设项目支出减少。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自然资源海洋气象等支出</w:t>
      </w:r>
      <w:r>
        <w:rPr>
          <w:rFonts w:hint="default" w:ascii="Times New Roman" w:hAnsi="Times New Roman" w:eastAsia="方正仿宋_GBK" w:cs="Times New Roman"/>
          <w:sz w:val="32"/>
          <w:szCs w:val="32"/>
          <w:shd w:val="clear" w:color="auto" w:fill="FFFFFF"/>
        </w:rPr>
        <w:t>71.32万元，占1.4%，较年初预算数增加30.32万元，增长74.0%，主要原因是</w:t>
      </w:r>
      <w:r>
        <w:rPr>
          <w:rFonts w:hint="default" w:ascii="Times New Roman" w:hAnsi="Times New Roman" w:eastAsia="方正仿宋_GBK" w:cs="Times New Roman"/>
          <w:sz w:val="32"/>
          <w:szCs w:val="32"/>
          <w:shd w:val="clear" w:color="auto" w:fill="FFFFFF"/>
          <w:lang w:eastAsia="zh-CN"/>
        </w:rPr>
        <w:t>年中追加2024年度耕地保护奖励补助经费。</w:t>
      </w:r>
    </w:p>
    <w:p>
      <w:pPr>
        <w:keepNext w:val="0"/>
        <w:keepLines w:val="0"/>
        <w:pageBreakBefore w:val="0"/>
        <w:widowControl/>
        <w:kinsoku/>
        <w:wordWrap/>
        <w:overflowPunct/>
        <w:topLinePunct w:val="0"/>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123.32万元，占2.4%，较年初预算数增加35.84万元，增长41.0%，主要原因是</w:t>
      </w:r>
      <w:r>
        <w:rPr>
          <w:rFonts w:hint="default" w:ascii="Times New Roman" w:hAnsi="Times New Roman" w:eastAsia="方正仿宋_GBK" w:cs="Times New Roman"/>
          <w:sz w:val="32"/>
          <w:szCs w:val="32"/>
          <w:shd w:val="clear" w:color="auto" w:fill="FFFFFF"/>
          <w:lang w:eastAsia="zh-CN"/>
        </w:rPr>
        <w:t>人员薪资调整公积金缴纳基数变</w:t>
      </w:r>
      <w:r>
        <w:rPr>
          <w:rFonts w:hint="default" w:ascii="Times New Roman" w:hAnsi="Times New Roman" w:eastAsia="方正仿宋_GBK" w:cs="Times New Roman"/>
          <w:color w:val="auto"/>
          <w:sz w:val="32"/>
          <w:szCs w:val="32"/>
          <w:shd w:val="clear" w:color="auto" w:fill="FFFFFF"/>
          <w:lang w:eastAsia="zh-CN"/>
        </w:rPr>
        <w:t>化以及年中追加2022-2023年城镇CD级危房搬离整治项目。</w:t>
      </w:r>
    </w:p>
    <w:p>
      <w:pPr>
        <w:keepNext w:val="0"/>
        <w:keepLines w:val="0"/>
        <w:pageBreakBefore w:val="0"/>
        <w:widowControl/>
        <w:kinsoku/>
        <w:wordWrap/>
        <w:overflowPunct/>
        <w:topLinePunct w:val="0"/>
        <w:autoSpaceDN/>
        <w:bidi w:val="0"/>
        <w:adjustRightInd/>
        <w:spacing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58.83万元，占1.1%，较年初预算数增加47.83万元</w:t>
      </w:r>
      <w:r>
        <w:rPr>
          <w:rFonts w:hint="default" w:ascii="Times New Roman" w:hAnsi="Times New Roman" w:eastAsia="方正仿宋_GBK" w:cs="Times New Roman"/>
          <w:color w:val="auto"/>
          <w:sz w:val="32"/>
          <w:szCs w:val="32"/>
          <w:shd w:val="clear" w:color="auto" w:fill="FFFFFF"/>
        </w:rPr>
        <w:t>，增长434.8%，主要原因是</w:t>
      </w:r>
      <w:r>
        <w:rPr>
          <w:rFonts w:hint="default" w:ascii="Times New Roman" w:hAnsi="Times New Roman" w:eastAsia="方正仿宋_GBK" w:cs="Times New Roman"/>
          <w:color w:val="auto"/>
          <w:sz w:val="32"/>
          <w:szCs w:val="32"/>
          <w:shd w:val="clear" w:color="auto" w:fill="FFFFFF"/>
          <w:lang w:eastAsia="zh-CN"/>
        </w:rPr>
        <w:t>年中追加自然灾害救灾补助资金。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2" w:firstLineChars="200"/>
        <w:jc w:val="both"/>
        <w:textAlignment w:val="auto"/>
        <w:outlineLvl w:val="9"/>
        <w:rPr>
          <w:rFonts w:hint="default" w:ascii="Times New Roman" w:hAnsi="Times New Roman" w:eastAsia="方正仿宋_GBK" w:cs="Times New Roman"/>
          <w:color w:val="FF0000"/>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2024年度年末一般公共预算财政拨款结转和结余268.7</w:t>
      </w:r>
      <w:r>
        <w:rPr>
          <w:rFonts w:hint="default" w:ascii="Times New Roman" w:hAnsi="Times New Roman" w:eastAsia="方正仿宋_GBK" w:cs="Times New Roman"/>
          <w:sz w:val="32"/>
          <w:szCs w:val="32"/>
          <w:highlight w:val="none"/>
          <w:shd w:val="clear" w:color="auto" w:fill="FFFFFF"/>
        </w:rPr>
        <w:t>7万元，与2023年度相比，增加253.53万元，增长1663.6%，主要</w:t>
      </w:r>
      <w:r>
        <w:rPr>
          <w:rFonts w:hint="default" w:ascii="Times New Roman" w:hAnsi="Times New Roman" w:eastAsia="方正仿宋_GBK" w:cs="Times New Roman"/>
          <w:color w:val="auto"/>
          <w:sz w:val="32"/>
          <w:szCs w:val="32"/>
          <w:highlight w:val="none"/>
          <w:shd w:val="clear" w:color="auto" w:fill="FFFFFF"/>
        </w:rPr>
        <w:t>原因是</w:t>
      </w:r>
      <w:r>
        <w:rPr>
          <w:rFonts w:hint="default" w:ascii="Times New Roman" w:hAnsi="Times New Roman" w:eastAsia="方正仿宋_GBK" w:cs="Times New Roman"/>
          <w:sz w:val="32"/>
          <w:szCs w:val="32"/>
          <w:highlight w:val="none"/>
          <w:shd w:val="clear" w:color="auto" w:fill="FFFFFF"/>
          <w:lang w:eastAsia="zh-CN"/>
        </w:rPr>
        <w:t>更正年初</w:t>
      </w:r>
      <w:r>
        <w:rPr>
          <w:rFonts w:hint="default" w:ascii="Times New Roman" w:hAnsi="Times New Roman" w:eastAsia="方正仿宋_GBK" w:cs="Times New Roman"/>
          <w:color w:val="auto"/>
          <w:sz w:val="32"/>
          <w:szCs w:val="32"/>
          <w:highlight w:val="none"/>
          <w:shd w:val="clear" w:color="auto" w:fill="FFFFFF"/>
          <w:lang w:eastAsia="zh-CN"/>
        </w:rPr>
        <w:t>数254</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eastAsia="zh-CN"/>
        </w:rPr>
        <w:t>44万元。</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2024年度一般公共财政拨款基本支出2011.82万元。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人员经费1763.01万元，与2023年度相比，增加26.16万元，增长1.5%，主要原因是</w:t>
      </w:r>
      <w:r>
        <w:rPr>
          <w:rFonts w:hint="default" w:ascii="Times New Roman" w:hAnsi="Times New Roman" w:eastAsia="方正仿宋_GBK" w:cs="Times New Roman"/>
          <w:sz w:val="32"/>
          <w:szCs w:val="32"/>
          <w:shd w:val="clear" w:color="auto" w:fill="FFFFFF"/>
          <w:lang w:eastAsia="zh-CN"/>
        </w:rPr>
        <w:t>本年度新进公招人员。</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人员工资、津贴补贴、社保等支出。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公用经费248.80万元，与2023年度相比，增加15.61万元，增长6.7%，主要原因是</w:t>
      </w:r>
      <w:r>
        <w:rPr>
          <w:rFonts w:hint="default" w:ascii="Times New Roman" w:hAnsi="Times New Roman" w:eastAsia="方正仿宋_GBK" w:cs="Times New Roman"/>
          <w:sz w:val="32"/>
          <w:szCs w:val="32"/>
          <w:shd w:val="clear" w:color="auto" w:fill="FFFFFF"/>
          <w:lang w:eastAsia="zh-CN"/>
        </w:rPr>
        <w:t>本年度人员增加，公用经费支出增多。</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机关办公费、接待费、公车油料费、差旅费、培训费等。</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2024年度政府性基金预算财政拨款年初结转结余0.00万元，年末结转结余0.00万元。本年收入10.18万元，与2023年度相比，减少57.39万元，下降84.9%，主要原因是</w:t>
      </w:r>
      <w:r>
        <w:rPr>
          <w:rFonts w:hint="default" w:ascii="Times New Roman" w:hAnsi="Times New Roman" w:eastAsia="方正仿宋_GBK" w:cs="Times New Roman"/>
          <w:sz w:val="32"/>
          <w:szCs w:val="32"/>
          <w:shd w:val="clear" w:color="auto" w:fill="FFFFFF"/>
          <w:lang w:eastAsia="zh-CN"/>
        </w:rPr>
        <w:t>本年基金类工程建设项目减少。</w:t>
      </w:r>
      <w:r>
        <w:rPr>
          <w:rFonts w:hint="default" w:ascii="Times New Roman" w:hAnsi="Times New Roman" w:eastAsia="方正仿宋_GBK" w:cs="Times New Roman"/>
          <w:sz w:val="32"/>
          <w:szCs w:val="32"/>
          <w:shd w:val="clear" w:color="auto" w:fill="FFFFFF"/>
        </w:rPr>
        <w:t>本年支出10.18万元，与2023年度相比，减少65.21万元，下降86.5%，主要原因是</w:t>
      </w:r>
      <w:r>
        <w:rPr>
          <w:rFonts w:hint="default" w:ascii="Times New Roman" w:hAnsi="Times New Roman" w:eastAsia="方正仿宋_GBK" w:cs="Times New Roman"/>
          <w:sz w:val="32"/>
          <w:szCs w:val="32"/>
          <w:shd w:val="clear" w:color="auto" w:fill="FFFFFF"/>
          <w:lang w:eastAsia="zh-CN"/>
        </w:rPr>
        <w:t>本年基金类工程建设项目减少。</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本部门</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2" w:firstLineChars="200"/>
        <w:textAlignment w:val="auto"/>
        <w:outlineLvl w:val="9"/>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三、</w:t>
      </w:r>
      <w:r>
        <w:rPr>
          <w:rStyle w:val="10"/>
          <w:rFonts w:hint="default" w:ascii="Times New Roman" w:hAnsi="Times New Roman" w:eastAsia="方正仿宋_GBK" w:cs="Times New Roman"/>
          <w:sz w:val="32"/>
          <w:szCs w:val="32"/>
          <w:shd w:val="clear" w:color="auto" w:fill="FFFFFF"/>
          <w:lang w:eastAsia="zh-CN"/>
        </w:rPr>
        <w:t>财政拨款</w:t>
      </w:r>
      <w:r>
        <w:rPr>
          <w:rStyle w:val="10"/>
          <w:rFonts w:hint="default" w:ascii="Times New Roman" w:hAnsi="Times New Roman" w:eastAsia="方正仿宋_GBK" w:cs="Times New Roman"/>
          <w:sz w:val="32"/>
          <w:szCs w:val="32"/>
          <w:shd w:val="clear" w:color="auto" w:fill="FFFFFF"/>
        </w:rPr>
        <w:t>“三公”经费情况说明</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2024年度“三公”经费支出共计22.59万元，较年初预算数减少7.41万元，下降24.7%，主要原因是</w:t>
      </w:r>
      <w:r>
        <w:rPr>
          <w:rFonts w:hint="default" w:ascii="Times New Roman" w:hAnsi="Times New Roman" w:eastAsia="方正仿宋_GBK" w:cs="Times New Roman"/>
          <w:sz w:val="32"/>
          <w:szCs w:val="32"/>
          <w:shd w:val="clear" w:color="auto" w:fill="FFFFFF"/>
          <w:lang w:eastAsia="zh-CN"/>
        </w:rPr>
        <w:t>严格审批公务接待及公车使用审批。</w:t>
      </w:r>
      <w:r>
        <w:rPr>
          <w:rFonts w:hint="default" w:ascii="Times New Roman" w:hAnsi="Times New Roman" w:eastAsia="方正仿宋_GBK" w:cs="Times New Roman"/>
          <w:sz w:val="32"/>
          <w:szCs w:val="32"/>
          <w:shd w:val="clear" w:color="auto" w:fill="FFFFFF"/>
        </w:rPr>
        <w:t>较上年支出数减少8.36万元，下降27.0%，主要原因是</w:t>
      </w:r>
      <w:r>
        <w:rPr>
          <w:rFonts w:hint="default" w:ascii="Times New Roman" w:hAnsi="Times New Roman" w:eastAsia="方正仿宋_GBK" w:cs="Times New Roman"/>
          <w:sz w:val="32"/>
          <w:szCs w:val="32"/>
          <w:shd w:val="clear" w:color="auto" w:fill="FFFFFF"/>
          <w:lang w:eastAsia="zh-CN"/>
        </w:rPr>
        <w:t>严格审批公务接待及公车使用审批。</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部门未产生</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shd w:val="clear" w:color="auto" w:fill="FFFFFF"/>
          <w:lang w:eastAsia="zh-CN"/>
        </w:rPr>
        <w:t>，与上年度决算数持平。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部门无</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用，与上年度决算数持平。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车运行维护费12.46万元，主要用于</w:t>
      </w:r>
      <w:r>
        <w:rPr>
          <w:rFonts w:hint="default" w:ascii="Times New Roman" w:hAnsi="Times New Roman" w:eastAsia="方正仿宋_GBK" w:cs="Times New Roman"/>
          <w:sz w:val="32"/>
          <w:szCs w:val="32"/>
          <w:shd w:val="clear" w:color="auto" w:fill="FFFFFF"/>
          <w:lang w:eastAsia="zh-CN"/>
        </w:rPr>
        <w:t>公务车辆加油、维修、购买保险、日常保养等。</w:t>
      </w:r>
      <w:r>
        <w:rPr>
          <w:rFonts w:hint="default" w:ascii="Times New Roman" w:hAnsi="Times New Roman" w:eastAsia="方正仿宋_GBK" w:cs="Times New Roman"/>
          <w:sz w:val="32"/>
          <w:szCs w:val="32"/>
          <w:shd w:val="clear" w:color="auto" w:fill="FFFFFF"/>
        </w:rPr>
        <w:t>费用支出较年初预算数减少3.54万元，下降22.1%，主要原因是</w:t>
      </w:r>
      <w:r>
        <w:rPr>
          <w:rFonts w:hint="default" w:ascii="Times New Roman" w:hAnsi="Times New Roman" w:eastAsia="方正仿宋_GBK" w:cs="Times New Roman"/>
          <w:sz w:val="32"/>
          <w:szCs w:val="32"/>
          <w:shd w:val="clear" w:color="auto" w:fill="FFFFFF"/>
          <w:lang w:eastAsia="zh-CN"/>
        </w:rPr>
        <w:t>严格审批公务用车使用。</w:t>
      </w:r>
      <w:r>
        <w:rPr>
          <w:rFonts w:hint="default" w:ascii="Times New Roman" w:hAnsi="Times New Roman" w:eastAsia="方正仿宋_GBK" w:cs="Times New Roman"/>
          <w:sz w:val="32"/>
          <w:szCs w:val="32"/>
          <w:shd w:val="clear" w:color="auto" w:fill="FFFFFF"/>
        </w:rPr>
        <w:t>较上年支出数减少3.40万元，下降21.4%，主要原因是</w:t>
      </w:r>
      <w:r>
        <w:rPr>
          <w:rFonts w:hint="default" w:ascii="Times New Roman" w:hAnsi="Times New Roman" w:eastAsia="方正仿宋_GBK" w:cs="Times New Roman"/>
          <w:sz w:val="32"/>
          <w:szCs w:val="32"/>
          <w:shd w:val="clear" w:color="auto" w:fill="FFFFFF"/>
          <w:lang w:eastAsia="zh-CN"/>
        </w:rPr>
        <w:t>本年度严格控制公务车辆使用审批。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公务接待费10.13万元，主要用于接待</w:t>
      </w:r>
      <w:r>
        <w:rPr>
          <w:rFonts w:hint="default" w:ascii="Times New Roman" w:hAnsi="Times New Roman" w:eastAsia="方正仿宋_GBK" w:cs="Times New Roman"/>
          <w:sz w:val="32"/>
          <w:szCs w:val="32"/>
          <w:shd w:val="clear" w:color="auto" w:fill="FFFFFF"/>
          <w:lang w:eastAsia="zh-CN"/>
        </w:rPr>
        <w:t>上级部门指导检查工作用餐。</w:t>
      </w:r>
      <w:r>
        <w:rPr>
          <w:rFonts w:hint="default" w:ascii="Times New Roman" w:hAnsi="Times New Roman" w:eastAsia="方正仿宋_GBK" w:cs="Times New Roman"/>
          <w:sz w:val="32"/>
          <w:szCs w:val="32"/>
          <w:shd w:val="clear" w:color="auto" w:fill="FFFFFF"/>
        </w:rPr>
        <w:t>费用支出较年初预算数减少3.87万元，下降27.6%，主要原因是</w:t>
      </w:r>
      <w:r>
        <w:rPr>
          <w:rFonts w:hint="default" w:ascii="Times New Roman" w:hAnsi="Times New Roman" w:eastAsia="方正仿宋_GBK" w:cs="Times New Roman"/>
          <w:sz w:val="32"/>
          <w:szCs w:val="32"/>
          <w:shd w:val="clear" w:color="auto" w:fill="FFFFFF"/>
          <w:lang w:eastAsia="zh-CN"/>
        </w:rPr>
        <w:t>强化公务接待审批、严控公务接待标准。</w:t>
      </w:r>
      <w:r>
        <w:rPr>
          <w:rFonts w:hint="default" w:ascii="Times New Roman" w:hAnsi="Times New Roman" w:eastAsia="方正仿宋_GBK" w:cs="Times New Roman"/>
          <w:sz w:val="32"/>
          <w:szCs w:val="32"/>
          <w:shd w:val="clear" w:color="auto" w:fill="FFFFFF"/>
        </w:rPr>
        <w:t>较上年支出数减少4.96万元，下降32.9%，主要原因是</w:t>
      </w:r>
      <w:r>
        <w:rPr>
          <w:rFonts w:hint="default" w:ascii="Times New Roman" w:hAnsi="Times New Roman" w:eastAsia="方正仿宋_GBK" w:cs="Times New Roman"/>
          <w:sz w:val="32"/>
          <w:szCs w:val="32"/>
          <w:shd w:val="clear" w:color="auto" w:fill="FFFFFF"/>
          <w:lang w:eastAsia="zh-CN"/>
        </w:rPr>
        <w:t>严格控制公务接待审批，减少在外接待次数，施行非必要不在外接待，以自有食堂进行接待。</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因公出国（境）共计0个团组，0人；公务用车购置0辆，公务车保有量为5辆</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国内公务接待275批次2900人，其中：国内外事接待0批次，0人；国（境）外公务接待0批次，0人。2024年本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人均接待费34.92元，车均购置费0万元，车均维护费2.49万元。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textAlignment w:val="auto"/>
        <w:outlineLvl w:val="9"/>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本年度会议费支出0.00万元，与2023年度相比，减少3.40万元，下降100.0%，主要原因是</w:t>
      </w:r>
      <w:r>
        <w:rPr>
          <w:rFonts w:hint="default" w:ascii="Times New Roman" w:hAnsi="Times New Roman" w:eastAsia="方正仿宋_GBK" w:cs="Times New Roman"/>
          <w:sz w:val="32"/>
          <w:szCs w:val="32"/>
          <w:shd w:val="clear" w:color="auto" w:fill="FFFFFF"/>
          <w:lang w:eastAsia="zh-CN"/>
        </w:rPr>
        <w:t>严格落实精简会务要求，缩减会务开支。</w:t>
      </w:r>
      <w:r>
        <w:rPr>
          <w:rFonts w:hint="default" w:ascii="Times New Roman" w:hAnsi="Times New Roman" w:eastAsia="方正仿宋_GBK" w:cs="Times New Roman"/>
          <w:sz w:val="32"/>
          <w:szCs w:val="32"/>
          <w:shd w:val="clear" w:color="auto" w:fill="FFFFFF"/>
        </w:rPr>
        <w:t>本年度培训费支出1.02万元，与2023年度相比，减少2.41万元，下降70.3%，主要原因是</w:t>
      </w:r>
      <w:r>
        <w:rPr>
          <w:rFonts w:hint="default" w:ascii="Times New Roman" w:hAnsi="Times New Roman" w:eastAsia="方正仿宋_GBK" w:cs="Times New Roman"/>
          <w:sz w:val="32"/>
          <w:szCs w:val="32"/>
          <w:shd w:val="clear" w:color="auto" w:fill="FFFFFF"/>
          <w:lang w:eastAsia="zh-CN"/>
        </w:rPr>
        <w:t>减少非必要培训，减少培训支出。</w:t>
      </w:r>
      <w:r>
        <w:rPr>
          <w:rFonts w:hint="default" w:ascii="Times New Roman" w:hAnsi="Times New Roman" w:eastAsia="方正仿宋_GBK" w:cs="Times New Roman"/>
          <w:sz w:val="32"/>
          <w:szCs w:val="32"/>
          <w:shd w:val="clear" w:color="auto" w:fill="FFFFFF"/>
        </w:rPr>
        <w:t>本年度差旅费支出39.25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与2023年度相比，减少18.93万元，下降32.5%，主要原因是</w:t>
      </w:r>
      <w:r>
        <w:rPr>
          <w:rFonts w:hint="default" w:ascii="Times New Roman" w:hAnsi="Times New Roman" w:eastAsia="方正仿宋_GBK" w:cs="Times New Roman"/>
          <w:sz w:val="32"/>
          <w:szCs w:val="32"/>
          <w:shd w:val="clear" w:color="auto" w:fill="FFFFFF"/>
          <w:lang w:eastAsia="zh-CN"/>
        </w:rPr>
        <w:t>严格落实差旅报销制度，严格审批差旅报销。</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机关运行经费支出164.49万元，机关运行经费主要用于开支</w:t>
      </w:r>
      <w:r>
        <w:rPr>
          <w:rFonts w:hint="default" w:ascii="Times New Roman" w:hAnsi="Times New Roman" w:eastAsia="方正仿宋_GBK" w:cs="Times New Roman"/>
          <w:sz w:val="32"/>
          <w:szCs w:val="32"/>
          <w:shd w:val="clear" w:color="auto" w:fill="FFFFFF"/>
          <w:lang w:eastAsia="zh-CN"/>
        </w:rPr>
        <w:t>办公费、印刷费、水费、电费、邮电费、维修（护）费、差旅费、租赁费、工会经费、公务用车运行维护费等。</w:t>
      </w:r>
      <w:r>
        <w:rPr>
          <w:rFonts w:hint="default" w:ascii="Times New Roman" w:hAnsi="Times New Roman" w:eastAsia="方正仿宋_GBK" w:cs="Times New Roman"/>
          <w:sz w:val="32"/>
          <w:szCs w:val="32"/>
          <w:shd w:val="clear" w:color="auto" w:fill="FFFFFF"/>
        </w:rPr>
        <w:t>机关运行经费较上年支出数减少68.70万元，下降29.5%，主要原因是</w:t>
      </w:r>
      <w:r>
        <w:rPr>
          <w:rFonts w:hint="default" w:ascii="Times New Roman" w:hAnsi="Times New Roman" w:eastAsia="方正仿宋_GBK" w:cs="Times New Roman"/>
          <w:sz w:val="32"/>
          <w:szCs w:val="32"/>
          <w:shd w:val="clear" w:color="auto" w:fill="FFFFFF"/>
          <w:lang w:eastAsia="zh-CN"/>
        </w:rPr>
        <w:t>严格落实过紧日子要求，缩减开支。</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共有车辆5辆，其中，副部（省）级及以上领导用车0辆、主要负责人用车0辆、机要通信用车1辆、应急保障用车3辆、执法执勤用车0辆，特种专业技术用车1辆，离退休干部用车0辆。单价100万元（含）以上专用设备0台（套）。</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政府采购支出总额7.31万元，其中：政府采购货物支出7.31万元、政府采购工程支出0.00万元、政府采购服务支出0.00万元。授予中小企业合同金额7.31</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元，占政府采购支出总额的100.0%，其中：授予小微企业合同金额7.31万元，占政府采购支出总额的100.0 %。主要用于采购</w:t>
      </w:r>
      <w:r>
        <w:rPr>
          <w:rFonts w:hint="default" w:ascii="Times New Roman" w:hAnsi="Times New Roman" w:eastAsia="方正仿宋_GBK" w:cs="Times New Roman"/>
          <w:sz w:val="32"/>
          <w:szCs w:val="32"/>
          <w:shd w:val="clear" w:color="auto" w:fill="FFFFFF"/>
          <w:lang w:eastAsia="zh-CN"/>
        </w:rPr>
        <w:t>办公电脑。</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textAlignment w:val="auto"/>
        <w:outlineLvl w:val="9"/>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keepNext w:val="0"/>
        <w:keepLines w:val="0"/>
        <w:pageBreakBefore w:val="0"/>
        <w:widowControl/>
        <w:kinsoku/>
        <w:wordWrap/>
        <w:overflowPunct/>
        <w:topLinePunct w:val="0"/>
        <w:autoSpaceDN/>
        <w:bidi w:val="0"/>
        <w:adjustRightInd/>
        <w:snapToGrid w:val="0"/>
        <w:spacing w:line="570" w:lineRule="exact"/>
        <w:ind w:left="0" w:leftChars="0" w:right="0" w:rightChars="0" w:firstLine="640" w:firstLineChars="200"/>
        <w:textAlignment w:val="auto"/>
        <w:outlineLvl w:val="9"/>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w:t>
      </w:r>
      <w:r>
        <w:rPr>
          <w:rFonts w:hint="default" w:ascii="Times New Roman" w:hAnsi="Times New Roman" w:eastAsia="方正楷体_GBK" w:cs="Times New Roman"/>
          <w:b w:val="0"/>
          <w:bCs/>
          <w:sz w:val="32"/>
          <w:szCs w:val="32"/>
          <w:lang w:eastAsia="zh-CN"/>
        </w:rPr>
        <w:t>部门</w:t>
      </w:r>
      <w:r>
        <w:rPr>
          <w:rFonts w:hint="default" w:ascii="Times New Roman" w:hAnsi="Times New Roman" w:eastAsia="方正楷体_GBK" w:cs="Times New Roman"/>
          <w:b w:val="0"/>
          <w:bCs/>
          <w:sz w:val="32"/>
          <w:szCs w:val="32"/>
        </w:rPr>
        <w:t>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w:t>
      </w:r>
      <w:r>
        <w:rPr>
          <w:rFonts w:hint="default" w:ascii="Times New Roman" w:hAnsi="Times New Roman" w:eastAsia="方正仿宋_GBK" w:cs="Times New Roman"/>
          <w:kern w:val="0"/>
          <w:sz w:val="32"/>
          <w:szCs w:val="32"/>
          <w:shd w:val="clear" w:fill="FFFFFF"/>
          <w:lang w:eastAsia="zh-CN"/>
        </w:rPr>
        <w:t>部门</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部门整体和99个</w:t>
      </w:r>
      <w:r>
        <w:rPr>
          <w:rFonts w:hint="default" w:ascii="Times New Roman" w:hAnsi="Times New Roman" w:eastAsia="方正仿宋_GBK" w:cs="Times New Roman"/>
          <w:kern w:val="0"/>
          <w:sz w:val="32"/>
          <w:szCs w:val="32"/>
          <w:shd w:val="clear" w:fill="FFFFFF"/>
        </w:rPr>
        <w:t>项目开展了绩效自评，涉及财政拨款项目支出资金3152</w:t>
      </w:r>
      <w:r>
        <w:rPr>
          <w:rFonts w:hint="default" w:ascii="Times New Roman" w:hAnsi="Times New Roman" w:eastAsia="方正仿宋_GBK" w:cs="Times New Roman"/>
          <w:kern w:val="0"/>
          <w:sz w:val="32"/>
          <w:szCs w:val="32"/>
          <w:shd w:val="clear" w:fill="FFFFFF"/>
          <w:lang w:val="en-US" w:eastAsia="zh-CN"/>
        </w:rPr>
        <w:t>.</w:t>
      </w:r>
      <w:r>
        <w:rPr>
          <w:rFonts w:hint="default" w:ascii="Times New Roman" w:hAnsi="Times New Roman" w:eastAsia="方正仿宋_GBK" w:cs="Times New Roman"/>
          <w:kern w:val="0"/>
          <w:sz w:val="32"/>
          <w:szCs w:val="32"/>
          <w:shd w:val="clear" w:fill="FFFFFF"/>
        </w:rPr>
        <w:t>84万元</w:t>
      </w:r>
      <w:r>
        <w:rPr>
          <w:rFonts w:hint="default" w:ascii="Times New Roman" w:hAnsi="Times New Roman" w:eastAsia="方正仿宋_GBK" w:cs="Times New Roman"/>
          <w:kern w:val="0"/>
          <w:sz w:val="32"/>
          <w:szCs w:val="32"/>
          <w:shd w:val="clear" w:fill="FFFFFF"/>
          <w:lang w:eastAsia="zh-CN"/>
        </w:rPr>
        <w:t>。</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kern w:val="0"/>
          <w:sz w:val="32"/>
          <w:szCs w:val="32"/>
          <w:shd w:val="clear" w:fill="FFFFFF"/>
          <w:lang w:eastAsia="zh-CN"/>
        </w:rPr>
      </w:pPr>
      <w:r>
        <w:rPr>
          <w:rFonts w:hint="default" w:ascii="Times New Roman" w:hAnsi="Times New Roman" w:eastAsia="方正仿宋_GBK" w:cs="Times New Roman"/>
          <w:b w:val="0"/>
          <w:bCs w:val="0"/>
          <w:kern w:val="0"/>
          <w:sz w:val="32"/>
          <w:szCs w:val="32"/>
          <w:shd w:val="clear" w:fill="FFFFFF"/>
          <w:lang w:val="en-US" w:eastAsia="zh-CN"/>
        </w:rPr>
        <w:t>2024年度</w:t>
      </w:r>
      <w:r>
        <w:rPr>
          <w:rFonts w:hint="default" w:ascii="Times New Roman" w:hAnsi="Times New Roman" w:eastAsia="方正仿宋_GBK" w:cs="Times New Roman"/>
          <w:b w:val="0"/>
          <w:bCs w:val="0"/>
          <w:kern w:val="0"/>
          <w:sz w:val="32"/>
          <w:szCs w:val="32"/>
          <w:shd w:val="clear" w:fill="FFFFFF"/>
        </w:rPr>
        <w:t>部门整体绩效自评</w:t>
      </w:r>
      <w:r>
        <w:rPr>
          <w:rFonts w:hint="default" w:ascii="Times New Roman" w:hAnsi="Times New Roman" w:eastAsia="方正仿宋_GBK" w:cs="Times New Roman"/>
          <w:b w:val="0"/>
          <w:bCs w:val="0"/>
          <w:kern w:val="0"/>
          <w:sz w:val="32"/>
          <w:szCs w:val="32"/>
          <w:shd w:val="clear" w:fill="FFFFFF"/>
          <w:lang w:eastAsia="zh-CN"/>
        </w:rPr>
        <w:t>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drawing>
          <wp:inline distT="0" distB="0" distL="114300" distR="114300">
            <wp:extent cx="5273675" cy="2625090"/>
            <wp:effectExtent l="0" t="0" r="3175" b="3810"/>
            <wp:docPr id="2" name="图片 2" descr="b88d247dcbef65d9308a9cddaa7426d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b88d247dcbef65d9308a9cddaa7426d9"/>
                    <pic:cNvPicPr>
                      <a:picLocks noChangeAspect="true"/>
                    </pic:cNvPicPr>
                  </pic:nvPicPr>
                  <pic:blipFill>
                    <a:blip r:embed="rId7"/>
                    <a:stretch>
                      <a:fillRect/>
                    </a:stretch>
                  </pic:blipFill>
                  <pic:spPr>
                    <a:xfrm>
                      <a:off x="0" y="0"/>
                      <a:ext cx="5273675" cy="2625090"/>
                    </a:xfrm>
                    <a:prstGeom prst="rect">
                      <a:avLst/>
                    </a:prstGeom>
                    <a:ln>
                      <a:noFill/>
                    </a:ln>
                  </pic:spPr>
                </pic:pic>
              </a:graphicData>
            </a:graphic>
          </wp:inline>
        </w:drawing>
      </w:r>
    </w:p>
    <w:p>
      <w:pPr>
        <w:keepNext w:val="0"/>
        <w:keepLines w:val="0"/>
        <w:pageBreakBefore w:val="0"/>
        <w:widowControl/>
        <w:kinsoku/>
        <w:wordWrap/>
        <w:overflowPunct/>
        <w:topLinePunct w:val="0"/>
        <w:autoSpaceDN/>
        <w:bidi w:val="0"/>
        <w:adjustRightInd/>
        <w:spacing w:line="57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lang w:val="en-US" w:eastAsia="zh-CN"/>
        </w:rPr>
        <w:t>2024年度项目绩效自评表见附件</w:t>
      </w:r>
    </w:p>
    <w:p>
      <w:pPr>
        <w:pStyle w:val="1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70"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部门绩效评价情况</w:t>
      </w:r>
    </w:p>
    <w:p>
      <w:pPr>
        <w:pStyle w:val="16"/>
        <w:keepNext w:val="0"/>
        <w:keepLines w:val="0"/>
        <w:pageBreakBefore w:val="0"/>
        <w:widowControl/>
        <w:kinsoku/>
        <w:wordWrap/>
        <w:overflowPunct/>
        <w:topLinePunct w:val="0"/>
        <w:autoSpaceDE w:val="0"/>
        <w:autoSpaceDN/>
        <w:bidi w:val="0"/>
        <w:adjustRightInd/>
        <w:snapToGrid/>
        <w:spacing w:before="0" w:after="0" w:afterAutospacing="0" w:line="57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eastAsia="zh-CN"/>
        </w:rPr>
        <w:t>部门未组织开展绩效评价。</w:t>
      </w:r>
    </w:p>
    <w:p>
      <w:pPr>
        <w:pStyle w:val="16"/>
        <w:keepNext w:val="0"/>
        <w:keepLines w:val="0"/>
        <w:pageBreakBefore w:val="0"/>
        <w:widowControl/>
        <w:kinsoku/>
        <w:wordWrap/>
        <w:overflowPunct/>
        <w:topLinePunct w:val="0"/>
        <w:autoSpaceDE w:val="0"/>
        <w:autoSpaceDN/>
        <w:bidi w:val="0"/>
        <w:adjustRightInd/>
        <w:snapToGrid/>
        <w:spacing w:before="0" w:after="0" w:afterAutospacing="0" w:line="570" w:lineRule="exact"/>
        <w:ind w:left="0" w:leftChars="0" w:right="0" w:rightChars="0" w:firstLine="640" w:firstLineChars="200"/>
        <w:textAlignment w:val="auto"/>
        <w:outlineLvl w:val="9"/>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lang w:val="en-US" w:eastAsia="zh-CN" w:bidi="ar"/>
        </w:rPr>
        <w:t>（三）财政绩效评价情况</w:t>
      </w:r>
    </w:p>
    <w:p>
      <w:pPr>
        <w:pStyle w:val="16"/>
        <w:keepNext w:val="0"/>
        <w:keepLines w:val="0"/>
        <w:pageBreakBefore w:val="0"/>
        <w:widowControl/>
        <w:kinsoku/>
        <w:wordWrap/>
        <w:overflowPunct/>
        <w:topLinePunct w:val="0"/>
        <w:autoSpaceDE w:val="0"/>
        <w:autoSpaceDN/>
        <w:bidi w:val="0"/>
        <w:adjustRightInd/>
        <w:snapToGrid/>
        <w:spacing w:before="0" w:after="0" w:afterAutospacing="0" w:line="57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lang w:eastAsia="zh-CN"/>
        </w:rPr>
        <w:t>县财政局未委托第三方对我部门开展绩效评价。</w:t>
      </w:r>
    </w:p>
    <w:p>
      <w:pPr>
        <w:pStyle w:val="16"/>
        <w:keepNext w:val="0"/>
        <w:keepLines w:val="0"/>
        <w:pageBreakBefore w:val="0"/>
        <w:widowControl/>
        <w:kinsoku/>
        <w:wordWrap/>
        <w:overflowPunct/>
        <w:topLinePunct w:val="0"/>
        <w:autoSpaceDE w:val="0"/>
        <w:autoSpaceDN/>
        <w:bidi w:val="0"/>
        <w:adjustRightInd/>
        <w:snapToGrid/>
        <w:spacing w:before="0" w:after="0" w:afterAutospacing="0" w:line="570" w:lineRule="exact"/>
        <w:ind w:left="0" w:leftChars="0" w:right="0" w:rightChars="0" w:firstLine="640" w:firstLineChars="200"/>
        <w:textAlignment w:val="auto"/>
        <w:outlineLvl w:val="9"/>
        <w:rPr>
          <w:rFonts w:hint="default" w:ascii="Times New Roman" w:hAnsi="Times New Roman" w:eastAsia="方正黑体_GBK" w:cs="Times New Roman"/>
          <w:b w:val="0"/>
          <w:bCs w:val="0"/>
          <w:kern w:val="0"/>
          <w:sz w:val="32"/>
          <w:szCs w:val="32"/>
        </w:rPr>
      </w:pPr>
      <w:r>
        <w:rPr>
          <w:rStyle w:val="10"/>
          <w:rFonts w:hint="default" w:ascii="Times New Roman" w:hAnsi="Times New Roman" w:eastAsia="方正黑体_GBK" w:cs="Times New Roman"/>
          <w:b w:val="0"/>
          <w:bCs w:val="0"/>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2" w:firstLineChars="200"/>
        <w:textAlignment w:val="auto"/>
        <w:outlineLvl w:val="9"/>
        <w:rPr>
          <w:rFonts w:hint="default" w:ascii="Times New Roman" w:hAnsi="Times New Roman" w:eastAsia="方正仿宋_GBK" w:cs="Times New Roman"/>
          <w:kern w:val="0"/>
          <w:sz w:val="32"/>
          <w:szCs w:val="32"/>
        </w:rPr>
      </w:pPr>
      <w:r>
        <w:rPr>
          <w:rStyle w:val="10"/>
          <w:rFonts w:hint="default" w:ascii="Times New Roman" w:hAnsi="Times New Roman" w:eastAsia="方正仿宋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0" w:firstLineChars="200"/>
        <w:textAlignment w:val="auto"/>
        <w:outlineLvl w:val="9"/>
        <w:rPr>
          <w:rFonts w:hint="default" w:ascii="Times New Roman" w:hAnsi="Times New Roman" w:eastAsia="方正黑体_GBK" w:cs="Times New Roman"/>
          <w:b w:val="0"/>
          <w:bCs/>
          <w:kern w:val="0"/>
          <w:sz w:val="32"/>
          <w:szCs w:val="32"/>
        </w:rPr>
      </w:pPr>
      <w:r>
        <w:rPr>
          <w:rStyle w:val="10"/>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lang w:eastAsia="zh-CN"/>
        </w:rPr>
        <w:t>简华君</w:t>
      </w:r>
      <w:r>
        <w:rPr>
          <w:rFonts w:hint="default" w:ascii="Times New Roman" w:hAnsi="Times New Roman" w:eastAsia="方正仿宋_GBK" w:cs="Times New Roman"/>
          <w:kern w:val="0"/>
          <w:sz w:val="32"/>
          <w:szCs w:val="32"/>
          <w:shd w:val="clear" w:fill="FFFFFF"/>
          <w:lang w:val="en-US" w:eastAsia="zh-CN"/>
        </w:rPr>
        <w:t xml:space="preserve">   023-70678079</w:t>
      </w:r>
    </w:p>
    <w:p>
      <w:pPr>
        <w:pStyle w:val="11"/>
        <w:keepNext w:val="0"/>
        <w:keepLines w:val="0"/>
        <w:pageBreakBefore w:val="0"/>
        <w:widowControl/>
        <w:kinsoku/>
        <w:wordWrap/>
        <w:overflowPunct/>
        <w:topLinePunct w:val="0"/>
        <w:autoSpaceDE w:val="0"/>
        <w:autoSpaceDN/>
        <w:bidi w:val="0"/>
        <w:adjustRightInd/>
        <w:spacing w:line="570" w:lineRule="exact"/>
        <w:ind w:left="0" w:leftChars="0" w:right="0" w:rightChars="0" w:firstLine="642" w:firstLineChars="200"/>
        <w:jc w:val="both"/>
        <w:textAlignment w:val="auto"/>
        <w:outlineLvl w:val="9"/>
        <w:rPr>
          <w:rStyle w:val="10"/>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Spec="center" w:tblpY="22"/>
        <w:tblOverlap w:val="never"/>
        <w:tblW w:w="14737" w:type="dxa"/>
        <w:jc w:val="center"/>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28"/>
                <w:szCs w:val="28"/>
              </w:rPr>
              <w:t>收入支出决算总表</w:t>
            </w:r>
          </w:p>
        </w:tc>
      </w:tr>
      <w:tr>
        <w:tblPrEx>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丰都县龙河镇人民政府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5,148.06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431.29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5,158.24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5,159.16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6,148.32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6,148.32</w:t>
            </w:r>
            <w:r>
              <w:rPr>
                <w:rFonts w:ascii="Times New Roman" w:hAnsi="Times New Roman"/>
                <w:color w:val="000000"/>
                <w:sz w:val="20"/>
                <w:u w:color="auto"/>
              </w:rPr>
              <w:t xml:space="preserve"> </w:t>
            </w:r>
          </w:p>
        </w:tc>
      </w:tr>
    </w:tbl>
    <w:p>
      <w:pPr>
        <w:rPr>
          <w:rFonts w:hint="default" w:cs="宋体"/>
          <w:sz w:val="21"/>
          <w:szCs w:val="21"/>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cs="宋体"/>
          <w:sz w:val="20"/>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15503" w:type="dxa"/>
        <w:jc w:val="center"/>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jc w:val="center"/>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28"/>
                <w:szCs w:val="28"/>
              </w:rPr>
              <w:t>收入决算表</w:t>
            </w:r>
          </w:p>
        </w:tc>
      </w:tr>
      <w:tr>
        <w:tblPrEx>
          <w:tblCellMar>
            <w:top w:w="0" w:type="dxa"/>
            <w:left w:w="0" w:type="dxa"/>
            <w:bottom w:w="0" w:type="dxa"/>
            <w:right w:w="0" w:type="dxa"/>
          </w:tblCellMar>
        </w:tblPrEx>
        <w:trPr>
          <w:trHeight w:val="328" w:hRule="atLeast"/>
          <w:jc w:val="center"/>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丰都县龙河镇人民政府</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jc w:val="center"/>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jc w:val="center"/>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5,158.24</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5,158.24</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1,045.51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1,045.51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987.49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265.91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2,029.29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2,029.29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694.63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694.63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jc w:val="center"/>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ind w:left="0" w:hanging="600" w:hangingChars="300"/>
        <w:textAlignment w:val="auto"/>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jc w:val="center"/>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28"/>
                <w:szCs w:val="28"/>
              </w:rPr>
              <w:t>支出决算表</w:t>
            </w:r>
          </w:p>
        </w:tc>
      </w:tr>
      <w:tr>
        <w:tblPrEx>
          <w:tblCellMar>
            <w:top w:w="0" w:type="dxa"/>
            <w:left w:w="0" w:type="dxa"/>
            <w:bottom w:w="0" w:type="dxa"/>
            <w:right w:w="0" w:type="dxa"/>
          </w:tblCellMar>
        </w:tblPrEx>
        <w:trPr>
          <w:trHeight w:val="342" w:hRule="atLeast"/>
          <w:jc w:val="center"/>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丰都县龙河镇人民政府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jc w:val="center"/>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jc w:val="center"/>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jc w:val="center"/>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jc w:val="center"/>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5,159.16</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2,011.82</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3,147.34</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1,046.43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784.86</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260.41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52.21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1,003.86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571.61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210.17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180.11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2,029.29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285.31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1,743.98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574.05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274.97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299.09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694.63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jc w:val="center"/>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textAlignment w:val="auto"/>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jc w:val="center"/>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jc w:val="center"/>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28"/>
                <w:szCs w:val="28"/>
              </w:rPr>
              <w:t>财政拨款收入支出决算总表</w:t>
            </w:r>
          </w:p>
        </w:tc>
      </w:tr>
      <w:tr>
        <w:tblPrEx>
          <w:tblCellMar>
            <w:top w:w="0" w:type="dxa"/>
            <w:left w:w="0" w:type="dxa"/>
            <w:bottom w:w="0" w:type="dxa"/>
            <w:right w:w="0" w:type="dxa"/>
          </w:tblCellMar>
        </w:tblPrEx>
        <w:trPr>
          <w:trHeight w:val="90" w:hRule="atLeast"/>
          <w:jc w:val="center"/>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丰都县龙河镇人民政府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jc w:val="center"/>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jc w:val="center"/>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5,148.06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1,046.43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1,003.86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2,029.29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123.32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5,158.24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5,159.16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5,148.98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5,427.92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5,427.92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5,417.74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jc w:val="center"/>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jc w:val="center"/>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28"/>
                <w:szCs w:val="28"/>
              </w:rPr>
              <w:t>一般公共预算财政拨款支出决算表</w:t>
            </w:r>
          </w:p>
        </w:tc>
      </w:tr>
      <w:tr>
        <w:tblPrEx>
          <w:tblCellMar>
            <w:top w:w="0" w:type="dxa"/>
            <w:left w:w="0" w:type="dxa"/>
            <w:bottom w:w="0" w:type="dxa"/>
            <w:right w:w="0" w:type="dxa"/>
          </w:tblCellMar>
        </w:tblPrEx>
        <w:trPr>
          <w:trHeight w:val="255" w:hRule="atLeast"/>
          <w:jc w:val="center"/>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丰都县龙河镇人民政府</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jc w:val="center"/>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jc w:val="center"/>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jc w:val="center"/>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5,148.98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2,011.82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3,137.16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784.86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52.21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1,003.86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571.61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414.14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43.40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2,029.29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285.31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1,743.98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574.05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274.97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274.97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694.63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677.89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431.29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textAlignment w:val="auto"/>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jc w:val="center"/>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jc w:val="center"/>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28"/>
                <w:szCs w:val="28"/>
              </w:rPr>
              <w:t>一般公共预算财政拨款基本支出决算表</w:t>
            </w:r>
          </w:p>
        </w:tc>
      </w:tr>
      <w:tr>
        <w:tblPrEx>
          <w:tblCellMar>
            <w:top w:w="0" w:type="dxa"/>
            <w:left w:w="0" w:type="dxa"/>
            <w:bottom w:w="0" w:type="dxa"/>
            <w:right w:w="0" w:type="dxa"/>
          </w:tblCellMar>
        </w:tblPrEx>
        <w:trPr>
          <w:trHeight w:val="334" w:hRule="atLeast"/>
          <w:jc w:val="center"/>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丰都县龙河镇人民政府</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jc w:val="center"/>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jc w:val="center"/>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jc w:val="center"/>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1,472.58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240.12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330.13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jc w:val="center"/>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jc w:val="center"/>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1,763.01</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248.80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jc w:val="center"/>
        <w:tblLayout w:type="fixed"/>
        <w:tblCellMar>
          <w:top w:w="0" w:type="dxa"/>
          <w:left w:w="0" w:type="dxa"/>
          <w:bottom w:w="0" w:type="dxa"/>
          <w:right w:w="0" w:type="dxa"/>
        </w:tblCellMar>
      </w:tblPr>
      <w:tblGrid>
        <w:gridCol w:w="1373"/>
        <w:gridCol w:w="3630"/>
        <w:gridCol w:w="1686"/>
        <w:gridCol w:w="1686"/>
        <w:gridCol w:w="1686"/>
        <w:gridCol w:w="1686"/>
        <w:gridCol w:w="1750"/>
        <w:gridCol w:w="1825"/>
      </w:tblGrid>
      <w:tr>
        <w:tblPrEx>
          <w:tblCellMar>
            <w:top w:w="0" w:type="dxa"/>
            <w:left w:w="0" w:type="dxa"/>
            <w:bottom w:w="0" w:type="dxa"/>
            <w:right w:w="0" w:type="dxa"/>
          </w:tblCellMar>
        </w:tblPrEx>
        <w:trPr>
          <w:trHeight w:val="644" w:hRule="atLeast"/>
          <w:jc w:val="center"/>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28"/>
                <w:szCs w:val="28"/>
              </w:rPr>
              <w:t>政府性基金预算财政拨款收入支出决算表</w:t>
            </w:r>
          </w:p>
        </w:tc>
      </w:tr>
      <w:tr>
        <w:tblPrEx>
          <w:tblCellMar>
            <w:top w:w="0" w:type="dxa"/>
            <w:left w:w="0" w:type="dxa"/>
            <w:bottom w:w="0" w:type="dxa"/>
            <w:right w:w="0" w:type="dxa"/>
          </w:tblCellMar>
        </w:tblPrEx>
        <w:trPr>
          <w:trHeight w:val="329" w:hRule="atLeast"/>
          <w:jc w:val="center"/>
        </w:trPr>
        <w:tc>
          <w:tcPr>
            <w:tcW w:w="668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丰都县龙河镇人民政府</w:t>
            </w: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jc w:val="center"/>
        </w:trPr>
        <w:tc>
          <w:tcPr>
            <w:tcW w:w="668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2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jc w:val="center"/>
        </w:trPr>
        <w:tc>
          <w:tcPr>
            <w:tcW w:w="50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8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22"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jc w:val="center"/>
        </w:trPr>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jc w:val="center"/>
        </w:trPr>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500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10.18</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10.18</w:t>
            </w:r>
            <w:r>
              <w:rPr>
                <w:rFonts w:ascii="Times New Roman" w:hAnsi="Times New Roman"/>
                <w:b/>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jc w:val="center"/>
        </w:trPr>
        <w:tc>
          <w:tcPr>
            <w:tcW w:w="137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5.18</w:t>
            </w:r>
            <w:r>
              <w:rPr>
                <w:rFonts w:ascii="Times New Roman" w:hAnsi="Times New Roman"/>
                <w:color w:val="000000"/>
                <w:sz w:val="20"/>
                <w:u w:color="auto"/>
              </w:rPr>
              <w:t xml:space="preserve"> </w:t>
            </w:r>
          </w:p>
        </w:tc>
        <w:tc>
          <w:tcPr>
            <w:tcW w:w="18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textAlignment w:val="auto"/>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jc w:val="center"/>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jc w:val="center"/>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28"/>
                <w:szCs w:val="28"/>
              </w:rPr>
              <w:t>国有资本经营预算财政拨款支出决算表</w:t>
            </w:r>
          </w:p>
        </w:tc>
      </w:tr>
      <w:tr>
        <w:tblPrEx>
          <w:tblCellMar>
            <w:top w:w="0" w:type="dxa"/>
            <w:left w:w="0" w:type="dxa"/>
            <w:bottom w:w="0" w:type="dxa"/>
            <w:right w:w="0" w:type="dxa"/>
          </w:tblCellMar>
        </w:tblPrEx>
        <w:trPr>
          <w:trHeight w:val="332" w:hRule="atLeast"/>
          <w:jc w:val="center"/>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丰都县龙河镇人民政府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jc w:val="center"/>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jc w:val="center"/>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jc w:val="center"/>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jc w:val="center"/>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jc w:val="center"/>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jc w:val="center"/>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jc w:val="center"/>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bookmarkStart w:id="0" w:name="_GoBack"/>
            <w:bookmarkEnd w:id="0"/>
            <w:r>
              <w:rPr>
                <w:rFonts w:cs="宋体"/>
                <w:b/>
                <w:color w:val="000000"/>
                <w:kern w:val="2"/>
                <w:sz w:val="28"/>
                <w:szCs w:val="28"/>
              </w:rPr>
              <w:t>机构运行信息表</w:t>
            </w:r>
          </w:p>
        </w:tc>
      </w:tr>
      <w:tr>
        <w:tblPrEx>
          <w:tblCellMar>
            <w:top w:w="0" w:type="dxa"/>
            <w:left w:w="170" w:type="dxa"/>
            <w:bottom w:w="0" w:type="dxa"/>
            <w:right w:w="170" w:type="dxa"/>
          </w:tblCellMar>
        </w:tblPrEx>
        <w:trPr>
          <w:trHeight w:val="244" w:hRule="atLeast"/>
          <w:jc w:val="center"/>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丰都县龙河镇人民政府</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22.59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12.46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10.13</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10.13</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39.25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snapToGrid/>
        <w:textAlignment w:val="auto"/>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0843"/>
    <w:multiLevelType w:val="singleLevel"/>
    <w:tmpl w:val="D727084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9B392B"/>
    <w:rsid w:val="03B87EA0"/>
    <w:rsid w:val="03E3214F"/>
    <w:rsid w:val="03EE7EFF"/>
    <w:rsid w:val="044C50BA"/>
    <w:rsid w:val="04900156"/>
    <w:rsid w:val="05737B4E"/>
    <w:rsid w:val="05BC6D49"/>
    <w:rsid w:val="06194FF1"/>
    <w:rsid w:val="06A2550B"/>
    <w:rsid w:val="06A33337"/>
    <w:rsid w:val="06F80EE2"/>
    <w:rsid w:val="07001CCA"/>
    <w:rsid w:val="075678DB"/>
    <w:rsid w:val="079D7CC7"/>
    <w:rsid w:val="07E84685"/>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A640CA"/>
    <w:rsid w:val="0EC6180C"/>
    <w:rsid w:val="0F497FB6"/>
    <w:rsid w:val="0F836721"/>
    <w:rsid w:val="0FA25D96"/>
    <w:rsid w:val="107B59E5"/>
    <w:rsid w:val="10EC0126"/>
    <w:rsid w:val="10F70B9A"/>
    <w:rsid w:val="111445C7"/>
    <w:rsid w:val="114278C6"/>
    <w:rsid w:val="1158083A"/>
    <w:rsid w:val="115E2610"/>
    <w:rsid w:val="11643A4B"/>
    <w:rsid w:val="11ED0F98"/>
    <w:rsid w:val="11F03528"/>
    <w:rsid w:val="12C921C4"/>
    <w:rsid w:val="12F52ECF"/>
    <w:rsid w:val="13871C70"/>
    <w:rsid w:val="13A71CB4"/>
    <w:rsid w:val="13AF1D43"/>
    <w:rsid w:val="13CE1647"/>
    <w:rsid w:val="13DA0C25"/>
    <w:rsid w:val="13FD55AB"/>
    <w:rsid w:val="14200702"/>
    <w:rsid w:val="14907817"/>
    <w:rsid w:val="14AB08FF"/>
    <w:rsid w:val="159A2A29"/>
    <w:rsid w:val="163A6CEE"/>
    <w:rsid w:val="173708E3"/>
    <w:rsid w:val="174C19C7"/>
    <w:rsid w:val="17C374FC"/>
    <w:rsid w:val="189079DC"/>
    <w:rsid w:val="189B0D0B"/>
    <w:rsid w:val="18B43F7C"/>
    <w:rsid w:val="194A1770"/>
    <w:rsid w:val="19B906A4"/>
    <w:rsid w:val="19D13DED"/>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28935B5"/>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320355"/>
    <w:rsid w:val="2B8209DE"/>
    <w:rsid w:val="2C6762A3"/>
    <w:rsid w:val="2EBF7B3E"/>
    <w:rsid w:val="2EDE1934"/>
    <w:rsid w:val="2F4E2747"/>
    <w:rsid w:val="2FCA4B37"/>
    <w:rsid w:val="2FE029D7"/>
    <w:rsid w:val="2FF06E00"/>
    <w:rsid w:val="30562E26"/>
    <w:rsid w:val="30586FEC"/>
    <w:rsid w:val="30EC7046"/>
    <w:rsid w:val="315F0B22"/>
    <w:rsid w:val="319D022C"/>
    <w:rsid w:val="31C90022"/>
    <w:rsid w:val="31D84415"/>
    <w:rsid w:val="32285F6F"/>
    <w:rsid w:val="32770556"/>
    <w:rsid w:val="329C0913"/>
    <w:rsid w:val="32AA0460"/>
    <w:rsid w:val="32FF4F22"/>
    <w:rsid w:val="3337290D"/>
    <w:rsid w:val="33680BA3"/>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16B04"/>
    <w:rsid w:val="3B1705E5"/>
    <w:rsid w:val="3B18334B"/>
    <w:rsid w:val="3B36794F"/>
    <w:rsid w:val="3B72650D"/>
    <w:rsid w:val="3C566AD6"/>
    <w:rsid w:val="3C6A5B02"/>
    <w:rsid w:val="3C6B7F4B"/>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3E1A63"/>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40483C"/>
    <w:rsid w:val="495C4A24"/>
    <w:rsid w:val="497135DF"/>
    <w:rsid w:val="49D879D2"/>
    <w:rsid w:val="4A1605D9"/>
    <w:rsid w:val="4A263DF2"/>
    <w:rsid w:val="4A6F6675"/>
    <w:rsid w:val="4ABF0746"/>
    <w:rsid w:val="4B0502DF"/>
    <w:rsid w:val="4B135857"/>
    <w:rsid w:val="4B7951CB"/>
    <w:rsid w:val="4B7C315C"/>
    <w:rsid w:val="4CCF773C"/>
    <w:rsid w:val="4DAC4ACA"/>
    <w:rsid w:val="4DBE01D2"/>
    <w:rsid w:val="4E8470D4"/>
    <w:rsid w:val="4EC92552"/>
    <w:rsid w:val="4EFC6D10"/>
    <w:rsid w:val="4F0C6BA3"/>
    <w:rsid w:val="4F10477D"/>
    <w:rsid w:val="4F186D58"/>
    <w:rsid w:val="4FEA65B7"/>
    <w:rsid w:val="5042146E"/>
    <w:rsid w:val="50F06B6E"/>
    <w:rsid w:val="51307C7F"/>
    <w:rsid w:val="52234D33"/>
    <w:rsid w:val="52261ABA"/>
    <w:rsid w:val="522F6E0C"/>
    <w:rsid w:val="52463BA1"/>
    <w:rsid w:val="5298794F"/>
    <w:rsid w:val="52A74B48"/>
    <w:rsid w:val="52DC2BC5"/>
    <w:rsid w:val="52F163D4"/>
    <w:rsid w:val="531A2DB4"/>
    <w:rsid w:val="53A36F06"/>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5C6329"/>
    <w:rsid w:val="596173AF"/>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3DA3566"/>
    <w:rsid w:val="64571EF5"/>
    <w:rsid w:val="64CB0157"/>
    <w:rsid w:val="64FB113D"/>
    <w:rsid w:val="65036946"/>
    <w:rsid w:val="650A3C58"/>
    <w:rsid w:val="654A25FE"/>
    <w:rsid w:val="656152C6"/>
    <w:rsid w:val="6587477F"/>
    <w:rsid w:val="658C3A08"/>
    <w:rsid w:val="65B83D53"/>
    <w:rsid w:val="65C031CA"/>
    <w:rsid w:val="65CE6852"/>
    <w:rsid w:val="66267C04"/>
    <w:rsid w:val="663F505A"/>
    <w:rsid w:val="66967186"/>
    <w:rsid w:val="66EE5541"/>
    <w:rsid w:val="67924660"/>
    <w:rsid w:val="67B3F9D6"/>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30CA8"/>
    <w:rsid w:val="70D94BD3"/>
    <w:rsid w:val="71426181"/>
    <w:rsid w:val="71C34D91"/>
    <w:rsid w:val="723E39A6"/>
    <w:rsid w:val="72DB435C"/>
    <w:rsid w:val="72E2613A"/>
    <w:rsid w:val="72F771F4"/>
    <w:rsid w:val="73067DC7"/>
    <w:rsid w:val="734150D5"/>
    <w:rsid w:val="736650B0"/>
    <w:rsid w:val="73934AD2"/>
    <w:rsid w:val="73FC3B5D"/>
    <w:rsid w:val="750837F0"/>
    <w:rsid w:val="75251FFD"/>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 w:val="7FB31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3933</Words>
  <Characters>22421</Characters>
  <Lines>186</Lines>
  <Paragraphs>52</Paragraphs>
  <TotalTime>2</TotalTime>
  <ScaleCrop>false</ScaleCrop>
  <LinksUpToDate>false</LinksUpToDate>
  <CharactersWithSpaces>26302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fengdu</cp:lastModifiedBy>
  <dcterms:modified xsi:type="dcterms:W3CDTF">2025-09-16T11:38:21Z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eyJoZGlkIjoiNWY3YzE1NDUxZDE1M2RlOWYyYzUwYjgyYzRiMTUyMGQifQ==</vt:lpwstr>
  </property>
</Properties>
</file>