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6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  <w:lang w:eastAsia="zh-CN"/>
        </w:rPr>
        <w:t>丰都县龙河镇人民政府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6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关于</w:t>
      </w:r>
      <w:r>
        <w:rPr>
          <w:rStyle w:val="7"/>
          <w:rFonts w:hint="eastAsia"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202</w:t>
      </w:r>
      <w:r>
        <w:rPr>
          <w:rStyle w:val="7"/>
          <w:rFonts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4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年财政预算执行情况和</w:t>
      </w:r>
      <w:r>
        <w:rPr>
          <w:rStyle w:val="7"/>
          <w:rFonts w:hint="eastAsia"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202</w:t>
      </w:r>
      <w:r>
        <w:rPr>
          <w:rStyle w:val="7"/>
          <w:rFonts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5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年财政预算的报告</w:t>
      </w:r>
    </w:p>
    <w:p>
      <w:pPr>
        <w:pStyle w:val="4"/>
        <w:widowControl/>
        <w:shd w:val="clear" w:color="auto" w:fill="FFFFFF"/>
        <w:spacing w:beforeAutospacing="0" w:after="180" w:afterAutospacing="0" w:line="600" w:lineRule="atLeas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  <w:lang w:eastAsia="zh-CN"/>
        </w:rPr>
      </w:pPr>
    </w:p>
    <w:p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一、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年财政预算执行情况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（一）一般公共预算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收入情况。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龙河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镇一般公共预算收入总计为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5158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万元，为年度预算数的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，同比增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3.10%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spacing w:line="570" w:lineRule="exact"/>
        <w:ind w:firstLine="640" w:firstLineChars="200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支出情况。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龙河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镇财政支出总计为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5159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万元,为年度预算数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，同比增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加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0.33%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。支出分项情况如下：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（1）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一般公共服务支出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1046.43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万元，主要用于乡镇经济发展工作、平安建设工作、乡村振兴工作、人员生活保障等工作支出；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（2）文化体育与传媒支出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万元，主要用于“三馆一站”免费开放专项工作、文物巡察工作等日常文化旅游体育工作；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（3）社会保障和就业支出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1003.86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万元，主要用于基层政权建设和社区治理、职工工资及社会保障支出；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（4）卫生健康支出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90.06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万元，主要用于职工医疗保障支出；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（5）城乡社区事务支出完成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238.53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万元，主要用于场镇市政运行维护、场镇升级改造等项目支出；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（6）农林水支出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2029.29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万元，主要用于农业生产发展、农业生态资源保护、病虫害控制、对村民委员会和村党支部的补助支出；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（7）交通运输支出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431.29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万元，主要用于公路建设、公路养护等支出；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（8）住房保障支出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123.32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万元，主要用于农村旧房整治提升项目、职工住房保障金交纳等支出；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（9）灾害防治及应急管理支出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58.83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万元，主要用于地质灾害防治、自然灾害救助补助支出；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（10）自然资源海洋气象支出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完成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71.32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主要用于耕地恢复补助项目支出；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（11）其他支出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完成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10.18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，主要用于长坡村休闲文化广场建设和老年幸福食堂建设补助支出。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（二）政府性基金预算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收入情况。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龙河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镇政府性基金预算收入总计为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18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万元，为年度预算数的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0.20%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，同比增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加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spacing w:line="570" w:lineRule="exact"/>
        <w:ind w:firstLine="640" w:firstLineChars="200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支出情况。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龙河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镇政府性基金预算支出总计为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18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万元,为年度预算数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0.20%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，同比增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加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主要用于xx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：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024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年重点财政工作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1、围绕财源挖掘，狠抓财政税收组织。一是抓住发展第一要务，加快财源建设步伐，认真落实壮大经济、培植财源的各项措施，加大基础设施建设和特色产业发展力度。二是拓宽生财领域，服务经济建设大局。强化对重点行业、重点纳税企业和薄弱环节的监管，掌握税源动态，确保财政收入平稳有序入库，促进公平税负和应收尽收，实现财政收入与经济社会发展双赢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2、围绕公共财政，优化财政支出结构。围绕公共财政建设目标，坚持统筹兼顾，攻坚克难，积极保障和改善民生；精打细算，充分发挥财政资金的使用效益，进一步优化支出结构，将财政资金向群众最关心、最需要、最受益的民生领域倾斜，努力实现社会事业的全面协调发展。一是严格预算执行，科学合理安排支出，做到支出按计划，拨款按进度，全力保障机构正常运行。二是安排资金足额对基础性民生进行配套，使民生资金发放到最需要的人手中。全年完成乡村振兴、经济建设、脱贫攻坚、集体经济等项目发展，为各项指标正常运转提供了经费保障。三是压缩一般性公共支出要求，严格落实节支任务，在政策性减收的情况下，统筹调度资金，全力“保工资，保基本运转”为首要任务，整合财政涉农资金，集中财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巩固拓展脱贫攻坚成果同乡村振兴有效衔接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，适当安排事业发展经费。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、围绕民生改善，加快乡村振兴建设。坚持“多予，少取”的方针，着力改善民生，支农力度不断加大，投入结构不断优化，惠农政策取得实效。一是保障重点。按照“兜底线，保重点”的原则，严控一般性支出，压缩行政成本，集中财力用于保障政府重大项目和重点支出。2024年支持农村道路建设、抢险、安防等工程789.82万元，人居环境综合整治项目272.5万元，场镇升级改造120万元。二是做大产业。加大项目资金争取力度，全年拨付巩固拓展脱贫攻坚成果同乡村振兴有效衔接项目163.68万元，拨付松材线虫防治及国土绿化87万元。三是改善民生。按照“优化结构、突出重点、保障民生”的原则，积极向上争取资金，把有限的资金和资源更多地用于改善民生。各项惠民惠农财政补贴资金及时、安全、足额发放到户到人。发放公益性岗位资金233.23万元。民生工程取得实效，支持养老中心建设，设施完善3万元，“两类群体”就业创业补贴资金83.1万元。支持文化、体育等社会事业发展，投入55万元用于群众文化事业发展，丰富群众文化生活。支持平安社会建设，全力保障社会稳定，注重民生福祉，弱势群体保证困有所济，民政救助等资金得到有效保障。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</w:p>
    <w:p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年财政预算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年预算编制的总体思路是：</w:t>
      </w:r>
    </w:p>
    <w:p>
      <w:pPr>
        <w:spacing w:line="570" w:lineRule="exact"/>
        <w:ind w:firstLine="640" w:firstLineChars="200"/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  <w:lang w:val="en-US" w:eastAsia="zh-CN"/>
        </w:rPr>
        <w:t>（一）预算编制指导思想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习近平新时代中国特色社会主义思想为指导，深入贯彻落实党的二十大精神，全面落实党中央决策部署和中央经济工作会议精神及市委、县委工作要求，坚持稳中求进工作总基调，严格执行预算法和上级有关预算管理的规定，提高财政收入质量，优化财政支出结构，从严控制一般性支出，保障重点领域支出，盘活财政存量资金，为全镇高质量发展提供坚实的财力保障。</w:t>
      </w:r>
    </w:p>
    <w:p>
      <w:pPr>
        <w:spacing w:line="570" w:lineRule="exact"/>
        <w:ind w:firstLine="640" w:firstLineChars="200"/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  <w:lang w:val="en-US" w:eastAsia="zh-CN"/>
        </w:rPr>
        <w:t>（二）预算编制基本原则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一是实事求是、积极稳妥。科学分析研判2025年财政收入形势，充分考虑各方面因素影响，确保预算符合本地发展和财力实际。二是统筹兼顾、突出重点。从严从紧编制预算，调整优化支出结构，兜牢“三保”底线，按照轻重缓急原则优先保障重点项目和急需刚性支出。三是精打细算、勤俭节约。牢固树立 “紧日子”、“苦日子”思想，严控“三公”经费，压减一般性支出和非刚性支出，确保财政收支平衡。四是注重绩效、提升效能。全面落实预算绩效管理相关制度，严格按照“以收定支、量力而行、尽力而为、讲求绩效”的原则编制，严守“保工资、保运转、保基本民生、化债务防风险”底线，统筹兼顾经济社会发展各项工作。加强绩效评价结果运用，切实提高财政资金使用绩效。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（一）一般公共预算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025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年一般公共预算收入预期总计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2983.40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万元。根据收入安排相应的支出总计预算为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2983.40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万元。支出的分类情况是：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1168.59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万元，主要用于乡镇经济发展工作、平安建设工作、乡村振兴工作、人员生活保障等工作支出；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372.14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万元，主要用于基层政权建设和社区治理、职工工资及社会保障支出；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89.96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万元，主要用于职工医疗保障支出；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城乡社区支出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238.89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万元，主要用于场镇市政运行维护、场镇升级改造等项目支出；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农林水事务支出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952.43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万元，主要用于农业生产发展、农业生态资源保护、病虫害控制、对村民委员会和村党支部的补助支出；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住房保障支出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76.74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万元，主要用于农村旧房整治提升项目、职工住房保障金交纳等支出。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highlight w:val="none"/>
        </w:rPr>
        <w:t>文化体育与传媒支出预算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44.44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主要用于“三馆一站”免费开放专项工作、文物巡察工作等日常文化旅游体育工作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highlight w:val="none"/>
        </w:rPr>
        <w:t>交通运输事务支出预算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10.20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，主要用于公路建设、公路养护等支出；</w:t>
      </w:r>
    </w:p>
    <w:p>
      <w:pPr>
        <w:spacing w:line="57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（二）政府性基金预算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全镇政府性基金收入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万元；政府性基金支出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以上收支预算如因上级政策调整，预算也随之调整，并向镇人大主席团报告后组织实施。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025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年财政工作主要任务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（一）强化预算统筹，大力保障民生。一是强化量入为出意识，细化落实各项支出保障和资金平衡，加强对上沟通，争取上级补助收入，加快推进存量资金转化为可用财力。最大限度筹措资金用于保障各类支出。二是坚持兜底性保障。按照“保基本、兜底线”的要求及权责清晰、保障适度、可持续的社会保障体系建设目标，继续做好我镇民生政策资金保障工作。三是优化支出结构。进一步压减公用经费和一般性支出，新增财力投向事关群众切身利益的民生项目，财政支出重点向道路工程、人居环境整治等以改善民生为重点的社会建设倾斜。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（二）大力培植财源，确保收支平稳。一是着力做好开源节流，多渠道挖潜增收，强化税源监控，加强非税收入征管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增加可支配财力。二是关注重大改革，综合考虑后疫情时期各项政策因素的叠加影响，深入分析“六稳”“六保”等政策措施，提前谋划，力争在利益调整中赢得主动。三是协同各部门形成合力，积极向上争取资金和资源要素支持。继续优化支出结构，提升财政保障能力。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（三）加强绩效监督，提高使用效益。一是强化预算执行。严格按照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人民代表大会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通过的财政预算执行。二是加大资金统筹力度。分清轻重缓急，优化资金使用顺序，确保镇村两级正常运转。三是加强财务核算，严格用款审批，规范收支程序，提高资金使用效益。四是深化财政资金绩效管理，形成事前事中有效控制、事后跟踪问效的监督体系，切实提高财政资金的安全性和高效性。五是厉行节约。严格执行中央八项规定和市县关于厉行节约的各项规定，严格控制“三公”经费等一般性支出。六是加强业务学习。以法治财政建设为抓手，提高财政业务水平。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spacing w:line="57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>
      <w:pPr>
        <w:spacing w:line="57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  <w:r>
        <w:rPr>
          <w:rFonts w:eastAsia="方正小标宋_GBK"/>
          <w:color w:val="000000"/>
          <w:kern w:val="0"/>
          <w:sz w:val="44"/>
          <w:szCs w:val="44"/>
          <w:highlight w:val="none"/>
        </w:rPr>
        <w:t>相关事项说明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kern w:val="0"/>
          <w:sz w:val="32"/>
          <w:szCs w:val="32"/>
          <w:highlight w:val="none"/>
        </w:rPr>
        <w:t>一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年预备费使用情况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本年度未使用预备费。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kern w:val="0"/>
          <w:sz w:val="32"/>
          <w:szCs w:val="32"/>
          <w:highlight w:val="none"/>
        </w:rPr>
        <w:t>二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、“三公”经费</w:t>
      </w:r>
      <w:r>
        <w:rPr>
          <w:rFonts w:hint="eastAsia" w:eastAsia="方正黑体_GBK"/>
          <w:color w:val="000000"/>
          <w:kern w:val="0"/>
          <w:sz w:val="32"/>
          <w:szCs w:val="32"/>
          <w:highlight w:val="none"/>
        </w:rPr>
        <w:t>相关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情况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2025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年“三公”经费预算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万元，比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万元。其中：因公出国（境）费用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与上年度持平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；公务接待费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万元，比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严格审查公务接待审批，将接待安排在单位食堂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；公务用车运行维护费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与上年度持平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；公务用车购置费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与上年度持平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spacing w:line="57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7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名词解释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一般公共预算：</w:t>
      </w:r>
      <w:r>
        <w:rPr>
          <w:rFonts w:eastAsia="方正仿宋_GBK"/>
          <w:kern w:val="0"/>
          <w:sz w:val="32"/>
          <w:szCs w:val="32"/>
          <w:highlight w:val="none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政府性基金预算：</w:t>
      </w:r>
      <w:r>
        <w:rPr>
          <w:rFonts w:eastAsia="方正仿宋_GBK"/>
          <w:kern w:val="0"/>
          <w:sz w:val="32"/>
          <w:szCs w:val="32"/>
          <w:highlight w:val="none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国有资本经营预算：</w:t>
      </w:r>
      <w:r>
        <w:rPr>
          <w:rFonts w:eastAsia="方正仿宋_GBK"/>
          <w:kern w:val="0"/>
          <w:sz w:val="32"/>
          <w:szCs w:val="32"/>
          <w:highlight w:val="none"/>
        </w:rPr>
        <w:t>是对国有资本收益作出支出安排的收支预算。主要为国企上缴利润收入、产权转让收入。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社保基金预算：</w:t>
      </w:r>
      <w:r>
        <w:rPr>
          <w:rFonts w:eastAsia="方正仿宋_GBK"/>
          <w:kern w:val="0"/>
          <w:sz w:val="32"/>
          <w:szCs w:val="32"/>
          <w:highlight w:val="none"/>
        </w:rPr>
        <w:t>是对社会保险缴款、一般公共预算安排和其他方式筹集的资金，专项用于社会保险的收支预算。目前是全市统筹，由市统一编制、我县不单独编报。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债券资金：</w:t>
      </w:r>
      <w:r>
        <w:rPr>
          <w:rFonts w:eastAsia="方正仿宋_GBK"/>
          <w:kern w:val="0"/>
          <w:sz w:val="32"/>
          <w:szCs w:val="32"/>
          <w:highlight w:val="none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三公经费</w:t>
      </w:r>
      <w:r>
        <w:rPr>
          <w:rFonts w:eastAsia="方正仿宋_GBK"/>
          <w:kern w:val="0"/>
          <w:sz w:val="32"/>
          <w:szCs w:val="32"/>
          <w:highlight w:val="none"/>
        </w:rPr>
        <w:t>：指政府部门公务出国（境）经费、公务车购置及运行费、公务接待费。</w:t>
      </w:r>
    </w:p>
    <w:p>
      <w:pPr>
        <w:spacing w:line="560" w:lineRule="exact"/>
        <w:ind w:firstLine="640" w:firstLineChars="200"/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附件：</w:t>
      </w:r>
      <w:r>
        <w:rPr>
          <w:rFonts w:eastAsia="方正仿宋_GBK"/>
          <w:kern w:val="0"/>
          <w:sz w:val="32"/>
          <w:szCs w:val="32"/>
          <w:highlight w:val="none"/>
          <w:lang w:val="en-US" w:eastAsia="zh-CN"/>
        </w:rPr>
        <w:t>丰都县龙河镇人民政府关于2024年财政预算执行情况和2025年财政预算的报告附表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（联系人：简华军，15730638613） 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（此件公开发布）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TZhZmRkMjgxY2MwZDI2ZWRjZTU5YmZmNTc0MDYifQ=="/>
  </w:docVars>
  <w:rsids>
    <w:rsidRoot w:val="003C5D59"/>
    <w:rsid w:val="001157CE"/>
    <w:rsid w:val="00323BF6"/>
    <w:rsid w:val="00325422"/>
    <w:rsid w:val="003C5D59"/>
    <w:rsid w:val="005C716D"/>
    <w:rsid w:val="00774CC9"/>
    <w:rsid w:val="00776BF3"/>
    <w:rsid w:val="00866A66"/>
    <w:rsid w:val="00941616"/>
    <w:rsid w:val="00953237"/>
    <w:rsid w:val="00955DA6"/>
    <w:rsid w:val="00B90839"/>
    <w:rsid w:val="00D662AB"/>
    <w:rsid w:val="00D7749F"/>
    <w:rsid w:val="00F9294A"/>
    <w:rsid w:val="00FA0688"/>
    <w:rsid w:val="03E47E12"/>
    <w:rsid w:val="1A8B286B"/>
    <w:rsid w:val="2D0B1F9C"/>
    <w:rsid w:val="53F77A8D"/>
    <w:rsid w:val="7767DCF1"/>
    <w:rsid w:val="7F78FA76"/>
    <w:rsid w:val="9F7F0058"/>
    <w:rsid w:val="AFFF81A8"/>
    <w:rsid w:val="B4DFC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4033</Words>
  <Characters>4288</Characters>
  <Lines>11</Lines>
  <Paragraphs>3</Paragraphs>
  <TotalTime>15</TotalTime>
  <ScaleCrop>false</ScaleCrop>
  <LinksUpToDate>false</LinksUpToDate>
  <CharactersWithSpaces>4289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2024-02-20T11:43:00Z</dcterms:created>
  <dc:creator>Administrator</dc:creator>
  <cp:lastModifiedBy>fengdu</cp:lastModifiedBy>
  <dcterms:modified xsi:type="dcterms:W3CDTF">2025-08-04T10:57:56Z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3DEC6E0AF3244E399F83F1FFBB6A9553_12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