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E4D28">
      <w:pPr>
        <w:pStyle w:val="Char1"/>
        <w:spacing w:before="0" w:beforeAutospacing="0"/>
        <w:jc w:val="center"/>
        <w:rPr>
          <w:sz w:val="36"/>
          <w:szCs w:val="36"/>
          <w:shd w:val="clear" w:color="auto" w:fill="FFFFFF"/>
        </w:rPr>
      </w:pPr>
      <w:r>
        <w:rPr>
          <w:rStyle w:val="15"/>
          <w:rFonts w:ascii="宋体" w:hAnsi="宋体" w:hint="eastAsia"/>
          <w:sz w:val="36"/>
          <w:szCs w:val="36"/>
          <w:shd w:val="clear" w:color="auto" w:fill="FFFFFF"/>
        </w:rPr>
        <w:t>丰都县龙孔镇人民政府</w:t>
      </w:r>
    </w:p>
    <w:p w:rsidR="00000000" w:rsidRDefault="00EE4D28">
      <w:pPr>
        <w:pStyle w:val="Char1"/>
        <w:spacing w:before="0" w:beforeAutospacing="0"/>
        <w:jc w:val="center"/>
        <w:rPr>
          <w:rFonts w:hint="eastAsia"/>
        </w:rPr>
      </w:pPr>
      <w:r>
        <w:rPr>
          <w:rStyle w:val="15"/>
          <w:rFonts w:ascii="宋体" w:hAnsi="宋体" w:hint="eastAsia"/>
          <w:sz w:val="36"/>
          <w:szCs w:val="36"/>
          <w:shd w:val="clear" w:color="auto" w:fill="FFFFFF"/>
        </w:rPr>
        <w:t>20</w:t>
      </w:r>
      <w:r>
        <w:rPr>
          <w:rStyle w:val="15"/>
          <w:sz w:val="36"/>
          <w:szCs w:val="36"/>
          <w:shd w:val="clear" w:color="auto" w:fill="FFFFFF"/>
        </w:rPr>
        <w:t>21</w:t>
      </w:r>
      <w:r>
        <w:rPr>
          <w:rStyle w:val="15"/>
          <w:rFonts w:ascii="宋体" w:hAnsi="宋体" w:hint="eastAsia"/>
          <w:sz w:val="36"/>
          <w:szCs w:val="36"/>
          <w:shd w:val="clear" w:color="auto" w:fill="FFFFFF"/>
        </w:rPr>
        <w:t>年度部门决算情况说明</w:t>
      </w:r>
    </w:p>
    <w:p w:rsidR="00000000" w:rsidRDefault="00EE4D28">
      <w:pPr>
        <w:rPr>
          <w:rFonts w:hint="eastAsia"/>
          <w:sz w:val="32"/>
          <w:szCs w:val="32"/>
        </w:rPr>
      </w:pPr>
      <w:r>
        <w:rPr>
          <w:rFonts w:hint="eastAsia"/>
          <w:sz w:val="32"/>
          <w:szCs w:val="32"/>
        </w:rPr>
        <w:t xml:space="preserve"> </w:t>
      </w:r>
    </w:p>
    <w:p w:rsidR="00000000" w:rsidRDefault="00EE4D28">
      <w:pPr>
        <w:widowControl w:val="0"/>
        <w:spacing w:line="594" w:lineRule="exact"/>
        <w:ind w:firstLineChars="200" w:firstLine="640"/>
        <w:jc w:val="both"/>
        <w:rPr>
          <w:rFonts w:ascii="Times New Roman" w:eastAsia="方正黑体_GBK" w:hAnsi="Times New Roman" w:cs="Times New Roman" w:hint="eastAsia"/>
          <w:kern w:val="2"/>
          <w:sz w:val="32"/>
          <w:szCs w:val="32"/>
        </w:rPr>
      </w:pPr>
      <w:r>
        <w:rPr>
          <w:rFonts w:ascii="方正黑体_GBK" w:eastAsia="方正黑体_GBK" w:hint="eastAsia"/>
          <w:kern w:val="2"/>
          <w:sz w:val="32"/>
          <w:szCs w:val="32"/>
        </w:rPr>
        <w:t>一、部门基本情况</w:t>
      </w:r>
    </w:p>
    <w:p w:rsidR="00000000" w:rsidRDefault="00EE4D28">
      <w:pPr>
        <w:ind w:firstLineChars="100" w:firstLine="320"/>
        <w:rPr>
          <w:sz w:val="32"/>
          <w:szCs w:val="32"/>
        </w:rPr>
      </w:pPr>
      <w:r>
        <w:rPr>
          <w:rFonts w:hint="eastAsia"/>
          <w:sz w:val="32"/>
          <w:szCs w:val="32"/>
        </w:rPr>
        <w:t>（一）职能职责。贯彻执行党的路线方针政策和国家的法律法规、促进经济社会发展、加强社会管理和公共服务、维护社会和谐稳定。</w:t>
      </w:r>
    </w:p>
    <w:p w:rsidR="00000000" w:rsidRDefault="00EE4D28">
      <w:pPr>
        <w:ind w:firstLineChars="100" w:firstLine="320"/>
        <w:rPr>
          <w:rFonts w:hint="eastAsia"/>
          <w:sz w:val="32"/>
          <w:szCs w:val="32"/>
        </w:rPr>
      </w:pPr>
      <w:r>
        <w:rPr>
          <w:rFonts w:hint="eastAsia"/>
          <w:sz w:val="32"/>
          <w:szCs w:val="32"/>
        </w:rPr>
        <w:t>（二）机构设置。设置党政内设机构</w:t>
      </w:r>
      <w:r>
        <w:rPr>
          <w:rFonts w:hint="eastAsia"/>
          <w:sz w:val="32"/>
          <w:szCs w:val="32"/>
        </w:rPr>
        <w:t>9</w:t>
      </w:r>
      <w:r>
        <w:rPr>
          <w:rFonts w:hint="eastAsia"/>
          <w:sz w:val="32"/>
          <w:szCs w:val="32"/>
        </w:rPr>
        <w:t>个：党政办、党群办公室、人大办公室、经济发展办公室（挂统计办公室牌子）、民政和社区事务办公室、平安建设办公室、规划建设管理环保办公室、财政办公室、应急管理办公室。事业机构</w:t>
      </w:r>
      <w:r>
        <w:rPr>
          <w:rFonts w:hint="eastAsia"/>
          <w:sz w:val="32"/>
          <w:szCs w:val="32"/>
        </w:rPr>
        <w:t>5</w:t>
      </w:r>
      <w:r>
        <w:rPr>
          <w:rFonts w:hint="eastAsia"/>
          <w:sz w:val="32"/>
          <w:szCs w:val="32"/>
        </w:rPr>
        <w:t>个：农业服务中心、文化服务中心、劳动就业和社会保障服务所、退役军人服务站和综合行政执法大队。核定编制人数共</w:t>
      </w:r>
      <w:r>
        <w:rPr>
          <w:rFonts w:hint="eastAsia"/>
          <w:sz w:val="32"/>
          <w:szCs w:val="32"/>
        </w:rPr>
        <w:t>63</w:t>
      </w:r>
      <w:r>
        <w:rPr>
          <w:rFonts w:hint="eastAsia"/>
          <w:sz w:val="32"/>
          <w:szCs w:val="32"/>
        </w:rPr>
        <w:t>名</w:t>
      </w:r>
      <w:r>
        <w:rPr>
          <w:rFonts w:hint="eastAsia"/>
          <w:sz w:val="32"/>
          <w:szCs w:val="32"/>
        </w:rPr>
        <w:t>，其中机关行政编制</w:t>
      </w:r>
      <w:r>
        <w:rPr>
          <w:rFonts w:hint="eastAsia"/>
          <w:sz w:val="32"/>
          <w:szCs w:val="32"/>
        </w:rPr>
        <w:t>27</w:t>
      </w:r>
      <w:r>
        <w:rPr>
          <w:rFonts w:hint="eastAsia"/>
          <w:sz w:val="32"/>
          <w:szCs w:val="32"/>
        </w:rPr>
        <w:t>名、机关后勤编制</w:t>
      </w:r>
      <w:r>
        <w:rPr>
          <w:rFonts w:hint="eastAsia"/>
          <w:sz w:val="32"/>
          <w:szCs w:val="32"/>
        </w:rPr>
        <w:t>3</w:t>
      </w:r>
      <w:r>
        <w:rPr>
          <w:rFonts w:hint="eastAsia"/>
          <w:sz w:val="32"/>
          <w:szCs w:val="32"/>
        </w:rPr>
        <w:t>名、事业编制</w:t>
      </w:r>
      <w:r>
        <w:rPr>
          <w:rFonts w:hint="eastAsia"/>
          <w:sz w:val="32"/>
          <w:szCs w:val="32"/>
        </w:rPr>
        <w:t xml:space="preserve"> 33</w:t>
      </w:r>
      <w:r>
        <w:rPr>
          <w:rFonts w:hint="eastAsia"/>
          <w:sz w:val="32"/>
          <w:szCs w:val="32"/>
        </w:rPr>
        <w:t>名。现有在职人员合计</w:t>
      </w:r>
      <w:r>
        <w:rPr>
          <w:rFonts w:hint="eastAsia"/>
          <w:sz w:val="32"/>
          <w:szCs w:val="32"/>
        </w:rPr>
        <w:t>58</w:t>
      </w:r>
      <w:r>
        <w:rPr>
          <w:rFonts w:hint="eastAsia"/>
          <w:sz w:val="32"/>
          <w:szCs w:val="32"/>
        </w:rPr>
        <w:t>人，其中行政</w:t>
      </w:r>
      <w:r>
        <w:rPr>
          <w:rFonts w:hint="eastAsia"/>
          <w:sz w:val="32"/>
          <w:szCs w:val="32"/>
        </w:rPr>
        <w:t>33</w:t>
      </w:r>
      <w:r>
        <w:rPr>
          <w:rFonts w:hint="eastAsia"/>
          <w:sz w:val="32"/>
          <w:szCs w:val="32"/>
        </w:rPr>
        <w:t>人，事业</w:t>
      </w:r>
      <w:r>
        <w:rPr>
          <w:rFonts w:hint="eastAsia"/>
          <w:sz w:val="32"/>
          <w:szCs w:val="32"/>
        </w:rPr>
        <w:t>32</w:t>
      </w:r>
      <w:r>
        <w:rPr>
          <w:rFonts w:hint="eastAsia"/>
          <w:sz w:val="32"/>
          <w:szCs w:val="32"/>
        </w:rPr>
        <w:t>人。</w:t>
      </w:r>
    </w:p>
    <w:p w:rsidR="00000000" w:rsidRDefault="00EE4D28">
      <w:pPr>
        <w:ind w:firstLineChars="100" w:firstLine="320"/>
        <w:rPr>
          <w:rFonts w:hint="eastAsia"/>
          <w:sz w:val="32"/>
          <w:szCs w:val="32"/>
        </w:rPr>
      </w:pPr>
      <w:r>
        <w:rPr>
          <w:rFonts w:hint="eastAsia"/>
          <w:sz w:val="32"/>
          <w:szCs w:val="32"/>
        </w:rPr>
        <w:t>（三）单位构成。本单位无纳入</w:t>
      </w:r>
      <w:r>
        <w:rPr>
          <w:rFonts w:hint="eastAsia"/>
          <w:sz w:val="32"/>
          <w:szCs w:val="32"/>
        </w:rPr>
        <w:t>2021</w:t>
      </w:r>
      <w:r>
        <w:rPr>
          <w:rFonts w:hint="eastAsia"/>
          <w:sz w:val="32"/>
          <w:szCs w:val="32"/>
        </w:rPr>
        <w:t>年度决算编制的二级预算单位。</w:t>
      </w:r>
    </w:p>
    <w:p w:rsidR="00000000" w:rsidRDefault="00EE4D28">
      <w:pPr>
        <w:rPr>
          <w:rFonts w:hint="eastAsia"/>
          <w:sz w:val="32"/>
          <w:szCs w:val="32"/>
        </w:rPr>
      </w:pPr>
      <w:r>
        <w:rPr>
          <w:rFonts w:hint="eastAsia"/>
          <w:sz w:val="32"/>
          <w:szCs w:val="32"/>
        </w:rPr>
        <w:t xml:space="preserve">  </w:t>
      </w:r>
      <w:r>
        <w:rPr>
          <w:rFonts w:hint="eastAsia"/>
          <w:sz w:val="32"/>
          <w:szCs w:val="32"/>
        </w:rPr>
        <w:t>二、部门决算情况说明</w:t>
      </w:r>
    </w:p>
    <w:p w:rsidR="00000000" w:rsidRDefault="00EE4D28">
      <w:pPr>
        <w:rPr>
          <w:rFonts w:hint="eastAsia"/>
          <w:sz w:val="32"/>
          <w:szCs w:val="32"/>
        </w:rPr>
      </w:pPr>
      <w:r>
        <w:rPr>
          <w:rFonts w:hint="eastAsia"/>
          <w:sz w:val="32"/>
          <w:szCs w:val="32"/>
        </w:rPr>
        <w:t xml:space="preserve"> </w:t>
      </w:r>
      <w:r>
        <w:rPr>
          <w:rFonts w:hint="eastAsia"/>
          <w:sz w:val="32"/>
          <w:szCs w:val="32"/>
        </w:rPr>
        <w:t>（一）收入支出决算总体情况说明。</w:t>
      </w:r>
    </w:p>
    <w:p w:rsidR="00000000" w:rsidRDefault="00EE4D28">
      <w:pPr>
        <w:rPr>
          <w:rFonts w:hint="eastAsia"/>
          <w:sz w:val="32"/>
          <w:szCs w:val="32"/>
        </w:rPr>
      </w:pPr>
      <w:r>
        <w:rPr>
          <w:rFonts w:hint="eastAsia"/>
          <w:sz w:val="32"/>
          <w:szCs w:val="32"/>
        </w:rPr>
        <w:lastRenderedPageBreak/>
        <w:t xml:space="preserve">    1.</w:t>
      </w:r>
      <w:r>
        <w:rPr>
          <w:rFonts w:hint="eastAsia"/>
          <w:sz w:val="32"/>
          <w:szCs w:val="32"/>
        </w:rPr>
        <w:t>总体情况。</w:t>
      </w:r>
      <w:r>
        <w:rPr>
          <w:rFonts w:hint="eastAsia"/>
          <w:sz w:val="32"/>
          <w:szCs w:val="32"/>
        </w:rPr>
        <w:t>2021</w:t>
      </w:r>
      <w:r>
        <w:rPr>
          <w:rFonts w:hint="eastAsia"/>
          <w:sz w:val="32"/>
          <w:szCs w:val="32"/>
        </w:rPr>
        <w:t>年度收入总计</w:t>
      </w:r>
      <w:r>
        <w:rPr>
          <w:rFonts w:hint="eastAsia"/>
          <w:sz w:val="32"/>
          <w:szCs w:val="32"/>
        </w:rPr>
        <w:t>5,363.61</w:t>
      </w:r>
      <w:r>
        <w:rPr>
          <w:rFonts w:hint="eastAsia"/>
          <w:sz w:val="32"/>
          <w:szCs w:val="32"/>
        </w:rPr>
        <w:t>万元，支出总计</w:t>
      </w:r>
      <w:r>
        <w:rPr>
          <w:rFonts w:hint="eastAsia"/>
          <w:sz w:val="32"/>
          <w:szCs w:val="32"/>
        </w:rPr>
        <w:t>5,363.61</w:t>
      </w:r>
      <w:r>
        <w:rPr>
          <w:rFonts w:hint="eastAsia"/>
          <w:sz w:val="32"/>
          <w:szCs w:val="32"/>
        </w:rPr>
        <w:t>万元。收支较上年决算数增加</w:t>
      </w:r>
      <w:r>
        <w:rPr>
          <w:rFonts w:hint="eastAsia"/>
          <w:sz w:val="32"/>
          <w:szCs w:val="32"/>
        </w:rPr>
        <w:t>1,791.73</w:t>
      </w:r>
      <w:r>
        <w:rPr>
          <w:rFonts w:hint="eastAsia"/>
          <w:sz w:val="32"/>
          <w:szCs w:val="32"/>
        </w:rPr>
        <w:t>万元、增长</w:t>
      </w:r>
      <w:r>
        <w:rPr>
          <w:rFonts w:hint="eastAsia"/>
          <w:sz w:val="32"/>
          <w:szCs w:val="32"/>
        </w:rPr>
        <w:t>50.2%</w:t>
      </w:r>
      <w:r>
        <w:rPr>
          <w:rFonts w:hint="eastAsia"/>
          <w:sz w:val="32"/>
          <w:szCs w:val="32"/>
        </w:rPr>
        <w:t>，主要原因是本年度上级专项经费比上年度增加。</w:t>
      </w:r>
    </w:p>
    <w:p w:rsidR="00000000" w:rsidRDefault="00EE4D28">
      <w:pPr>
        <w:rPr>
          <w:rFonts w:hint="eastAsia"/>
          <w:sz w:val="32"/>
          <w:szCs w:val="32"/>
        </w:rPr>
      </w:pPr>
      <w:r>
        <w:rPr>
          <w:rFonts w:hint="eastAsia"/>
          <w:sz w:val="32"/>
          <w:szCs w:val="32"/>
        </w:rPr>
        <w:t xml:space="preserve">    2.</w:t>
      </w:r>
      <w:r>
        <w:rPr>
          <w:rFonts w:hint="eastAsia"/>
          <w:sz w:val="32"/>
          <w:szCs w:val="32"/>
        </w:rPr>
        <w:t>收入情况。</w:t>
      </w:r>
      <w:r>
        <w:rPr>
          <w:rFonts w:hint="eastAsia"/>
          <w:sz w:val="32"/>
          <w:szCs w:val="32"/>
        </w:rPr>
        <w:t>2021</w:t>
      </w:r>
      <w:r>
        <w:rPr>
          <w:rFonts w:hint="eastAsia"/>
          <w:sz w:val="32"/>
          <w:szCs w:val="32"/>
        </w:rPr>
        <w:t>年度收入合计</w:t>
      </w:r>
      <w:r>
        <w:rPr>
          <w:rFonts w:hint="eastAsia"/>
          <w:sz w:val="32"/>
          <w:szCs w:val="32"/>
        </w:rPr>
        <w:t>5,363.61</w:t>
      </w:r>
      <w:r>
        <w:rPr>
          <w:rFonts w:hint="eastAsia"/>
          <w:sz w:val="32"/>
          <w:szCs w:val="32"/>
        </w:rPr>
        <w:t>万元，较上年决</w:t>
      </w:r>
      <w:r>
        <w:rPr>
          <w:rFonts w:hint="eastAsia"/>
          <w:sz w:val="32"/>
          <w:szCs w:val="32"/>
        </w:rPr>
        <w:t>算数增加</w:t>
      </w:r>
      <w:r>
        <w:rPr>
          <w:rFonts w:hint="eastAsia"/>
          <w:sz w:val="32"/>
          <w:szCs w:val="32"/>
        </w:rPr>
        <w:t>1,794.93</w:t>
      </w:r>
      <w:r>
        <w:rPr>
          <w:rFonts w:hint="eastAsia"/>
          <w:sz w:val="32"/>
          <w:szCs w:val="32"/>
        </w:rPr>
        <w:t>万元，增长</w:t>
      </w:r>
      <w:r>
        <w:rPr>
          <w:rFonts w:hint="eastAsia"/>
          <w:sz w:val="32"/>
          <w:szCs w:val="32"/>
        </w:rPr>
        <w:t>50.3%</w:t>
      </w:r>
      <w:r>
        <w:rPr>
          <w:rFonts w:hint="eastAsia"/>
          <w:sz w:val="32"/>
          <w:szCs w:val="32"/>
        </w:rPr>
        <w:t>，主要原因是本年度上级专项经费比上年度增加。其中：财政拨款收入</w:t>
      </w:r>
      <w:r>
        <w:rPr>
          <w:rFonts w:hint="eastAsia"/>
          <w:sz w:val="32"/>
          <w:szCs w:val="32"/>
        </w:rPr>
        <w:t>5,363.61</w:t>
      </w:r>
      <w:r>
        <w:rPr>
          <w:rFonts w:hint="eastAsia"/>
          <w:sz w:val="32"/>
          <w:szCs w:val="32"/>
        </w:rPr>
        <w:t>万元，占</w:t>
      </w:r>
      <w:r>
        <w:rPr>
          <w:rFonts w:hint="eastAsia"/>
          <w:sz w:val="32"/>
          <w:szCs w:val="32"/>
        </w:rPr>
        <w:t>100%</w:t>
      </w:r>
      <w:r>
        <w:rPr>
          <w:rFonts w:hint="eastAsia"/>
          <w:sz w:val="32"/>
          <w:szCs w:val="32"/>
        </w:rPr>
        <w:t>。</w:t>
      </w:r>
    </w:p>
    <w:p w:rsidR="00000000" w:rsidRDefault="00EE4D28">
      <w:pPr>
        <w:rPr>
          <w:rFonts w:hint="eastAsia"/>
          <w:sz w:val="32"/>
          <w:szCs w:val="32"/>
        </w:rPr>
      </w:pPr>
      <w:r>
        <w:rPr>
          <w:rFonts w:hint="eastAsia"/>
          <w:sz w:val="32"/>
          <w:szCs w:val="32"/>
        </w:rPr>
        <w:t xml:space="preserve">    3.</w:t>
      </w:r>
      <w:r>
        <w:rPr>
          <w:rFonts w:hint="eastAsia"/>
          <w:sz w:val="32"/>
          <w:szCs w:val="32"/>
        </w:rPr>
        <w:t>支出情况。</w:t>
      </w:r>
      <w:r>
        <w:rPr>
          <w:rFonts w:hint="eastAsia"/>
          <w:sz w:val="32"/>
          <w:szCs w:val="32"/>
        </w:rPr>
        <w:t>2021</w:t>
      </w:r>
      <w:r>
        <w:rPr>
          <w:rFonts w:hint="eastAsia"/>
          <w:sz w:val="32"/>
          <w:szCs w:val="32"/>
        </w:rPr>
        <w:t>年度支出合计</w:t>
      </w:r>
      <w:r>
        <w:rPr>
          <w:rFonts w:hint="eastAsia"/>
          <w:sz w:val="32"/>
          <w:szCs w:val="32"/>
        </w:rPr>
        <w:t>3,648.17</w:t>
      </w:r>
      <w:r>
        <w:rPr>
          <w:rFonts w:hint="eastAsia"/>
          <w:sz w:val="32"/>
          <w:szCs w:val="32"/>
        </w:rPr>
        <w:t>万元，较上年决算数增加</w:t>
      </w:r>
      <w:r>
        <w:rPr>
          <w:rFonts w:hint="eastAsia"/>
          <w:sz w:val="32"/>
          <w:szCs w:val="32"/>
        </w:rPr>
        <w:t>76.29</w:t>
      </w:r>
      <w:r>
        <w:rPr>
          <w:rFonts w:hint="eastAsia"/>
          <w:sz w:val="32"/>
          <w:szCs w:val="32"/>
        </w:rPr>
        <w:t>万元，增长</w:t>
      </w:r>
      <w:r>
        <w:rPr>
          <w:rFonts w:hint="eastAsia"/>
          <w:sz w:val="32"/>
          <w:szCs w:val="32"/>
        </w:rPr>
        <w:t>2.1%</w:t>
      </w:r>
      <w:r>
        <w:rPr>
          <w:rFonts w:hint="eastAsia"/>
          <w:sz w:val="32"/>
          <w:szCs w:val="32"/>
        </w:rPr>
        <w:t>，主要原因是临时性的项目增加。其中：基本支出</w:t>
      </w:r>
      <w:r>
        <w:rPr>
          <w:rFonts w:hint="eastAsia"/>
          <w:sz w:val="32"/>
          <w:szCs w:val="32"/>
        </w:rPr>
        <w:t>1,721.84</w:t>
      </w:r>
      <w:r>
        <w:rPr>
          <w:rFonts w:hint="eastAsia"/>
          <w:sz w:val="32"/>
          <w:szCs w:val="32"/>
        </w:rPr>
        <w:t>万元，占</w:t>
      </w:r>
      <w:r>
        <w:rPr>
          <w:rFonts w:hint="eastAsia"/>
          <w:sz w:val="32"/>
          <w:szCs w:val="32"/>
        </w:rPr>
        <w:t>47.2%</w:t>
      </w:r>
      <w:r>
        <w:rPr>
          <w:rFonts w:hint="eastAsia"/>
          <w:sz w:val="32"/>
          <w:szCs w:val="32"/>
        </w:rPr>
        <w:t>；项目支出</w:t>
      </w:r>
      <w:r>
        <w:rPr>
          <w:rFonts w:hint="eastAsia"/>
          <w:sz w:val="32"/>
          <w:szCs w:val="32"/>
        </w:rPr>
        <w:t>1,926.33</w:t>
      </w:r>
      <w:r>
        <w:rPr>
          <w:rFonts w:hint="eastAsia"/>
          <w:sz w:val="32"/>
          <w:szCs w:val="32"/>
        </w:rPr>
        <w:t>万元，占</w:t>
      </w:r>
      <w:r>
        <w:rPr>
          <w:rFonts w:hint="eastAsia"/>
          <w:sz w:val="32"/>
          <w:szCs w:val="32"/>
        </w:rPr>
        <w:t>52.8%</w:t>
      </w:r>
      <w:r>
        <w:rPr>
          <w:rFonts w:hint="eastAsia"/>
          <w:sz w:val="32"/>
          <w:szCs w:val="32"/>
        </w:rPr>
        <w:t>。</w:t>
      </w:r>
    </w:p>
    <w:p w:rsidR="00000000" w:rsidRDefault="00EE4D28">
      <w:pPr>
        <w:rPr>
          <w:rFonts w:hint="eastAsia"/>
          <w:sz w:val="32"/>
          <w:szCs w:val="32"/>
        </w:rPr>
      </w:pPr>
      <w:r>
        <w:rPr>
          <w:rFonts w:hint="eastAsia"/>
          <w:sz w:val="32"/>
          <w:szCs w:val="32"/>
        </w:rPr>
        <w:t xml:space="preserve">   4.</w:t>
      </w:r>
      <w:r>
        <w:rPr>
          <w:rFonts w:hint="eastAsia"/>
          <w:sz w:val="32"/>
          <w:szCs w:val="32"/>
        </w:rPr>
        <w:t>结转结余情况。</w:t>
      </w:r>
      <w:r>
        <w:rPr>
          <w:rFonts w:hint="eastAsia"/>
          <w:sz w:val="32"/>
          <w:szCs w:val="32"/>
        </w:rPr>
        <w:t>2021</w:t>
      </w:r>
      <w:r>
        <w:rPr>
          <w:rFonts w:hint="eastAsia"/>
          <w:sz w:val="32"/>
          <w:szCs w:val="32"/>
        </w:rPr>
        <w:t>年度年末结转和结余</w:t>
      </w:r>
      <w:r>
        <w:rPr>
          <w:rFonts w:hint="eastAsia"/>
          <w:sz w:val="32"/>
          <w:szCs w:val="32"/>
        </w:rPr>
        <w:t>1,715.44</w:t>
      </w:r>
      <w:r>
        <w:rPr>
          <w:rFonts w:hint="eastAsia"/>
          <w:sz w:val="32"/>
          <w:szCs w:val="32"/>
        </w:rPr>
        <w:t>万元，较上年决算数增加</w:t>
      </w:r>
      <w:r>
        <w:rPr>
          <w:rFonts w:hint="eastAsia"/>
          <w:sz w:val="32"/>
          <w:szCs w:val="32"/>
        </w:rPr>
        <w:t>1,715.44</w:t>
      </w:r>
      <w:r>
        <w:rPr>
          <w:rFonts w:hint="eastAsia"/>
          <w:sz w:val="32"/>
          <w:szCs w:val="32"/>
        </w:rPr>
        <w:t>万元，增长</w:t>
      </w:r>
      <w:r>
        <w:rPr>
          <w:rFonts w:hint="eastAsia"/>
          <w:sz w:val="32"/>
          <w:szCs w:val="32"/>
        </w:rPr>
        <w:t>100%</w:t>
      </w:r>
      <w:r>
        <w:rPr>
          <w:rFonts w:hint="eastAsia"/>
          <w:sz w:val="32"/>
          <w:szCs w:val="32"/>
        </w:rPr>
        <w:t>，主要原因是三</w:t>
      </w:r>
      <w:r>
        <w:rPr>
          <w:rFonts w:hint="eastAsia"/>
          <w:sz w:val="32"/>
          <w:szCs w:val="32"/>
        </w:rPr>
        <w:t>峡移民后续项目在本年度未支付。</w:t>
      </w:r>
    </w:p>
    <w:p w:rsidR="00000000" w:rsidRDefault="00EE4D28">
      <w:pPr>
        <w:rPr>
          <w:rFonts w:hint="eastAsia"/>
          <w:sz w:val="32"/>
          <w:szCs w:val="32"/>
        </w:rPr>
      </w:pPr>
      <w:r>
        <w:rPr>
          <w:rFonts w:hint="eastAsia"/>
          <w:sz w:val="32"/>
          <w:szCs w:val="32"/>
        </w:rPr>
        <w:t xml:space="preserve">   </w:t>
      </w:r>
      <w:r>
        <w:rPr>
          <w:rFonts w:hint="eastAsia"/>
          <w:sz w:val="32"/>
          <w:szCs w:val="32"/>
        </w:rPr>
        <w:t>（二）财政拨款收入支出决算总体情况说明。</w:t>
      </w:r>
    </w:p>
    <w:p w:rsidR="00000000" w:rsidRDefault="00EE4D28">
      <w:pPr>
        <w:ind w:firstLineChars="200" w:firstLine="640"/>
        <w:rPr>
          <w:rFonts w:hint="eastAsia"/>
          <w:sz w:val="32"/>
          <w:szCs w:val="32"/>
        </w:rPr>
      </w:pPr>
      <w:r>
        <w:rPr>
          <w:rFonts w:hint="eastAsia"/>
          <w:sz w:val="32"/>
          <w:szCs w:val="32"/>
        </w:rPr>
        <w:t>2021</w:t>
      </w:r>
      <w:r>
        <w:rPr>
          <w:rFonts w:hint="eastAsia"/>
          <w:sz w:val="32"/>
          <w:szCs w:val="32"/>
        </w:rPr>
        <w:t>年度财政拨款收、支总计</w:t>
      </w:r>
      <w:r>
        <w:rPr>
          <w:rFonts w:hint="eastAsia"/>
          <w:sz w:val="32"/>
          <w:szCs w:val="32"/>
        </w:rPr>
        <w:t>5,363.61</w:t>
      </w:r>
      <w:r>
        <w:rPr>
          <w:rFonts w:hint="eastAsia"/>
          <w:sz w:val="32"/>
          <w:szCs w:val="32"/>
        </w:rPr>
        <w:t>万元。与</w:t>
      </w:r>
      <w:r>
        <w:rPr>
          <w:rFonts w:hint="eastAsia"/>
          <w:sz w:val="32"/>
          <w:szCs w:val="32"/>
        </w:rPr>
        <w:t>2020</w:t>
      </w:r>
      <w:r>
        <w:rPr>
          <w:rFonts w:hint="eastAsia"/>
          <w:sz w:val="32"/>
          <w:szCs w:val="32"/>
        </w:rPr>
        <w:t>年相比，财政拨款收、支总计各增加</w:t>
      </w:r>
      <w:r>
        <w:rPr>
          <w:rFonts w:hint="eastAsia"/>
          <w:sz w:val="32"/>
          <w:szCs w:val="32"/>
        </w:rPr>
        <w:t>1,791.73</w:t>
      </w:r>
      <w:r>
        <w:rPr>
          <w:rFonts w:hint="eastAsia"/>
          <w:sz w:val="32"/>
          <w:szCs w:val="32"/>
        </w:rPr>
        <w:t>万元，增长</w:t>
      </w:r>
      <w:r>
        <w:rPr>
          <w:rFonts w:hint="eastAsia"/>
          <w:sz w:val="32"/>
          <w:szCs w:val="32"/>
        </w:rPr>
        <w:t>50.2%</w:t>
      </w:r>
      <w:r>
        <w:rPr>
          <w:rFonts w:hint="eastAsia"/>
          <w:sz w:val="32"/>
          <w:szCs w:val="32"/>
        </w:rPr>
        <w:t>。主要原因是本年度上级专项经费比上年度增加。</w:t>
      </w:r>
    </w:p>
    <w:p w:rsidR="00000000" w:rsidRDefault="00EE4D28">
      <w:pPr>
        <w:rPr>
          <w:rFonts w:hint="eastAsia"/>
          <w:sz w:val="32"/>
          <w:szCs w:val="32"/>
        </w:rPr>
      </w:pPr>
      <w:r>
        <w:rPr>
          <w:rFonts w:hint="eastAsia"/>
          <w:sz w:val="32"/>
          <w:szCs w:val="32"/>
        </w:rPr>
        <w:t xml:space="preserve">   </w:t>
      </w:r>
      <w:r>
        <w:rPr>
          <w:rFonts w:hint="eastAsia"/>
          <w:sz w:val="32"/>
          <w:szCs w:val="32"/>
        </w:rPr>
        <w:t>（三）一般公共预算财政拨款收入支出决算情况说明。</w:t>
      </w:r>
    </w:p>
    <w:p w:rsidR="00000000" w:rsidRDefault="00EE4D28">
      <w:pPr>
        <w:rPr>
          <w:rFonts w:hint="eastAsia"/>
          <w:sz w:val="32"/>
          <w:szCs w:val="32"/>
        </w:rPr>
      </w:pPr>
      <w:r>
        <w:rPr>
          <w:rFonts w:hint="eastAsia"/>
          <w:sz w:val="32"/>
          <w:szCs w:val="32"/>
        </w:rPr>
        <w:t xml:space="preserve">   1.</w:t>
      </w:r>
      <w:r>
        <w:rPr>
          <w:rFonts w:hint="eastAsia"/>
          <w:sz w:val="32"/>
          <w:szCs w:val="32"/>
        </w:rPr>
        <w:t>收入情况。</w:t>
      </w:r>
      <w:r>
        <w:rPr>
          <w:rFonts w:hint="eastAsia"/>
          <w:sz w:val="32"/>
          <w:szCs w:val="32"/>
        </w:rPr>
        <w:t>2021</w:t>
      </w:r>
      <w:r>
        <w:rPr>
          <w:rFonts w:hint="eastAsia"/>
          <w:sz w:val="32"/>
          <w:szCs w:val="32"/>
        </w:rPr>
        <w:t>年度一般公共预算财政拨款收入</w:t>
      </w:r>
      <w:r>
        <w:rPr>
          <w:rFonts w:hint="eastAsia"/>
          <w:sz w:val="32"/>
          <w:szCs w:val="32"/>
        </w:rPr>
        <w:t>2,824.10</w:t>
      </w:r>
      <w:r>
        <w:rPr>
          <w:rFonts w:hint="eastAsia"/>
          <w:sz w:val="32"/>
          <w:szCs w:val="32"/>
        </w:rPr>
        <w:t>万元，较上年决算数增加</w:t>
      </w:r>
      <w:r>
        <w:rPr>
          <w:rFonts w:hint="eastAsia"/>
          <w:sz w:val="32"/>
          <w:szCs w:val="32"/>
        </w:rPr>
        <w:t>263.93</w:t>
      </w:r>
      <w:r>
        <w:rPr>
          <w:rFonts w:hint="eastAsia"/>
          <w:sz w:val="32"/>
          <w:szCs w:val="32"/>
        </w:rPr>
        <w:t>万元，增长</w:t>
      </w:r>
      <w:r>
        <w:rPr>
          <w:rFonts w:hint="eastAsia"/>
          <w:sz w:val="32"/>
          <w:szCs w:val="32"/>
        </w:rPr>
        <w:lastRenderedPageBreak/>
        <w:t>10.3%</w:t>
      </w:r>
      <w:r>
        <w:rPr>
          <w:rFonts w:hint="eastAsia"/>
          <w:sz w:val="32"/>
          <w:szCs w:val="32"/>
        </w:rPr>
        <w:t>。主要原因是松材线虫防治、退耕还林等比上年度增加。较年初预算数增加</w:t>
      </w:r>
      <w:r>
        <w:rPr>
          <w:rFonts w:hint="eastAsia"/>
          <w:sz w:val="32"/>
          <w:szCs w:val="32"/>
        </w:rPr>
        <w:t>1,10</w:t>
      </w:r>
      <w:r>
        <w:rPr>
          <w:rFonts w:hint="eastAsia"/>
          <w:sz w:val="32"/>
          <w:szCs w:val="32"/>
        </w:rPr>
        <w:t>7.14</w:t>
      </w:r>
      <w:r>
        <w:rPr>
          <w:rFonts w:hint="eastAsia"/>
          <w:sz w:val="32"/>
          <w:szCs w:val="32"/>
        </w:rPr>
        <w:t>万元，增长</w:t>
      </w:r>
      <w:r>
        <w:rPr>
          <w:rFonts w:hint="eastAsia"/>
          <w:sz w:val="32"/>
          <w:szCs w:val="32"/>
        </w:rPr>
        <w:t>64.5%</w:t>
      </w:r>
      <w:r>
        <w:rPr>
          <w:rFonts w:hint="eastAsia"/>
          <w:sz w:val="32"/>
          <w:szCs w:val="32"/>
        </w:rPr>
        <w:t>。主要原因是年中追加安排了扶持状大集体经济、农村人畜饮水、农村交通建设、松材线虫病防治、退耕还林、临时救助等支出。</w:t>
      </w:r>
    </w:p>
    <w:p w:rsidR="00000000" w:rsidRDefault="00EE4D28">
      <w:pPr>
        <w:rPr>
          <w:rFonts w:hint="eastAsia"/>
          <w:sz w:val="32"/>
          <w:szCs w:val="32"/>
        </w:rPr>
      </w:pPr>
      <w:r>
        <w:rPr>
          <w:rFonts w:hint="eastAsia"/>
          <w:sz w:val="32"/>
          <w:szCs w:val="32"/>
        </w:rPr>
        <w:t xml:space="preserve">   2.</w:t>
      </w:r>
      <w:r>
        <w:rPr>
          <w:rFonts w:hint="eastAsia"/>
          <w:sz w:val="32"/>
          <w:szCs w:val="32"/>
        </w:rPr>
        <w:t>支出情况。</w:t>
      </w:r>
      <w:r>
        <w:rPr>
          <w:rFonts w:hint="eastAsia"/>
          <w:sz w:val="32"/>
          <w:szCs w:val="32"/>
        </w:rPr>
        <w:t>2021</w:t>
      </w:r>
      <w:r>
        <w:rPr>
          <w:rFonts w:hint="eastAsia"/>
          <w:sz w:val="32"/>
          <w:szCs w:val="32"/>
        </w:rPr>
        <w:t>年度一般公共预算财政拨款支出</w:t>
      </w:r>
      <w:r>
        <w:rPr>
          <w:rFonts w:hint="eastAsia"/>
          <w:sz w:val="32"/>
          <w:szCs w:val="32"/>
        </w:rPr>
        <w:t>2,824.10</w:t>
      </w:r>
      <w:r>
        <w:rPr>
          <w:rFonts w:hint="eastAsia"/>
          <w:sz w:val="32"/>
          <w:szCs w:val="32"/>
        </w:rPr>
        <w:t>万元，较上年决算数增加</w:t>
      </w:r>
      <w:r>
        <w:rPr>
          <w:rFonts w:hint="eastAsia"/>
          <w:sz w:val="32"/>
          <w:szCs w:val="32"/>
        </w:rPr>
        <w:t>260.73</w:t>
      </w:r>
      <w:r>
        <w:rPr>
          <w:rFonts w:hint="eastAsia"/>
          <w:sz w:val="32"/>
          <w:szCs w:val="32"/>
        </w:rPr>
        <w:t>万元，增长</w:t>
      </w:r>
      <w:r>
        <w:rPr>
          <w:rFonts w:hint="eastAsia"/>
          <w:sz w:val="32"/>
          <w:szCs w:val="32"/>
        </w:rPr>
        <w:t>10.2%</w:t>
      </w:r>
      <w:r>
        <w:rPr>
          <w:rFonts w:hint="eastAsia"/>
          <w:sz w:val="32"/>
          <w:szCs w:val="32"/>
        </w:rPr>
        <w:t>。主要原因是松材线虫防治、退耕还林等上级经费比上年度增加。较年初预算数增加</w:t>
      </w:r>
      <w:r>
        <w:rPr>
          <w:rFonts w:hint="eastAsia"/>
          <w:sz w:val="32"/>
          <w:szCs w:val="32"/>
        </w:rPr>
        <w:t>1,107.14</w:t>
      </w:r>
      <w:r>
        <w:rPr>
          <w:rFonts w:hint="eastAsia"/>
          <w:sz w:val="32"/>
          <w:szCs w:val="32"/>
        </w:rPr>
        <w:t>万元，增长</w:t>
      </w:r>
      <w:r>
        <w:rPr>
          <w:rFonts w:hint="eastAsia"/>
          <w:sz w:val="32"/>
          <w:szCs w:val="32"/>
        </w:rPr>
        <w:t>64.5%</w:t>
      </w:r>
      <w:r>
        <w:rPr>
          <w:rFonts w:hint="eastAsia"/>
          <w:sz w:val="32"/>
          <w:szCs w:val="32"/>
        </w:rPr>
        <w:t>。主要原因是年中追加安排了扶持状大集体经济、农村人畜饮水、农村交通建设、松材线虫病防治、退耕还林、临时救助等支出。</w:t>
      </w:r>
    </w:p>
    <w:p w:rsidR="00000000" w:rsidRDefault="00EE4D28">
      <w:pPr>
        <w:rPr>
          <w:rFonts w:hint="eastAsia"/>
          <w:sz w:val="32"/>
          <w:szCs w:val="32"/>
        </w:rPr>
      </w:pPr>
      <w:r>
        <w:rPr>
          <w:rFonts w:hint="eastAsia"/>
          <w:sz w:val="32"/>
          <w:szCs w:val="32"/>
        </w:rPr>
        <w:t xml:space="preserve">    3.</w:t>
      </w:r>
      <w:r>
        <w:rPr>
          <w:rFonts w:hint="eastAsia"/>
          <w:sz w:val="32"/>
          <w:szCs w:val="32"/>
        </w:rPr>
        <w:t>结转</w:t>
      </w:r>
      <w:r>
        <w:rPr>
          <w:rFonts w:hint="eastAsia"/>
          <w:sz w:val="32"/>
          <w:szCs w:val="32"/>
        </w:rPr>
        <w:t>结余情况。</w:t>
      </w:r>
      <w:r>
        <w:rPr>
          <w:rFonts w:hint="eastAsia"/>
          <w:sz w:val="32"/>
          <w:szCs w:val="32"/>
        </w:rPr>
        <w:t>2021</w:t>
      </w:r>
      <w:r>
        <w:rPr>
          <w:rFonts w:hint="eastAsia"/>
          <w:sz w:val="32"/>
          <w:szCs w:val="32"/>
        </w:rPr>
        <w:t>年度年末一般公共预算财政拨款结转和结余</w:t>
      </w:r>
      <w:r>
        <w:rPr>
          <w:rFonts w:hint="eastAsia"/>
          <w:sz w:val="32"/>
          <w:szCs w:val="32"/>
        </w:rPr>
        <w:t>0.00</w:t>
      </w:r>
      <w:r>
        <w:rPr>
          <w:rFonts w:hint="eastAsia"/>
          <w:sz w:val="32"/>
          <w:szCs w:val="32"/>
        </w:rPr>
        <w:t>万元，较上年决算数增加</w:t>
      </w:r>
      <w:r>
        <w:rPr>
          <w:rFonts w:hint="eastAsia"/>
          <w:sz w:val="32"/>
          <w:szCs w:val="32"/>
        </w:rPr>
        <w:t>0.00</w:t>
      </w:r>
      <w:r>
        <w:rPr>
          <w:rFonts w:hint="eastAsia"/>
          <w:sz w:val="32"/>
          <w:szCs w:val="32"/>
        </w:rPr>
        <w:t>万元，增长</w:t>
      </w:r>
      <w:r>
        <w:rPr>
          <w:rFonts w:hint="eastAsia"/>
          <w:sz w:val="32"/>
          <w:szCs w:val="32"/>
        </w:rPr>
        <w:t>%</w:t>
      </w:r>
      <w:r>
        <w:rPr>
          <w:rFonts w:hint="eastAsia"/>
          <w:sz w:val="32"/>
          <w:szCs w:val="32"/>
        </w:rPr>
        <w:t>。</w:t>
      </w:r>
    </w:p>
    <w:p w:rsidR="00000000" w:rsidRDefault="00EE4D28">
      <w:pPr>
        <w:rPr>
          <w:rFonts w:hint="eastAsia"/>
          <w:sz w:val="32"/>
          <w:szCs w:val="32"/>
        </w:rPr>
      </w:pPr>
      <w:r>
        <w:rPr>
          <w:rFonts w:hint="eastAsia"/>
          <w:sz w:val="32"/>
          <w:szCs w:val="32"/>
        </w:rPr>
        <w:t xml:space="preserve">    4.</w:t>
      </w:r>
      <w:r>
        <w:rPr>
          <w:rFonts w:hint="eastAsia"/>
          <w:sz w:val="32"/>
          <w:szCs w:val="32"/>
        </w:rPr>
        <w:t>比较情况。本部门</w:t>
      </w:r>
      <w:r>
        <w:rPr>
          <w:rFonts w:hint="eastAsia"/>
          <w:sz w:val="32"/>
          <w:szCs w:val="32"/>
        </w:rPr>
        <w:t>2021</w:t>
      </w:r>
      <w:r>
        <w:rPr>
          <w:rFonts w:hint="eastAsia"/>
          <w:sz w:val="32"/>
          <w:szCs w:val="32"/>
        </w:rPr>
        <w:t>年度一般公共预算财政拨款支出主要用于以下几个方面：</w:t>
      </w:r>
    </w:p>
    <w:p w:rsidR="00000000" w:rsidRDefault="00EE4D28">
      <w:pPr>
        <w:rPr>
          <w:rFonts w:hint="eastAsia"/>
          <w:sz w:val="32"/>
          <w:szCs w:val="32"/>
        </w:rPr>
      </w:pPr>
      <w:r>
        <w:rPr>
          <w:rFonts w:hint="eastAsia"/>
          <w:sz w:val="32"/>
          <w:szCs w:val="32"/>
        </w:rPr>
        <w:t xml:space="preserve">  </w:t>
      </w:r>
      <w:r>
        <w:rPr>
          <w:rFonts w:hint="eastAsia"/>
          <w:sz w:val="32"/>
          <w:szCs w:val="32"/>
        </w:rPr>
        <w:t>（</w:t>
      </w:r>
      <w:r>
        <w:rPr>
          <w:rFonts w:hint="eastAsia"/>
          <w:sz w:val="32"/>
          <w:szCs w:val="32"/>
        </w:rPr>
        <w:t>1</w:t>
      </w:r>
      <w:r>
        <w:rPr>
          <w:rFonts w:hint="eastAsia"/>
          <w:sz w:val="32"/>
          <w:szCs w:val="32"/>
        </w:rPr>
        <w:t>）一般公共服务支出</w:t>
      </w:r>
      <w:r>
        <w:rPr>
          <w:rFonts w:hint="eastAsia"/>
          <w:sz w:val="32"/>
          <w:szCs w:val="32"/>
        </w:rPr>
        <w:t>834.87</w:t>
      </w:r>
      <w:r>
        <w:rPr>
          <w:rFonts w:hint="eastAsia"/>
          <w:sz w:val="32"/>
          <w:szCs w:val="32"/>
        </w:rPr>
        <w:t>万元，占</w:t>
      </w:r>
      <w:r>
        <w:rPr>
          <w:rFonts w:hint="eastAsia"/>
          <w:sz w:val="32"/>
          <w:szCs w:val="32"/>
        </w:rPr>
        <w:t>29.6%</w:t>
      </w:r>
      <w:r>
        <w:rPr>
          <w:rFonts w:hint="eastAsia"/>
          <w:sz w:val="32"/>
          <w:szCs w:val="32"/>
        </w:rPr>
        <w:t>，较年初预算数增加</w:t>
      </w:r>
      <w:r>
        <w:rPr>
          <w:rFonts w:hint="eastAsia"/>
          <w:sz w:val="32"/>
          <w:szCs w:val="32"/>
        </w:rPr>
        <w:t>236.84</w:t>
      </w:r>
      <w:r>
        <w:rPr>
          <w:rFonts w:hint="eastAsia"/>
          <w:sz w:val="32"/>
          <w:szCs w:val="32"/>
        </w:rPr>
        <w:t>万元，增长</w:t>
      </w:r>
      <w:r>
        <w:rPr>
          <w:rFonts w:hint="eastAsia"/>
          <w:sz w:val="32"/>
          <w:szCs w:val="32"/>
        </w:rPr>
        <w:t>39.6%</w:t>
      </w:r>
      <w:r>
        <w:rPr>
          <w:rFonts w:hint="eastAsia"/>
          <w:sz w:val="32"/>
          <w:szCs w:val="32"/>
        </w:rPr>
        <w:t>，主要原因是年中人员增减的预算调整以及老党员生活补助、人口普查、村级食品药品协管员、大学生义兵入伍奖励等上级经费的增加。</w:t>
      </w:r>
      <w:r>
        <w:rPr>
          <w:rFonts w:hint="eastAsia"/>
          <w:sz w:val="32"/>
          <w:szCs w:val="32"/>
        </w:rPr>
        <w:t xml:space="preserve">  </w:t>
      </w:r>
    </w:p>
    <w:p w:rsidR="00000000" w:rsidRDefault="00EE4D28">
      <w:pPr>
        <w:ind w:firstLineChars="100" w:firstLine="320"/>
        <w:rPr>
          <w:rFonts w:hint="eastAsia"/>
          <w:sz w:val="32"/>
          <w:szCs w:val="32"/>
        </w:rPr>
      </w:pPr>
      <w:r>
        <w:rPr>
          <w:rFonts w:hint="eastAsia"/>
          <w:sz w:val="32"/>
          <w:szCs w:val="32"/>
        </w:rPr>
        <w:lastRenderedPageBreak/>
        <w:t>（</w:t>
      </w:r>
      <w:r>
        <w:rPr>
          <w:rFonts w:hint="eastAsia"/>
          <w:sz w:val="32"/>
          <w:szCs w:val="32"/>
        </w:rPr>
        <w:t>2</w:t>
      </w:r>
      <w:r>
        <w:rPr>
          <w:rFonts w:hint="eastAsia"/>
          <w:sz w:val="32"/>
          <w:szCs w:val="32"/>
        </w:rPr>
        <w:t>）国防支出</w:t>
      </w:r>
      <w:r>
        <w:rPr>
          <w:rFonts w:hint="eastAsia"/>
          <w:sz w:val="32"/>
          <w:szCs w:val="32"/>
        </w:rPr>
        <w:t>4.30</w:t>
      </w:r>
      <w:r>
        <w:rPr>
          <w:rFonts w:hint="eastAsia"/>
          <w:sz w:val="32"/>
          <w:szCs w:val="32"/>
        </w:rPr>
        <w:t>万元，占</w:t>
      </w:r>
      <w:r>
        <w:rPr>
          <w:rFonts w:hint="eastAsia"/>
          <w:sz w:val="32"/>
          <w:szCs w:val="32"/>
        </w:rPr>
        <w:t>0.2%</w:t>
      </w:r>
      <w:r>
        <w:rPr>
          <w:rFonts w:hint="eastAsia"/>
          <w:sz w:val="32"/>
          <w:szCs w:val="32"/>
        </w:rPr>
        <w:t>，较年初预算数增加</w:t>
      </w:r>
      <w:r>
        <w:rPr>
          <w:rFonts w:hint="eastAsia"/>
          <w:sz w:val="32"/>
          <w:szCs w:val="32"/>
        </w:rPr>
        <w:t>4.30</w:t>
      </w:r>
      <w:r>
        <w:rPr>
          <w:rFonts w:hint="eastAsia"/>
          <w:sz w:val="32"/>
          <w:szCs w:val="32"/>
        </w:rPr>
        <w:t>万元，增长</w:t>
      </w:r>
      <w:r>
        <w:rPr>
          <w:rFonts w:hint="eastAsia"/>
          <w:sz w:val="32"/>
          <w:szCs w:val="32"/>
        </w:rPr>
        <w:t>100%</w:t>
      </w:r>
      <w:r>
        <w:rPr>
          <w:rFonts w:hint="eastAsia"/>
          <w:sz w:val="32"/>
          <w:szCs w:val="32"/>
        </w:rPr>
        <w:t>，主要原因是增加大学生义兵入伍及进藏奖励。</w:t>
      </w:r>
      <w:r>
        <w:rPr>
          <w:rFonts w:hint="eastAsia"/>
          <w:sz w:val="32"/>
          <w:szCs w:val="32"/>
        </w:rPr>
        <w:t xml:space="preserve">  </w:t>
      </w:r>
    </w:p>
    <w:p w:rsidR="00000000" w:rsidRDefault="00EE4D28">
      <w:pPr>
        <w:rPr>
          <w:rFonts w:hint="eastAsia"/>
          <w:sz w:val="32"/>
          <w:szCs w:val="32"/>
        </w:rPr>
      </w:pPr>
      <w:r>
        <w:rPr>
          <w:rFonts w:hint="eastAsia"/>
          <w:sz w:val="32"/>
          <w:szCs w:val="32"/>
        </w:rPr>
        <w:t xml:space="preserve">  </w:t>
      </w:r>
      <w:r>
        <w:rPr>
          <w:rFonts w:hint="eastAsia"/>
          <w:sz w:val="32"/>
          <w:szCs w:val="32"/>
        </w:rPr>
        <w:t>（</w:t>
      </w:r>
      <w:r>
        <w:rPr>
          <w:rFonts w:hint="eastAsia"/>
          <w:sz w:val="32"/>
          <w:szCs w:val="32"/>
        </w:rPr>
        <w:t>3</w:t>
      </w:r>
      <w:r>
        <w:rPr>
          <w:rFonts w:hint="eastAsia"/>
          <w:sz w:val="32"/>
          <w:szCs w:val="32"/>
        </w:rPr>
        <w:t>）公共安全支出</w:t>
      </w:r>
      <w:r>
        <w:rPr>
          <w:rFonts w:hint="eastAsia"/>
          <w:sz w:val="32"/>
          <w:szCs w:val="32"/>
        </w:rPr>
        <w:t>0.80</w:t>
      </w:r>
      <w:r>
        <w:rPr>
          <w:rFonts w:hint="eastAsia"/>
          <w:sz w:val="32"/>
          <w:szCs w:val="32"/>
        </w:rPr>
        <w:t>万元，占</w:t>
      </w:r>
      <w:r>
        <w:rPr>
          <w:rFonts w:hint="eastAsia"/>
          <w:sz w:val="32"/>
          <w:szCs w:val="32"/>
        </w:rPr>
        <w:t>0%</w:t>
      </w:r>
      <w:r>
        <w:rPr>
          <w:rFonts w:hint="eastAsia"/>
          <w:sz w:val="32"/>
          <w:szCs w:val="32"/>
        </w:rPr>
        <w:t>，较年初预算数增加</w:t>
      </w:r>
      <w:r>
        <w:rPr>
          <w:rFonts w:hint="eastAsia"/>
          <w:sz w:val="32"/>
          <w:szCs w:val="32"/>
        </w:rPr>
        <w:t>0.80</w:t>
      </w:r>
      <w:r>
        <w:rPr>
          <w:rFonts w:hint="eastAsia"/>
          <w:sz w:val="32"/>
          <w:szCs w:val="32"/>
        </w:rPr>
        <w:t>万元，增长</w:t>
      </w:r>
      <w:r>
        <w:rPr>
          <w:rFonts w:hint="eastAsia"/>
          <w:sz w:val="32"/>
          <w:szCs w:val="32"/>
        </w:rPr>
        <w:t>100%</w:t>
      </w:r>
      <w:r>
        <w:rPr>
          <w:rFonts w:hint="eastAsia"/>
          <w:sz w:val="32"/>
          <w:szCs w:val="32"/>
        </w:rPr>
        <w:t>，主要原因是增加的基层人民调解员补助。</w:t>
      </w:r>
    </w:p>
    <w:p w:rsidR="00000000" w:rsidRDefault="00EE4D28">
      <w:pPr>
        <w:rPr>
          <w:rFonts w:hint="eastAsia"/>
          <w:sz w:val="32"/>
          <w:szCs w:val="32"/>
        </w:rPr>
      </w:pPr>
      <w:r>
        <w:rPr>
          <w:rFonts w:hint="eastAsia"/>
          <w:sz w:val="32"/>
          <w:szCs w:val="32"/>
        </w:rPr>
        <w:t xml:space="preserve">  </w:t>
      </w:r>
      <w:r>
        <w:rPr>
          <w:rFonts w:hint="eastAsia"/>
          <w:sz w:val="32"/>
          <w:szCs w:val="32"/>
        </w:rPr>
        <w:t>（</w:t>
      </w:r>
      <w:r>
        <w:rPr>
          <w:rFonts w:hint="eastAsia"/>
          <w:sz w:val="32"/>
          <w:szCs w:val="32"/>
        </w:rPr>
        <w:t>4</w:t>
      </w:r>
      <w:r>
        <w:rPr>
          <w:rFonts w:hint="eastAsia"/>
          <w:sz w:val="32"/>
          <w:szCs w:val="32"/>
        </w:rPr>
        <w:t>）文化旅游体育与传媒支出</w:t>
      </w:r>
      <w:r>
        <w:rPr>
          <w:rFonts w:hint="eastAsia"/>
          <w:sz w:val="32"/>
          <w:szCs w:val="32"/>
        </w:rPr>
        <w:t>49.66</w:t>
      </w:r>
      <w:r>
        <w:rPr>
          <w:rFonts w:hint="eastAsia"/>
          <w:sz w:val="32"/>
          <w:szCs w:val="32"/>
        </w:rPr>
        <w:t>万元，占</w:t>
      </w:r>
      <w:r>
        <w:rPr>
          <w:rFonts w:hint="eastAsia"/>
          <w:sz w:val="32"/>
          <w:szCs w:val="32"/>
        </w:rPr>
        <w:t>1.8%</w:t>
      </w:r>
      <w:r>
        <w:rPr>
          <w:rFonts w:hint="eastAsia"/>
          <w:sz w:val="32"/>
          <w:szCs w:val="32"/>
        </w:rPr>
        <w:t>，较年初预算数增加</w:t>
      </w:r>
      <w:r>
        <w:rPr>
          <w:rFonts w:hint="eastAsia"/>
          <w:sz w:val="32"/>
          <w:szCs w:val="32"/>
        </w:rPr>
        <w:t>4.36</w:t>
      </w:r>
      <w:r>
        <w:rPr>
          <w:rFonts w:hint="eastAsia"/>
          <w:sz w:val="32"/>
          <w:szCs w:val="32"/>
        </w:rPr>
        <w:t>万元，增长</w:t>
      </w:r>
      <w:r>
        <w:rPr>
          <w:rFonts w:hint="eastAsia"/>
          <w:sz w:val="32"/>
          <w:szCs w:val="32"/>
        </w:rPr>
        <w:t>9.6%</w:t>
      </w:r>
      <w:r>
        <w:rPr>
          <w:rFonts w:hint="eastAsia"/>
          <w:sz w:val="32"/>
          <w:szCs w:val="32"/>
        </w:rPr>
        <w:t>，主要原因是增加的文化活动专项经费。</w:t>
      </w:r>
    </w:p>
    <w:p w:rsidR="00000000" w:rsidRDefault="00EE4D28">
      <w:pPr>
        <w:pStyle w:val="Char1"/>
        <w:shd w:val="clear" w:color="auto" w:fill="FFFFFF"/>
        <w:wordWrap w:val="0"/>
        <w:spacing w:before="0" w:beforeAutospacing="0" w:after="0" w:afterAutospacing="0" w:line="600" w:lineRule="atLeast"/>
        <w:ind w:firstLine="420"/>
        <w:rPr>
          <w:rFonts w:hint="eastAsia"/>
          <w:sz w:val="32"/>
          <w:szCs w:val="32"/>
          <w:shd w:val="clear" w:color="auto" w:fill="FFFFFF"/>
        </w:rPr>
      </w:pPr>
      <w:r>
        <w:rPr>
          <w:rFonts w:hint="eastAsia"/>
          <w:sz w:val="32"/>
          <w:szCs w:val="32"/>
          <w:shd w:val="clear" w:color="auto" w:fill="FFFFFF"/>
        </w:rPr>
        <w:t>（</w:t>
      </w:r>
      <w:r>
        <w:rPr>
          <w:rFonts w:hint="eastAsia"/>
          <w:sz w:val="32"/>
          <w:szCs w:val="32"/>
          <w:shd w:val="clear" w:color="auto" w:fill="FFFFFF"/>
        </w:rPr>
        <w:t>5</w:t>
      </w:r>
      <w:r>
        <w:rPr>
          <w:rFonts w:hint="eastAsia"/>
          <w:sz w:val="32"/>
          <w:szCs w:val="32"/>
          <w:shd w:val="clear" w:color="auto" w:fill="FFFFFF"/>
        </w:rPr>
        <w:t>）社会保障与就业支出</w:t>
      </w:r>
      <w:r>
        <w:rPr>
          <w:rFonts w:hint="eastAsia"/>
          <w:sz w:val="32"/>
          <w:szCs w:val="32"/>
          <w:shd w:val="clear" w:color="auto" w:fill="FFFFFF"/>
        </w:rPr>
        <w:t>315.51</w:t>
      </w:r>
      <w:r>
        <w:rPr>
          <w:rFonts w:hint="eastAsia"/>
          <w:sz w:val="32"/>
          <w:szCs w:val="32"/>
          <w:shd w:val="clear" w:color="auto" w:fill="FFFFFF"/>
        </w:rPr>
        <w:t>万元，占</w:t>
      </w:r>
      <w:r>
        <w:rPr>
          <w:rFonts w:hint="eastAsia"/>
          <w:sz w:val="32"/>
          <w:szCs w:val="32"/>
          <w:shd w:val="clear" w:color="auto" w:fill="FFFFFF"/>
        </w:rPr>
        <w:t>11.2%</w:t>
      </w:r>
      <w:r>
        <w:rPr>
          <w:rFonts w:hint="eastAsia"/>
          <w:sz w:val="32"/>
          <w:szCs w:val="32"/>
          <w:shd w:val="clear" w:color="auto" w:fill="FFFFFF"/>
        </w:rPr>
        <w:t>，较年初预算数增加</w:t>
      </w:r>
      <w:r>
        <w:rPr>
          <w:rFonts w:hint="eastAsia"/>
          <w:sz w:val="32"/>
          <w:szCs w:val="32"/>
          <w:shd w:val="clear" w:color="auto" w:fill="FFFFFF"/>
        </w:rPr>
        <w:t>96.67</w:t>
      </w:r>
      <w:r>
        <w:rPr>
          <w:rFonts w:hint="eastAsia"/>
          <w:sz w:val="32"/>
          <w:szCs w:val="32"/>
          <w:shd w:val="clear" w:color="auto" w:fill="FFFFFF"/>
        </w:rPr>
        <w:t>万元，增长</w:t>
      </w:r>
      <w:r>
        <w:rPr>
          <w:rFonts w:hint="eastAsia"/>
          <w:sz w:val="32"/>
          <w:szCs w:val="32"/>
          <w:shd w:val="clear" w:color="auto" w:fill="FFFFFF"/>
        </w:rPr>
        <w:t>44.2%</w:t>
      </w:r>
      <w:r>
        <w:rPr>
          <w:rFonts w:hint="eastAsia"/>
          <w:sz w:val="32"/>
          <w:szCs w:val="32"/>
          <w:shd w:val="clear" w:color="auto" w:fill="FFFFFF"/>
        </w:rPr>
        <w:t>，主要原因是公益性岗位人员、残疾人事业等上级经费的增加。</w:t>
      </w:r>
    </w:p>
    <w:p w:rsidR="00000000" w:rsidRDefault="00EE4D28">
      <w:pPr>
        <w:rPr>
          <w:rFonts w:hint="eastAsia"/>
          <w:sz w:val="32"/>
          <w:szCs w:val="32"/>
        </w:rPr>
      </w:pPr>
      <w:r>
        <w:rPr>
          <w:rFonts w:hint="eastAsia"/>
          <w:sz w:val="32"/>
          <w:szCs w:val="32"/>
        </w:rPr>
        <w:t xml:space="preserve">  </w:t>
      </w:r>
      <w:r>
        <w:rPr>
          <w:rFonts w:hint="eastAsia"/>
          <w:sz w:val="32"/>
          <w:szCs w:val="32"/>
        </w:rPr>
        <w:t>（</w:t>
      </w:r>
      <w:r>
        <w:rPr>
          <w:rFonts w:hint="eastAsia"/>
          <w:sz w:val="32"/>
          <w:szCs w:val="32"/>
        </w:rPr>
        <w:t>6</w:t>
      </w:r>
      <w:r>
        <w:rPr>
          <w:rFonts w:hint="eastAsia"/>
          <w:sz w:val="32"/>
          <w:szCs w:val="32"/>
        </w:rPr>
        <w:t>）卫生健康支出</w:t>
      </w:r>
      <w:r>
        <w:rPr>
          <w:rFonts w:hint="eastAsia"/>
          <w:sz w:val="32"/>
          <w:szCs w:val="32"/>
        </w:rPr>
        <w:t>72.78</w:t>
      </w:r>
      <w:r>
        <w:rPr>
          <w:rFonts w:hint="eastAsia"/>
          <w:sz w:val="32"/>
          <w:szCs w:val="32"/>
        </w:rPr>
        <w:t>万元，</w:t>
      </w:r>
      <w:r>
        <w:rPr>
          <w:rFonts w:hint="eastAsia"/>
          <w:sz w:val="32"/>
          <w:szCs w:val="32"/>
        </w:rPr>
        <w:t>占</w:t>
      </w:r>
      <w:r>
        <w:rPr>
          <w:rFonts w:hint="eastAsia"/>
          <w:sz w:val="32"/>
          <w:szCs w:val="32"/>
        </w:rPr>
        <w:t>2.6%</w:t>
      </w:r>
      <w:r>
        <w:rPr>
          <w:rFonts w:hint="eastAsia"/>
          <w:sz w:val="32"/>
          <w:szCs w:val="32"/>
        </w:rPr>
        <w:t>，较年初预算数增加</w:t>
      </w:r>
      <w:r>
        <w:rPr>
          <w:rFonts w:hint="eastAsia"/>
          <w:sz w:val="32"/>
          <w:szCs w:val="32"/>
        </w:rPr>
        <w:t>7.25</w:t>
      </w:r>
      <w:r>
        <w:rPr>
          <w:rFonts w:hint="eastAsia"/>
          <w:sz w:val="32"/>
          <w:szCs w:val="32"/>
        </w:rPr>
        <w:t>万元，增长</w:t>
      </w:r>
      <w:r>
        <w:rPr>
          <w:rFonts w:hint="eastAsia"/>
          <w:sz w:val="32"/>
          <w:szCs w:val="32"/>
        </w:rPr>
        <w:t>11.1%</w:t>
      </w:r>
      <w:r>
        <w:rPr>
          <w:rFonts w:hint="eastAsia"/>
          <w:sz w:val="32"/>
          <w:szCs w:val="32"/>
        </w:rPr>
        <w:t>，主要原因是增加疫情防控经费。</w:t>
      </w:r>
    </w:p>
    <w:p w:rsidR="00000000" w:rsidRDefault="00EE4D28">
      <w:pPr>
        <w:rPr>
          <w:rFonts w:hint="eastAsia"/>
          <w:sz w:val="32"/>
          <w:szCs w:val="32"/>
        </w:rPr>
      </w:pPr>
      <w:r>
        <w:rPr>
          <w:rFonts w:hint="eastAsia"/>
          <w:sz w:val="32"/>
          <w:szCs w:val="32"/>
        </w:rPr>
        <w:t xml:space="preserve">  </w:t>
      </w:r>
      <w:r>
        <w:rPr>
          <w:rFonts w:hint="eastAsia"/>
          <w:sz w:val="32"/>
          <w:szCs w:val="32"/>
        </w:rPr>
        <w:t>（</w:t>
      </w:r>
      <w:r>
        <w:rPr>
          <w:rFonts w:hint="eastAsia"/>
          <w:sz w:val="32"/>
          <w:szCs w:val="32"/>
        </w:rPr>
        <w:t>7</w:t>
      </w:r>
      <w:r>
        <w:rPr>
          <w:rFonts w:hint="eastAsia"/>
          <w:sz w:val="32"/>
          <w:szCs w:val="32"/>
        </w:rPr>
        <w:t>）节能环保支出</w:t>
      </w:r>
      <w:r>
        <w:rPr>
          <w:rFonts w:hint="eastAsia"/>
          <w:sz w:val="32"/>
          <w:szCs w:val="32"/>
        </w:rPr>
        <w:t>45.11</w:t>
      </w:r>
      <w:r>
        <w:rPr>
          <w:rFonts w:hint="eastAsia"/>
          <w:sz w:val="32"/>
          <w:szCs w:val="32"/>
        </w:rPr>
        <w:t>万元，占</w:t>
      </w:r>
      <w:r>
        <w:rPr>
          <w:rFonts w:hint="eastAsia"/>
          <w:sz w:val="32"/>
          <w:szCs w:val="32"/>
        </w:rPr>
        <w:t>1.6%</w:t>
      </w:r>
      <w:r>
        <w:rPr>
          <w:rFonts w:hint="eastAsia"/>
          <w:sz w:val="32"/>
          <w:szCs w:val="32"/>
        </w:rPr>
        <w:t>，较年初预算数增加</w:t>
      </w:r>
      <w:r>
        <w:rPr>
          <w:rFonts w:hint="eastAsia"/>
          <w:sz w:val="32"/>
          <w:szCs w:val="32"/>
        </w:rPr>
        <w:t>45.11</w:t>
      </w:r>
      <w:r>
        <w:rPr>
          <w:rFonts w:hint="eastAsia"/>
          <w:sz w:val="32"/>
          <w:szCs w:val="32"/>
        </w:rPr>
        <w:t>万元，增长</w:t>
      </w:r>
      <w:r>
        <w:rPr>
          <w:rFonts w:hint="eastAsia"/>
          <w:sz w:val="32"/>
          <w:szCs w:val="32"/>
        </w:rPr>
        <w:t>%</w:t>
      </w:r>
      <w:r>
        <w:rPr>
          <w:rFonts w:hint="eastAsia"/>
          <w:sz w:val="32"/>
          <w:szCs w:val="32"/>
        </w:rPr>
        <w:t>，主要原因是增加环境卫生整治、松材线虫防治、退耕还林等上级经费。</w:t>
      </w:r>
    </w:p>
    <w:p w:rsidR="00000000" w:rsidRDefault="00EE4D28">
      <w:pPr>
        <w:rPr>
          <w:rFonts w:hint="eastAsia"/>
          <w:sz w:val="32"/>
          <w:szCs w:val="32"/>
        </w:rPr>
      </w:pPr>
      <w:r>
        <w:rPr>
          <w:rFonts w:hint="eastAsia"/>
          <w:sz w:val="32"/>
          <w:szCs w:val="32"/>
        </w:rPr>
        <w:t xml:space="preserve">  </w:t>
      </w:r>
      <w:r>
        <w:rPr>
          <w:rFonts w:hint="eastAsia"/>
          <w:sz w:val="32"/>
          <w:szCs w:val="32"/>
        </w:rPr>
        <w:t>（</w:t>
      </w:r>
      <w:r>
        <w:rPr>
          <w:rFonts w:hint="eastAsia"/>
          <w:sz w:val="32"/>
          <w:szCs w:val="32"/>
        </w:rPr>
        <w:t>8</w:t>
      </w:r>
      <w:r>
        <w:rPr>
          <w:rFonts w:hint="eastAsia"/>
          <w:sz w:val="32"/>
          <w:szCs w:val="32"/>
        </w:rPr>
        <w:t>）城乡社区支出</w:t>
      </w:r>
      <w:r>
        <w:rPr>
          <w:rFonts w:hint="eastAsia"/>
          <w:sz w:val="32"/>
          <w:szCs w:val="32"/>
        </w:rPr>
        <w:t>40.49</w:t>
      </w:r>
      <w:r>
        <w:rPr>
          <w:rFonts w:hint="eastAsia"/>
          <w:sz w:val="32"/>
          <w:szCs w:val="32"/>
        </w:rPr>
        <w:t>万元，占</w:t>
      </w:r>
      <w:r>
        <w:rPr>
          <w:rFonts w:hint="eastAsia"/>
          <w:sz w:val="32"/>
          <w:szCs w:val="32"/>
        </w:rPr>
        <w:t>1.4%</w:t>
      </w:r>
      <w:r>
        <w:rPr>
          <w:rFonts w:hint="eastAsia"/>
          <w:sz w:val="32"/>
          <w:szCs w:val="32"/>
        </w:rPr>
        <w:t>，较年初预算数减少</w:t>
      </w:r>
      <w:r>
        <w:rPr>
          <w:rFonts w:hint="eastAsia"/>
          <w:sz w:val="32"/>
          <w:szCs w:val="32"/>
        </w:rPr>
        <w:t>5.23</w:t>
      </w:r>
      <w:r>
        <w:rPr>
          <w:rFonts w:hint="eastAsia"/>
          <w:sz w:val="32"/>
          <w:szCs w:val="32"/>
        </w:rPr>
        <w:t>万元，下降</w:t>
      </w:r>
      <w:r>
        <w:rPr>
          <w:rFonts w:hint="eastAsia"/>
          <w:sz w:val="32"/>
          <w:szCs w:val="32"/>
        </w:rPr>
        <w:t>11.44%</w:t>
      </w:r>
      <w:r>
        <w:rPr>
          <w:rFonts w:hint="eastAsia"/>
          <w:sz w:val="32"/>
          <w:szCs w:val="32"/>
        </w:rPr>
        <w:t>，主要原因是人员变动。</w:t>
      </w:r>
      <w:r>
        <w:rPr>
          <w:rFonts w:hint="eastAsia"/>
          <w:sz w:val="32"/>
          <w:szCs w:val="32"/>
        </w:rPr>
        <w:t xml:space="preserve">      </w:t>
      </w:r>
    </w:p>
    <w:p w:rsidR="00000000" w:rsidRDefault="00EE4D28">
      <w:pPr>
        <w:ind w:firstLineChars="100" w:firstLine="320"/>
        <w:rPr>
          <w:rFonts w:hint="eastAsia"/>
          <w:sz w:val="32"/>
          <w:szCs w:val="32"/>
        </w:rPr>
      </w:pPr>
      <w:r>
        <w:rPr>
          <w:rFonts w:hint="eastAsia"/>
          <w:sz w:val="32"/>
          <w:szCs w:val="32"/>
        </w:rPr>
        <w:lastRenderedPageBreak/>
        <w:t>（</w:t>
      </w:r>
      <w:r>
        <w:rPr>
          <w:rFonts w:hint="eastAsia"/>
          <w:sz w:val="32"/>
          <w:szCs w:val="32"/>
        </w:rPr>
        <w:t>9</w:t>
      </w:r>
      <w:r>
        <w:rPr>
          <w:rFonts w:hint="eastAsia"/>
          <w:sz w:val="32"/>
          <w:szCs w:val="32"/>
        </w:rPr>
        <w:t>）农林水支出</w:t>
      </w:r>
      <w:r>
        <w:rPr>
          <w:rFonts w:hint="eastAsia"/>
          <w:sz w:val="32"/>
          <w:szCs w:val="32"/>
        </w:rPr>
        <w:t>1,076.08</w:t>
      </w:r>
      <w:r>
        <w:rPr>
          <w:rFonts w:hint="eastAsia"/>
          <w:sz w:val="32"/>
          <w:szCs w:val="32"/>
        </w:rPr>
        <w:t>万元，占</w:t>
      </w:r>
      <w:r>
        <w:rPr>
          <w:rFonts w:hint="eastAsia"/>
          <w:sz w:val="32"/>
          <w:szCs w:val="32"/>
        </w:rPr>
        <w:t>38.1%</w:t>
      </w:r>
      <w:r>
        <w:rPr>
          <w:rFonts w:hint="eastAsia"/>
          <w:sz w:val="32"/>
          <w:szCs w:val="32"/>
        </w:rPr>
        <w:t>，较年初预算数增加</w:t>
      </w:r>
      <w:r>
        <w:rPr>
          <w:rFonts w:hint="eastAsia"/>
          <w:sz w:val="32"/>
          <w:szCs w:val="32"/>
        </w:rPr>
        <w:t>407.88</w:t>
      </w:r>
      <w:r>
        <w:rPr>
          <w:rFonts w:hint="eastAsia"/>
          <w:sz w:val="32"/>
          <w:szCs w:val="32"/>
        </w:rPr>
        <w:t>万元，增长</w:t>
      </w:r>
      <w:r>
        <w:rPr>
          <w:rFonts w:hint="eastAsia"/>
          <w:sz w:val="32"/>
          <w:szCs w:val="32"/>
        </w:rPr>
        <w:t>61.04%</w:t>
      </w:r>
      <w:r>
        <w:rPr>
          <w:rFonts w:hint="eastAsia"/>
          <w:sz w:val="32"/>
          <w:szCs w:val="32"/>
        </w:rPr>
        <w:t>，主要原因是松材线虫防治、退耕还林、</w:t>
      </w:r>
      <w:r>
        <w:rPr>
          <w:rFonts w:hint="eastAsia"/>
          <w:sz w:val="32"/>
          <w:szCs w:val="32"/>
        </w:rPr>
        <w:t>农村人畜饮水等上级经费的增加。</w:t>
      </w:r>
    </w:p>
    <w:p w:rsidR="00000000" w:rsidRDefault="00EE4D28">
      <w:pPr>
        <w:pStyle w:val="Char1"/>
        <w:shd w:val="clear" w:color="auto" w:fill="FFFFFF"/>
        <w:wordWrap w:val="0"/>
        <w:spacing w:before="0" w:beforeAutospacing="0" w:after="0" w:afterAutospacing="0" w:line="600" w:lineRule="atLeast"/>
        <w:ind w:firstLine="420"/>
        <w:rPr>
          <w:rFonts w:hint="eastAsia"/>
          <w:sz w:val="32"/>
          <w:szCs w:val="32"/>
          <w:shd w:val="clear" w:color="auto" w:fill="FFFFFF"/>
        </w:rPr>
      </w:pPr>
      <w:r>
        <w:rPr>
          <w:rFonts w:hint="eastAsia"/>
          <w:sz w:val="32"/>
          <w:szCs w:val="32"/>
          <w:shd w:val="clear" w:color="auto" w:fill="FFFFFF"/>
        </w:rPr>
        <w:t>（</w:t>
      </w:r>
      <w:r>
        <w:rPr>
          <w:rFonts w:hint="eastAsia"/>
          <w:sz w:val="32"/>
          <w:szCs w:val="32"/>
          <w:shd w:val="clear" w:color="auto" w:fill="FFFFFF"/>
        </w:rPr>
        <w:t>10</w:t>
      </w:r>
      <w:r>
        <w:rPr>
          <w:rFonts w:hint="eastAsia"/>
          <w:sz w:val="32"/>
          <w:szCs w:val="32"/>
          <w:shd w:val="clear" w:color="auto" w:fill="FFFFFF"/>
        </w:rPr>
        <w:t>）交通运输支出</w:t>
      </w:r>
      <w:r>
        <w:rPr>
          <w:rFonts w:hint="eastAsia"/>
          <w:sz w:val="32"/>
          <w:szCs w:val="32"/>
          <w:shd w:val="clear" w:color="auto" w:fill="FFFFFF"/>
        </w:rPr>
        <w:t>276.26</w:t>
      </w:r>
      <w:r>
        <w:rPr>
          <w:rFonts w:hint="eastAsia"/>
          <w:sz w:val="32"/>
          <w:szCs w:val="32"/>
          <w:shd w:val="clear" w:color="auto" w:fill="FFFFFF"/>
        </w:rPr>
        <w:t>万元，占</w:t>
      </w:r>
      <w:r>
        <w:rPr>
          <w:rFonts w:hint="eastAsia"/>
          <w:sz w:val="32"/>
          <w:szCs w:val="32"/>
          <w:shd w:val="clear" w:color="auto" w:fill="FFFFFF"/>
        </w:rPr>
        <w:t>9.8%</w:t>
      </w:r>
      <w:r>
        <w:rPr>
          <w:rFonts w:hint="eastAsia"/>
          <w:sz w:val="32"/>
          <w:szCs w:val="32"/>
          <w:shd w:val="clear" w:color="auto" w:fill="FFFFFF"/>
        </w:rPr>
        <w:t>，较年初预算数增加</w:t>
      </w:r>
      <w:r>
        <w:rPr>
          <w:rFonts w:hint="eastAsia"/>
          <w:sz w:val="32"/>
          <w:szCs w:val="32"/>
          <w:shd w:val="clear" w:color="auto" w:fill="FFFFFF"/>
        </w:rPr>
        <w:t>276.26</w:t>
      </w:r>
      <w:r>
        <w:rPr>
          <w:rFonts w:hint="eastAsia"/>
          <w:sz w:val="32"/>
          <w:szCs w:val="32"/>
          <w:shd w:val="clear" w:color="auto" w:fill="FFFFFF"/>
        </w:rPr>
        <w:t>万元，增长</w:t>
      </w:r>
      <w:r>
        <w:rPr>
          <w:rFonts w:hint="eastAsia"/>
          <w:sz w:val="32"/>
          <w:szCs w:val="32"/>
          <w:shd w:val="clear" w:color="auto" w:fill="FFFFFF"/>
        </w:rPr>
        <w:t>100%</w:t>
      </w:r>
      <w:r>
        <w:rPr>
          <w:rFonts w:hint="eastAsia"/>
          <w:sz w:val="32"/>
          <w:szCs w:val="32"/>
          <w:shd w:val="clear" w:color="auto" w:fill="FFFFFF"/>
        </w:rPr>
        <w:t>，主要原因是增加的农村道路建设上级经费。</w:t>
      </w:r>
    </w:p>
    <w:p w:rsidR="00000000" w:rsidRDefault="00EE4D28">
      <w:pPr>
        <w:ind w:firstLineChars="100" w:firstLine="320"/>
        <w:rPr>
          <w:rFonts w:hint="eastAsia"/>
          <w:sz w:val="32"/>
          <w:szCs w:val="32"/>
        </w:rPr>
      </w:pPr>
      <w:r>
        <w:rPr>
          <w:rFonts w:hint="eastAsia"/>
          <w:sz w:val="32"/>
          <w:szCs w:val="32"/>
        </w:rPr>
        <w:t>（</w:t>
      </w:r>
      <w:r>
        <w:rPr>
          <w:rFonts w:hint="eastAsia"/>
          <w:sz w:val="32"/>
          <w:szCs w:val="32"/>
        </w:rPr>
        <w:t>11</w:t>
      </w:r>
      <w:r>
        <w:rPr>
          <w:rFonts w:hint="eastAsia"/>
          <w:sz w:val="32"/>
          <w:szCs w:val="32"/>
        </w:rPr>
        <w:t>）住房保障支出</w:t>
      </w:r>
      <w:r>
        <w:rPr>
          <w:rFonts w:hint="eastAsia"/>
          <w:sz w:val="32"/>
          <w:szCs w:val="32"/>
        </w:rPr>
        <w:t>82.55</w:t>
      </w:r>
      <w:r>
        <w:rPr>
          <w:rFonts w:hint="eastAsia"/>
          <w:sz w:val="32"/>
          <w:szCs w:val="32"/>
        </w:rPr>
        <w:t>万元，占</w:t>
      </w:r>
      <w:r>
        <w:rPr>
          <w:rFonts w:hint="eastAsia"/>
          <w:sz w:val="32"/>
          <w:szCs w:val="32"/>
        </w:rPr>
        <w:t>2.9%</w:t>
      </w:r>
      <w:r>
        <w:rPr>
          <w:rFonts w:hint="eastAsia"/>
          <w:sz w:val="32"/>
          <w:szCs w:val="32"/>
        </w:rPr>
        <w:t>，较年初预算数增加</w:t>
      </w:r>
      <w:r>
        <w:rPr>
          <w:rFonts w:hint="eastAsia"/>
          <w:sz w:val="32"/>
          <w:szCs w:val="32"/>
        </w:rPr>
        <w:t>32.20</w:t>
      </w:r>
      <w:r>
        <w:rPr>
          <w:rFonts w:hint="eastAsia"/>
          <w:sz w:val="32"/>
          <w:szCs w:val="32"/>
        </w:rPr>
        <w:t>万元，增长</w:t>
      </w:r>
      <w:r>
        <w:rPr>
          <w:rFonts w:hint="eastAsia"/>
          <w:sz w:val="32"/>
          <w:szCs w:val="32"/>
        </w:rPr>
        <w:t>64%</w:t>
      </w:r>
      <w:r>
        <w:rPr>
          <w:rFonts w:hint="eastAsia"/>
          <w:sz w:val="32"/>
          <w:szCs w:val="32"/>
        </w:rPr>
        <w:t>，主要原因是公积金基数调整以及补交以前年度公积金。</w:t>
      </w:r>
    </w:p>
    <w:p w:rsidR="00000000" w:rsidRDefault="00EE4D28">
      <w:pPr>
        <w:rPr>
          <w:rFonts w:hint="eastAsia"/>
          <w:sz w:val="32"/>
          <w:szCs w:val="32"/>
        </w:rPr>
      </w:pPr>
      <w:r>
        <w:rPr>
          <w:rFonts w:hint="eastAsia"/>
          <w:sz w:val="32"/>
          <w:szCs w:val="32"/>
        </w:rPr>
        <w:t xml:space="preserve">  </w:t>
      </w:r>
      <w:r>
        <w:rPr>
          <w:rFonts w:hint="eastAsia"/>
          <w:sz w:val="32"/>
          <w:szCs w:val="32"/>
        </w:rPr>
        <w:t>（</w:t>
      </w:r>
      <w:r>
        <w:rPr>
          <w:rFonts w:hint="eastAsia"/>
          <w:sz w:val="32"/>
          <w:szCs w:val="32"/>
        </w:rPr>
        <w:t>12</w:t>
      </w:r>
      <w:r>
        <w:rPr>
          <w:rFonts w:hint="eastAsia"/>
          <w:sz w:val="32"/>
          <w:szCs w:val="32"/>
        </w:rPr>
        <w:t>）灾害防治及应急管理支出</w:t>
      </w:r>
      <w:r>
        <w:rPr>
          <w:rFonts w:hint="eastAsia"/>
          <w:sz w:val="32"/>
          <w:szCs w:val="32"/>
        </w:rPr>
        <w:t>25.40</w:t>
      </w:r>
      <w:r>
        <w:rPr>
          <w:rFonts w:hint="eastAsia"/>
          <w:sz w:val="32"/>
          <w:szCs w:val="32"/>
        </w:rPr>
        <w:t>万元，占</w:t>
      </w:r>
      <w:r>
        <w:rPr>
          <w:rFonts w:hint="eastAsia"/>
          <w:sz w:val="32"/>
          <w:szCs w:val="32"/>
        </w:rPr>
        <w:t>0.9%</w:t>
      </w:r>
      <w:r>
        <w:rPr>
          <w:rFonts w:hint="eastAsia"/>
          <w:sz w:val="32"/>
          <w:szCs w:val="32"/>
        </w:rPr>
        <w:t>，较年初预算数增加</w:t>
      </w:r>
      <w:r>
        <w:rPr>
          <w:rFonts w:hint="eastAsia"/>
          <w:sz w:val="32"/>
          <w:szCs w:val="32"/>
        </w:rPr>
        <w:t>25.40</w:t>
      </w:r>
      <w:r>
        <w:rPr>
          <w:rFonts w:hint="eastAsia"/>
          <w:sz w:val="32"/>
          <w:szCs w:val="32"/>
        </w:rPr>
        <w:t>万元，增长</w:t>
      </w:r>
      <w:r>
        <w:rPr>
          <w:rFonts w:hint="eastAsia"/>
          <w:sz w:val="32"/>
          <w:szCs w:val="32"/>
        </w:rPr>
        <w:t>100%</w:t>
      </w:r>
      <w:r>
        <w:rPr>
          <w:rFonts w:hint="eastAsia"/>
          <w:sz w:val="32"/>
          <w:szCs w:val="32"/>
        </w:rPr>
        <w:t>，主要原因是增加新购安全应急车、临时救助等上级经费。</w:t>
      </w:r>
    </w:p>
    <w:p w:rsidR="00000000" w:rsidRDefault="00EE4D28">
      <w:pPr>
        <w:rPr>
          <w:rFonts w:hint="eastAsia"/>
          <w:sz w:val="32"/>
          <w:szCs w:val="32"/>
        </w:rPr>
      </w:pPr>
      <w:r>
        <w:rPr>
          <w:rFonts w:hint="eastAsia"/>
          <w:sz w:val="32"/>
          <w:szCs w:val="32"/>
        </w:rPr>
        <w:t xml:space="preserve">  </w:t>
      </w:r>
      <w:r>
        <w:rPr>
          <w:rFonts w:hint="eastAsia"/>
          <w:sz w:val="32"/>
          <w:szCs w:val="32"/>
        </w:rPr>
        <w:t>（</w:t>
      </w:r>
      <w:r>
        <w:rPr>
          <w:rFonts w:hint="eastAsia"/>
          <w:sz w:val="32"/>
          <w:szCs w:val="32"/>
        </w:rPr>
        <w:t>13</w:t>
      </w:r>
      <w:r>
        <w:rPr>
          <w:rFonts w:hint="eastAsia"/>
          <w:sz w:val="32"/>
          <w:szCs w:val="32"/>
        </w:rPr>
        <w:t>）其他支出</w:t>
      </w:r>
      <w:r>
        <w:rPr>
          <w:rFonts w:hint="eastAsia"/>
          <w:sz w:val="32"/>
          <w:szCs w:val="32"/>
        </w:rPr>
        <w:t>0.29</w:t>
      </w:r>
      <w:r>
        <w:rPr>
          <w:rFonts w:hint="eastAsia"/>
          <w:sz w:val="32"/>
          <w:szCs w:val="32"/>
        </w:rPr>
        <w:t>万元，占</w:t>
      </w:r>
      <w:r>
        <w:rPr>
          <w:rFonts w:hint="eastAsia"/>
          <w:sz w:val="32"/>
          <w:szCs w:val="32"/>
        </w:rPr>
        <w:t>0%</w:t>
      </w:r>
      <w:r>
        <w:rPr>
          <w:rFonts w:hint="eastAsia"/>
          <w:sz w:val="32"/>
          <w:szCs w:val="32"/>
        </w:rPr>
        <w:t>，较年初预算数减少</w:t>
      </w:r>
      <w:r>
        <w:rPr>
          <w:rFonts w:hint="eastAsia"/>
          <w:sz w:val="32"/>
          <w:szCs w:val="32"/>
        </w:rPr>
        <w:t>24.71</w:t>
      </w:r>
      <w:r>
        <w:rPr>
          <w:rFonts w:hint="eastAsia"/>
          <w:sz w:val="32"/>
          <w:szCs w:val="32"/>
        </w:rPr>
        <w:t>万元，下降</w:t>
      </w:r>
      <w:r>
        <w:rPr>
          <w:rFonts w:hint="eastAsia"/>
          <w:sz w:val="32"/>
          <w:szCs w:val="32"/>
        </w:rPr>
        <w:t>98.8%</w:t>
      </w:r>
      <w:r>
        <w:rPr>
          <w:rFonts w:hint="eastAsia"/>
          <w:sz w:val="32"/>
          <w:szCs w:val="32"/>
        </w:rPr>
        <w:t>，主要原因是年初预算的预备费年中进行了科目调整。</w:t>
      </w:r>
    </w:p>
    <w:p w:rsidR="00000000" w:rsidRDefault="00EE4D28">
      <w:pPr>
        <w:rPr>
          <w:rFonts w:hint="eastAsia"/>
          <w:sz w:val="32"/>
          <w:szCs w:val="32"/>
        </w:rPr>
      </w:pPr>
      <w:r>
        <w:rPr>
          <w:rFonts w:hint="eastAsia"/>
          <w:sz w:val="32"/>
          <w:szCs w:val="32"/>
        </w:rPr>
        <w:t xml:space="preserve">    </w:t>
      </w:r>
      <w:r>
        <w:rPr>
          <w:rFonts w:hint="eastAsia"/>
          <w:sz w:val="32"/>
          <w:szCs w:val="32"/>
        </w:rPr>
        <w:t>（四）一般公共预算财政拨款基本支出决算情况说明。</w:t>
      </w:r>
    </w:p>
    <w:p w:rsidR="00000000" w:rsidRDefault="00EE4D28">
      <w:pPr>
        <w:pStyle w:val="Char1"/>
        <w:shd w:val="clear" w:color="auto" w:fill="FFFFFF"/>
        <w:wordWrap w:val="0"/>
        <w:spacing w:before="0" w:beforeAutospacing="0" w:after="0" w:afterAutospacing="0" w:line="600" w:lineRule="atLeast"/>
        <w:ind w:firstLine="420"/>
        <w:rPr>
          <w:rFonts w:hint="eastAsia"/>
          <w:sz w:val="32"/>
          <w:szCs w:val="32"/>
          <w:shd w:val="clear" w:color="auto" w:fill="FFFFFF"/>
        </w:rPr>
      </w:pPr>
      <w:r>
        <w:rPr>
          <w:rFonts w:hint="eastAsia"/>
          <w:sz w:val="32"/>
          <w:szCs w:val="32"/>
          <w:shd w:val="clear" w:color="auto" w:fill="FFFFFF"/>
        </w:rPr>
        <w:t xml:space="preserve">  2021</w:t>
      </w:r>
      <w:r>
        <w:rPr>
          <w:rFonts w:hint="eastAsia"/>
          <w:sz w:val="32"/>
          <w:szCs w:val="32"/>
          <w:shd w:val="clear" w:color="auto" w:fill="FFFFFF"/>
        </w:rPr>
        <w:t>年度一般公共财政拨款基本支出</w:t>
      </w:r>
      <w:r>
        <w:rPr>
          <w:rFonts w:hint="eastAsia"/>
          <w:sz w:val="32"/>
          <w:szCs w:val="32"/>
          <w:shd w:val="clear" w:color="auto" w:fill="FFFFFF"/>
        </w:rPr>
        <w:t>1,721.84</w:t>
      </w:r>
      <w:r>
        <w:rPr>
          <w:rFonts w:hint="eastAsia"/>
          <w:sz w:val="32"/>
          <w:szCs w:val="32"/>
          <w:shd w:val="clear" w:color="auto" w:fill="FFFFFF"/>
        </w:rPr>
        <w:t>万元。其中：人员经费</w:t>
      </w:r>
      <w:r>
        <w:rPr>
          <w:rFonts w:hint="eastAsia"/>
          <w:sz w:val="32"/>
          <w:szCs w:val="32"/>
          <w:shd w:val="clear" w:color="auto" w:fill="FFFFFF"/>
        </w:rPr>
        <w:t>1,418.95</w:t>
      </w:r>
      <w:r>
        <w:rPr>
          <w:rFonts w:hint="eastAsia"/>
          <w:sz w:val="32"/>
          <w:szCs w:val="32"/>
          <w:shd w:val="clear" w:color="auto" w:fill="FFFFFF"/>
        </w:rPr>
        <w:t>万元，较上年决算数增加</w:t>
      </w:r>
      <w:r>
        <w:rPr>
          <w:rFonts w:hint="eastAsia"/>
          <w:sz w:val="32"/>
          <w:szCs w:val="32"/>
          <w:shd w:val="clear" w:color="auto" w:fill="FFFFFF"/>
        </w:rPr>
        <w:t>98.30</w:t>
      </w:r>
      <w:r>
        <w:rPr>
          <w:rFonts w:hint="eastAsia"/>
          <w:sz w:val="32"/>
          <w:szCs w:val="32"/>
          <w:shd w:val="clear" w:color="auto" w:fill="FFFFFF"/>
        </w:rPr>
        <w:t>万元，增长</w:t>
      </w:r>
      <w:r>
        <w:rPr>
          <w:rFonts w:hint="eastAsia"/>
          <w:sz w:val="32"/>
          <w:szCs w:val="32"/>
          <w:shd w:val="clear" w:color="auto" w:fill="FFFFFF"/>
        </w:rPr>
        <w:t>7.4%</w:t>
      </w:r>
      <w:r>
        <w:rPr>
          <w:rFonts w:hint="eastAsia"/>
          <w:sz w:val="32"/>
          <w:szCs w:val="32"/>
          <w:shd w:val="clear" w:color="auto" w:fill="FFFFFF"/>
        </w:rPr>
        <w:t>，主要原因是人员的变动。人员经费用途主要包括基本工资、津贴补贴、奖金、绩效工资、社会保障缴费、公积金、其他工资福利待遇、对个人和家庭的补助等费用。公用经费</w:t>
      </w:r>
      <w:r>
        <w:rPr>
          <w:rFonts w:hint="eastAsia"/>
          <w:sz w:val="32"/>
          <w:szCs w:val="32"/>
          <w:shd w:val="clear" w:color="auto" w:fill="FFFFFF"/>
        </w:rPr>
        <w:t>302.89</w:t>
      </w:r>
      <w:r>
        <w:rPr>
          <w:rFonts w:hint="eastAsia"/>
          <w:sz w:val="32"/>
          <w:szCs w:val="32"/>
          <w:shd w:val="clear" w:color="auto" w:fill="FFFFFF"/>
        </w:rPr>
        <w:t>万元，较上年决算数减少</w:t>
      </w:r>
      <w:r>
        <w:rPr>
          <w:rFonts w:hint="eastAsia"/>
          <w:sz w:val="32"/>
          <w:szCs w:val="32"/>
          <w:shd w:val="clear" w:color="auto" w:fill="FFFFFF"/>
        </w:rPr>
        <w:t>29.3</w:t>
      </w:r>
      <w:r>
        <w:rPr>
          <w:rFonts w:hint="eastAsia"/>
          <w:sz w:val="32"/>
          <w:szCs w:val="32"/>
          <w:shd w:val="clear" w:color="auto" w:fill="FFFFFF"/>
        </w:rPr>
        <w:lastRenderedPageBreak/>
        <w:t>7</w:t>
      </w:r>
      <w:r>
        <w:rPr>
          <w:rFonts w:hint="eastAsia"/>
          <w:sz w:val="32"/>
          <w:szCs w:val="32"/>
          <w:shd w:val="clear" w:color="auto" w:fill="FFFFFF"/>
        </w:rPr>
        <w:t>万元，下降</w:t>
      </w:r>
      <w:r>
        <w:rPr>
          <w:rFonts w:hint="eastAsia"/>
          <w:sz w:val="32"/>
          <w:szCs w:val="32"/>
          <w:shd w:val="clear" w:color="auto" w:fill="FFFFFF"/>
        </w:rPr>
        <w:t>8.8</w:t>
      </w:r>
      <w:r>
        <w:rPr>
          <w:rFonts w:hint="eastAsia"/>
          <w:sz w:val="32"/>
          <w:szCs w:val="32"/>
          <w:shd w:val="clear" w:color="auto" w:fill="FFFFFF"/>
        </w:rPr>
        <w:t>%</w:t>
      </w:r>
      <w:r>
        <w:rPr>
          <w:rFonts w:hint="eastAsia"/>
          <w:sz w:val="32"/>
          <w:szCs w:val="32"/>
          <w:shd w:val="clear" w:color="auto" w:fill="FFFFFF"/>
        </w:rPr>
        <w:t>，主要原因是压减了支出。公用经费用途主要包括办公费、邮电费、水电费、劳务费、差旅费、会议费、培训费、公务接待费、公务车辆运行维护费、其他商品和服务支出等费用。</w:t>
      </w:r>
    </w:p>
    <w:p w:rsidR="00000000" w:rsidRDefault="00EE4D28">
      <w:pPr>
        <w:rPr>
          <w:rFonts w:hint="eastAsia"/>
          <w:sz w:val="32"/>
          <w:szCs w:val="32"/>
        </w:rPr>
      </w:pPr>
      <w:r>
        <w:rPr>
          <w:rFonts w:hint="eastAsia"/>
          <w:sz w:val="32"/>
          <w:szCs w:val="32"/>
        </w:rPr>
        <w:t xml:space="preserve">  </w:t>
      </w:r>
      <w:r>
        <w:rPr>
          <w:rFonts w:hint="eastAsia"/>
          <w:sz w:val="32"/>
          <w:szCs w:val="32"/>
        </w:rPr>
        <w:t>（五）政府性基金预算收支决算情况说明。</w:t>
      </w:r>
    </w:p>
    <w:p w:rsidR="00000000" w:rsidRDefault="00EE4D28">
      <w:pPr>
        <w:rPr>
          <w:rFonts w:hint="eastAsia"/>
          <w:sz w:val="32"/>
          <w:szCs w:val="32"/>
        </w:rPr>
      </w:pPr>
      <w:r>
        <w:rPr>
          <w:rFonts w:hint="eastAsia"/>
          <w:sz w:val="32"/>
          <w:szCs w:val="32"/>
        </w:rPr>
        <w:t xml:space="preserve">   2021</w:t>
      </w:r>
      <w:r>
        <w:rPr>
          <w:rFonts w:hint="eastAsia"/>
          <w:sz w:val="32"/>
          <w:szCs w:val="32"/>
        </w:rPr>
        <w:t>年度政府性基金预算财政拨款年初结转结余</w:t>
      </w:r>
      <w:r>
        <w:rPr>
          <w:rFonts w:hint="eastAsia"/>
          <w:sz w:val="32"/>
          <w:szCs w:val="32"/>
        </w:rPr>
        <w:t>0.00</w:t>
      </w:r>
      <w:r>
        <w:rPr>
          <w:rFonts w:hint="eastAsia"/>
          <w:sz w:val="32"/>
          <w:szCs w:val="32"/>
        </w:rPr>
        <w:t>万元，年末结转结余</w:t>
      </w:r>
      <w:r>
        <w:rPr>
          <w:rFonts w:hint="eastAsia"/>
          <w:sz w:val="32"/>
          <w:szCs w:val="32"/>
        </w:rPr>
        <w:t>1,715.44</w:t>
      </w:r>
      <w:r>
        <w:rPr>
          <w:rFonts w:hint="eastAsia"/>
          <w:sz w:val="32"/>
          <w:szCs w:val="32"/>
        </w:rPr>
        <w:t>万元。本年收入</w:t>
      </w:r>
      <w:r>
        <w:rPr>
          <w:rFonts w:hint="eastAsia"/>
          <w:sz w:val="32"/>
          <w:szCs w:val="32"/>
        </w:rPr>
        <w:t>2,539.51</w:t>
      </w:r>
      <w:r>
        <w:rPr>
          <w:rFonts w:hint="eastAsia"/>
          <w:sz w:val="32"/>
          <w:szCs w:val="32"/>
        </w:rPr>
        <w:t>万元，较上年决算数增加</w:t>
      </w:r>
      <w:r>
        <w:rPr>
          <w:rFonts w:hint="eastAsia"/>
          <w:sz w:val="32"/>
          <w:szCs w:val="32"/>
        </w:rPr>
        <w:t>1,531.00</w:t>
      </w:r>
      <w:r>
        <w:rPr>
          <w:rFonts w:hint="eastAsia"/>
          <w:sz w:val="32"/>
          <w:szCs w:val="32"/>
        </w:rPr>
        <w:t>万元，增长</w:t>
      </w:r>
      <w:r>
        <w:rPr>
          <w:rFonts w:hint="eastAsia"/>
          <w:sz w:val="32"/>
          <w:szCs w:val="32"/>
        </w:rPr>
        <w:t>151.8%</w:t>
      </w:r>
      <w:r>
        <w:rPr>
          <w:rFonts w:hint="eastAsia"/>
          <w:sz w:val="32"/>
          <w:szCs w:val="32"/>
        </w:rPr>
        <w:t>，主要原因是三峡移民后续项目比上年度增加。本年支出</w:t>
      </w:r>
      <w:r>
        <w:rPr>
          <w:rFonts w:hint="eastAsia"/>
          <w:sz w:val="32"/>
          <w:szCs w:val="32"/>
        </w:rPr>
        <w:t>824.06</w:t>
      </w:r>
      <w:r>
        <w:rPr>
          <w:rFonts w:hint="eastAsia"/>
          <w:sz w:val="32"/>
          <w:szCs w:val="32"/>
        </w:rPr>
        <w:t>万元，较上年决算数减少</w:t>
      </w:r>
      <w:r>
        <w:rPr>
          <w:rFonts w:hint="eastAsia"/>
          <w:sz w:val="32"/>
          <w:szCs w:val="32"/>
        </w:rPr>
        <w:t>184.45</w:t>
      </w:r>
      <w:r>
        <w:rPr>
          <w:rFonts w:hint="eastAsia"/>
          <w:sz w:val="32"/>
          <w:szCs w:val="32"/>
        </w:rPr>
        <w:t>万元，下降</w:t>
      </w:r>
      <w:r>
        <w:rPr>
          <w:rFonts w:hint="eastAsia"/>
          <w:sz w:val="32"/>
          <w:szCs w:val="32"/>
        </w:rPr>
        <w:t>18.3%</w:t>
      </w:r>
      <w:r>
        <w:rPr>
          <w:rFonts w:hint="eastAsia"/>
          <w:sz w:val="32"/>
          <w:szCs w:val="32"/>
        </w:rPr>
        <w:t>，主要</w:t>
      </w:r>
      <w:r>
        <w:rPr>
          <w:rFonts w:hint="eastAsia"/>
          <w:sz w:val="32"/>
          <w:szCs w:val="32"/>
        </w:rPr>
        <w:t>原因是部分三峡移民后续项目本年度未支付。</w:t>
      </w:r>
    </w:p>
    <w:p w:rsidR="00000000" w:rsidRDefault="00EE4D28">
      <w:pPr>
        <w:rPr>
          <w:rFonts w:hint="eastAsia"/>
          <w:sz w:val="32"/>
          <w:szCs w:val="32"/>
        </w:rPr>
      </w:pPr>
      <w:r>
        <w:rPr>
          <w:rFonts w:hint="eastAsia"/>
          <w:sz w:val="32"/>
          <w:szCs w:val="32"/>
        </w:rPr>
        <w:t xml:space="preserve">   </w:t>
      </w:r>
      <w:r>
        <w:rPr>
          <w:rFonts w:hint="eastAsia"/>
          <w:sz w:val="32"/>
          <w:szCs w:val="32"/>
        </w:rPr>
        <w:t>（六）国有资本经营预算财政拨款支出决算情况说明。</w:t>
      </w:r>
    </w:p>
    <w:p w:rsidR="00000000" w:rsidRDefault="00EE4D28">
      <w:pPr>
        <w:rPr>
          <w:rFonts w:hint="eastAsia"/>
          <w:sz w:val="32"/>
          <w:szCs w:val="32"/>
        </w:rPr>
      </w:pPr>
      <w:r>
        <w:rPr>
          <w:rFonts w:hint="eastAsia"/>
          <w:sz w:val="32"/>
          <w:szCs w:val="32"/>
        </w:rPr>
        <w:t xml:space="preserve">   </w:t>
      </w:r>
      <w:r>
        <w:rPr>
          <w:rFonts w:hint="eastAsia"/>
          <w:sz w:val="32"/>
          <w:szCs w:val="32"/>
        </w:rPr>
        <w:t>本部门</w:t>
      </w:r>
      <w:r>
        <w:rPr>
          <w:rFonts w:hint="eastAsia"/>
          <w:sz w:val="32"/>
          <w:szCs w:val="32"/>
        </w:rPr>
        <w:t>2021</w:t>
      </w:r>
      <w:r>
        <w:rPr>
          <w:rFonts w:hint="eastAsia"/>
          <w:sz w:val="32"/>
          <w:szCs w:val="32"/>
        </w:rPr>
        <w:t>年度无国有资本经营预算财政拨款支出。</w:t>
      </w:r>
    </w:p>
    <w:p w:rsidR="00000000" w:rsidRDefault="00EE4D28">
      <w:pPr>
        <w:rPr>
          <w:rFonts w:hint="eastAsia"/>
          <w:sz w:val="32"/>
          <w:szCs w:val="32"/>
        </w:rPr>
      </w:pPr>
      <w:r>
        <w:rPr>
          <w:rFonts w:hint="eastAsia"/>
          <w:sz w:val="32"/>
          <w:szCs w:val="32"/>
        </w:rPr>
        <w:t xml:space="preserve">  </w:t>
      </w:r>
      <w:r>
        <w:rPr>
          <w:rFonts w:hint="eastAsia"/>
          <w:sz w:val="32"/>
          <w:szCs w:val="32"/>
        </w:rPr>
        <w:t>三、“三公”经费情况说明</w:t>
      </w:r>
    </w:p>
    <w:p w:rsidR="00000000" w:rsidRDefault="00EE4D28">
      <w:pPr>
        <w:rPr>
          <w:rFonts w:hint="eastAsia"/>
          <w:sz w:val="32"/>
          <w:szCs w:val="32"/>
        </w:rPr>
      </w:pPr>
      <w:r>
        <w:rPr>
          <w:rFonts w:hint="eastAsia"/>
          <w:sz w:val="32"/>
          <w:szCs w:val="32"/>
        </w:rPr>
        <w:t xml:space="preserve">  </w:t>
      </w:r>
      <w:r>
        <w:rPr>
          <w:rFonts w:hint="eastAsia"/>
          <w:sz w:val="32"/>
          <w:szCs w:val="32"/>
        </w:rPr>
        <w:t>（一）“三公”经费支出总体情况说明。</w:t>
      </w:r>
    </w:p>
    <w:p w:rsidR="00000000" w:rsidRDefault="00EE4D28">
      <w:pPr>
        <w:rPr>
          <w:rFonts w:hint="eastAsia"/>
          <w:sz w:val="32"/>
          <w:szCs w:val="32"/>
        </w:rPr>
      </w:pPr>
      <w:r>
        <w:rPr>
          <w:rFonts w:hint="eastAsia"/>
          <w:sz w:val="32"/>
          <w:szCs w:val="32"/>
        </w:rPr>
        <w:t xml:space="preserve">   2021</w:t>
      </w:r>
      <w:r>
        <w:rPr>
          <w:rFonts w:hint="eastAsia"/>
          <w:sz w:val="32"/>
          <w:szCs w:val="32"/>
        </w:rPr>
        <w:t>年度“三公”经费支出共计</w:t>
      </w:r>
      <w:r>
        <w:rPr>
          <w:rFonts w:hint="eastAsia"/>
          <w:sz w:val="32"/>
          <w:szCs w:val="32"/>
        </w:rPr>
        <w:t>32.32</w:t>
      </w:r>
      <w:r>
        <w:rPr>
          <w:rFonts w:hint="eastAsia"/>
          <w:sz w:val="32"/>
          <w:szCs w:val="32"/>
        </w:rPr>
        <w:t>万元，较年初预算数减少</w:t>
      </w:r>
      <w:r>
        <w:rPr>
          <w:rFonts w:hint="eastAsia"/>
          <w:sz w:val="32"/>
          <w:szCs w:val="32"/>
        </w:rPr>
        <w:t>4.40</w:t>
      </w:r>
      <w:r>
        <w:rPr>
          <w:rFonts w:hint="eastAsia"/>
          <w:sz w:val="32"/>
          <w:szCs w:val="32"/>
        </w:rPr>
        <w:t>万元，下降</w:t>
      </w:r>
      <w:r>
        <w:rPr>
          <w:rFonts w:hint="eastAsia"/>
          <w:sz w:val="32"/>
          <w:szCs w:val="32"/>
        </w:rPr>
        <w:t>12%</w:t>
      </w:r>
      <w:r>
        <w:rPr>
          <w:rFonts w:hint="eastAsia"/>
          <w:sz w:val="32"/>
          <w:szCs w:val="32"/>
        </w:rPr>
        <w:t>，主要原因是认真贯彻落实中央八项规定精神和厉行节约要求。较上年支出数增加</w:t>
      </w:r>
      <w:r>
        <w:rPr>
          <w:rFonts w:hint="eastAsia"/>
          <w:sz w:val="32"/>
          <w:szCs w:val="32"/>
        </w:rPr>
        <w:t>12.98</w:t>
      </w:r>
      <w:r>
        <w:rPr>
          <w:rFonts w:hint="eastAsia"/>
          <w:sz w:val="32"/>
          <w:szCs w:val="32"/>
        </w:rPr>
        <w:t>万元，增长</w:t>
      </w:r>
      <w:r>
        <w:rPr>
          <w:rFonts w:hint="eastAsia"/>
          <w:sz w:val="32"/>
          <w:szCs w:val="32"/>
        </w:rPr>
        <w:t>67.1%</w:t>
      </w:r>
      <w:r>
        <w:rPr>
          <w:rFonts w:hint="eastAsia"/>
          <w:sz w:val="32"/>
          <w:szCs w:val="32"/>
        </w:rPr>
        <w:t>，主要原因是本年度上级资金安排购买安全应急车辆</w:t>
      </w:r>
      <w:r>
        <w:rPr>
          <w:rFonts w:hint="eastAsia"/>
          <w:sz w:val="32"/>
          <w:szCs w:val="32"/>
        </w:rPr>
        <w:t>1</w:t>
      </w:r>
      <w:r>
        <w:rPr>
          <w:rFonts w:hint="eastAsia"/>
          <w:sz w:val="32"/>
          <w:szCs w:val="32"/>
        </w:rPr>
        <w:t>台。</w:t>
      </w:r>
    </w:p>
    <w:p w:rsidR="00000000" w:rsidRDefault="00EE4D28">
      <w:pPr>
        <w:rPr>
          <w:rFonts w:hint="eastAsia"/>
          <w:sz w:val="32"/>
          <w:szCs w:val="32"/>
        </w:rPr>
      </w:pPr>
      <w:r>
        <w:rPr>
          <w:rFonts w:hint="eastAsia"/>
          <w:sz w:val="32"/>
          <w:szCs w:val="32"/>
        </w:rPr>
        <w:t xml:space="preserve">  </w:t>
      </w:r>
      <w:r>
        <w:rPr>
          <w:rFonts w:hint="eastAsia"/>
          <w:sz w:val="32"/>
          <w:szCs w:val="32"/>
        </w:rPr>
        <w:t>（二）“三公”经费分项支出情况</w:t>
      </w:r>
      <w:r>
        <w:rPr>
          <w:rFonts w:hint="eastAsia"/>
          <w:sz w:val="32"/>
          <w:szCs w:val="32"/>
        </w:rPr>
        <w:t>。</w:t>
      </w:r>
    </w:p>
    <w:p w:rsidR="00000000" w:rsidRDefault="00EE4D28">
      <w:pPr>
        <w:rPr>
          <w:rFonts w:hint="eastAsia"/>
          <w:sz w:val="32"/>
          <w:szCs w:val="32"/>
        </w:rPr>
      </w:pPr>
      <w:r>
        <w:rPr>
          <w:rFonts w:hint="eastAsia"/>
          <w:sz w:val="32"/>
          <w:szCs w:val="32"/>
        </w:rPr>
        <w:t xml:space="preserve">    2021</w:t>
      </w:r>
      <w:r>
        <w:rPr>
          <w:rFonts w:hint="eastAsia"/>
          <w:sz w:val="32"/>
          <w:szCs w:val="32"/>
        </w:rPr>
        <w:t>年度本部门因公出国（境）费用</w:t>
      </w:r>
      <w:r>
        <w:rPr>
          <w:rFonts w:hint="eastAsia"/>
          <w:sz w:val="32"/>
          <w:szCs w:val="32"/>
        </w:rPr>
        <w:t>0.00</w:t>
      </w:r>
      <w:r>
        <w:rPr>
          <w:rFonts w:hint="eastAsia"/>
          <w:sz w:val="32"/>
          <w:szCs w:val="32"/>
        </w:rPr>
        <w:t>万元。</w:t>
      </w:r>
    </w:p>
    <w:p w:rsidR="00000000" w:rsidRDefault="00EE4D28">
      <w:pPr>
        <w:rPr>
          <w:rFonts w:hint="eastAsia"/>
          <w:sz w:val="32"/>
          <w:szCs w:val="32"/>
        </w:rPr>
      </w:pPr>
      <w:r>
        <w:rPr>
          <w:rFonts w:hint="eastAsia"/>
          <w:sz w:val="32"/>
          <w:szCs w:val="32"/>
        </w:rPr>
        <w:lastRenderedPageBreak/>
        <w:t xml:space="preserve">    </w:t>
      </w:r>
      <w:r>
        <w:rPr>
          <w:rFonts w:hint="eastAsia"/>
          <w:sz w:val="32"/>
          <w:szCs w:val="32"/>
        </w:rPr>
        <w:t>公务车购置费</w:t>
      </w:r>
      <w:r>
        <w:rPr>
          <w:rFonts w:hint="eastAsia"/>
          <w:sz w:val="32"/>
          <w:szCs w:val="32"/>
        </w:rPr>
        <w:t>12.58</w:t>
      </w:r>
      <w:r>
        <w:rPr>
          <w:rFonts w:hint="eastAsia"/>
          <w:sz w:val="32"/>
          <w:szCs w:val="32"/>
        </w:rPr>
        <w:t>万元，主要用于安全应急保障。费用支出较年初预算数增加</w:t>
      </w:r>
      <w:r>
        <w:rPr>
          <w:rFonts w:hint="eastAsia"/>
          <w:sz w:val="32"/>
          <w:szCs w:val="32"/>
        </w:rPr>
        <w:t>12.58</w:t>
      </w:r>
      <w:r>
        <w:rPr>
          <w:rFonts w:hint="eastAsia"/>
          <w:sz w:val="32"/>
          <w:szCs w:val="32"/>
        </w:rPr>
        <w:t>万元，增长</w:t>
      </w:r>
      <w:r>
        <w:rPr>
          <w:rFonts w:hint="eastAsia"/>
          <w:sz w:val="32"/>
          <w:szCs w:val="32"/>
        </w:rPr>
        <w:t>100%</w:t>
      </w:r>
      <w:r>
        <w:rPr>
          <w:rFonts w:hint="eastAsia"/>
          <w:sz w:val="32"/>
          <w:szCs w:val="32"/>
        </w:rPr>
        <w:t>，较上年支出数增加</w:t>
      </w:r>
      <w:r>
        <w:rPr>
          <w:rFonts w:hint="eastAsia"/>
          <w:sz w:val="32"/>
          <w:szCs w:val="32"/>
        </w:rPr>
        <w:t>12.58</w:t>
      </w:r>
      <w:r>
        <w:rPr>
          <w:rFonts w:hint="eastAsia"/>
          <w:sz w:val="32"/>
          <w:szCs w:val="32"/>
        </w:rPr>
        <w:t>万元，增长</w:t>
      </w:r>
      <w:r>
        <w:rPr>
          <w:rFonts w:hint="eastAsia"/>
          <w:sz w:val="32"/>
          <w:szCs w:val="32"/>
        </w:rPr>
        <w:t>100%</w:t>
      </w:r>
      <w:r>
        <w:rPr>
          <w:rFonts w:hint="eastAsia"/>
          <w:sz w:val="32"/>
          <w:szCs w:val="32"/>
        </w:rPr>
        <w:t>，较年初预算和上年决算增长的主要原因是本年度上级资金安排购买安全应急车辆</w:t>
      </w:r>
      <w:r>
        <w:rPr>
          <w:rFonts w:hint="eastAsia"/>
          <w:sz w:val="32"/>
          <w:szCs w:val="32"/>
        </w:rPr>
        <w:t>1</w:t>
      </w:r>
      <w:r>
        <w:rPr>
          <w:rFonts w:hint="eastAsia"/>
          <w:sz w:val="32"/>
          <w:szCs w:val="32"/>
        </w:rPr>
        <w:t>台。</w:t>
      </w:r>
      <w:r>
        <w:rPr>
          <w:rFonts w:hint="eastAsia"/>
          <w:sz w:val="32"/>
          <w:szCs w:val="32"/>
        </w:rPr>
        <w:t xml:space="preserve"> </w:t>
      </w:r>
    </w:p>
    <w:p w:rsidR="00000000" w:rsidRDefault="00EE4D28">
      <w:pPr>
        <w:rPr>
          <w:rFonts w:hint="eastAsia"/>
          <w:sz w:val="32"/>
          <w:szCs w:val="32"/>
        </w:rPr>
      </w:pPr>
      <w:r>
        <w:rPr>
          <w:rFonts w:hint="eastAsia"/>
          <w:sz w:val="32"/>
          <w:szCs w:val="32"/>
        </w:rPr>
        <w:t xml:space="preserve">    </w:t>
      </w:r>
      <w:r>
        <w:rPr>
          <w:rFonts w:hint="eastAsia"/>
          <w:sz w:val="32"/>
          <w:szCs w:val="32"/>
        </w:rPr>
        <w:t>公务车运行维护费</w:t>
      </w:r>
      <w:r>
        <w:rPr>
          <w:rFonts w:hint="eastAsia"/>
          <w:sz w:val="32"/>
          <w:szCs w:val="32"/>
        </w:rPr>
        <w:t>15.60</w:t>
      </w:r>
      <w:r>
        <w:rPr>
          <w:rFonts w:hint="eastAsia"/>
          <w:sz w:val="32"/>
          <w:szCs w:val="32"/>
        </w:rPr>
        <w:t>万元，主要用于本单位公务车辆开展公务活动而产生的燃料费、维修费、过路过桥费、保险费等。费用支出较年初预算数减少</w:t>
      </w:r>
      <w:r>
        <w:rPr>
          <w:rFonts w:hint="eastAsia"/>
          <w:sz w:val="32"/>
          <w:szCs w:val="32"/>
        </w:rPr>
        <w:t>4.62</w:t>
      </w:r>
      <w:r>
        <w:rPr>
          <w:rFonts w:hint="eastAsia"/>
          <w:sz w:val="32"/>
          <w:szCs w:val="32"/>
        </w:rPr>
        <w:t>万元，下降</w:t>
      </w:r>
      <w:r>
        <w:rPr>
          <w:rFonts w:hint="eastAsia"/>
          <w:sz w:val="32"/>
          <w:szCs w:val="32"/>
        </w:rPr>
        <w:t>22.8%</w:t>
      </w:r>
      <w:r>
        <w:rPr>
          <w:rFonts w:hint="eastAsia"/>
          <w:sz w:val="32"/>
          <w:szCs w:val="32"/>
        </w:rPr>
        <w:t>，</w:t>
      </w:r>
      <w:r>
        <w:rPr>
          <w:rFonts w:ascii="方正仿宋_GBK" w:eastAsia="方正仿宋_GBK" w:hint="eastAsia"/>
          <w:color w:val="333333"/>
          <w:sz w:val="32"/>
          <w:szCs w:val="32"/>
          <w:shd w:val="clear" w:color="auto" w:fill="FFFFFF"/>
        </w:rPr>
        <w:t>主要原因是严格落实公车使用规定。</w:t>
      </w:r>
      <w:r>
        <w:rPr>
          <w:rFonts w:hint="eastAsia"/>
          <w:sz w:val="32"/>
          <w:szCs w:val="32"/>
        </w:rPr>
        <w:t>较上</w:t>
      </w:r>
      <w:r>
        <w:rPr>
          <w:rFonts w:hint="eastAsia"/>
          <w:sz w:val="32"/>
          <w:szCs w:val="32"/>
        </w:rPr>
        <w:t>年支出数增加</w:t>
      </w:r>
      <w:r>
        <w:rPr>
          <w:rFonts w:hint="eastAsia"/>
          <w:sz w:val="32"/>
          <w:szCs w:val="32"/>
        </w:rPr>
        <w:t>1.71</w:t>
      </w:r>
      <w:r>
        <w:rPr>
          <w:rFonts w:hint="eastAsia"/>
          <w:sz w:val="32"/>
          <w:szCs w:val="32"/>
        </w:rPr>
        <w:t>万元，增长</w:t>
      </w:r>
      <w:r>
        <w:rPr>
          <w:rFonts w:hint="eastAsia"/>
          <w:sz w:val="32"/>
          <w:szCs w:val="32"/>
        </w:rPr>
        <w:t>12.3%</w:t>
      </w:r>
      <w:r>
        <w:rPr>
          <w:rFonts w:hint="eastAsia"/>
          <w:sz w:val="32"/>
          <w:szCs w:val="32"/>
        </w:rPr>
        <w:t>，主要原因是本年度各项工作多导致下村用车多，有的车辆使用年限长，维护成本增加。</w:t>
      </w:r>
    </w:p>
    <w:p w:rsidR="00000000" w:rsidRDefault="00EE4D28">
      <w:pPr>
        <w:rPr>
          <w:rFonts w:hint="eastAsia"/>
          <w:sz w:val="32"/>
          <w:szCs w:val="32"/>
        </w:rPr>
      </w:pPr>
      <w:r>
        <w:rPr>
          <w:rFonts w:hint="eastAsia"/>
          <w:sz w:val="32"/>
          <w:szCs w:val="32"/>
        </w:rPr>
        <w:t xml:space="preserve">    </w:t>
      </w:r>
      <w:r>
        <w:rPr>
          <w:rFonts w:hint="eastAsia"/>
          <w:sz w:val="32"/>
          <w:szCs w:val="32"/>
        </w:rPr>
        <w:t>公务接待费</w:t>
      </w:r>
      <w:r>
        <w:rPr>
          <w:rFonts w:hint="eastAsia"/>
          <w:sz w:val="32"/>
          <w:szCs w:val="32"/>
        </w:rPr>
        <w:t>4.15</w:t>
      </w:r>
      <w:r>
        <w:rPr>
          <w:rFonts w:hint="eastAsia"/>
          <w:sz w:val="32"/>
          <w:szCs w:val="32"/>
        </w:rPr>
        <w:t>万元，主要用于接待上级部门检查工作、招商引资等发生的公务接待费。费用支出较年初预算数减少</w:t>
      </w:r>
      <w:r>
        <w:rPr>
          <w:rFonts w:hint="eastAsia"/>
          <w:sz w:val="32"/>
          <w:szCs w:val="32"/>
        </w:rPr>
        <w:t>12.35</w:t>
      </w:r>
      <w:r>
        <w:rPr>
          <w:rFonts w:hint="eastAsia"/>
          <w:sz w:val="32"/>
          <w:szCs w:val="32"/>
        </w:rPr>
        <w:t>万元，下降</w:t>
      </w:r>
      <w:r>
        <w:rPr>
          <w:rFonts w:hint="eastAsia"/>
          <w:sz w:val="32"/>
          <w:szCs w:val="32"/>
        </w:rPr>
        <w:t>74.8%</w:t>
      </w:r>
      <w:r>
        <w:rPr>
          <w:rFonts w:hint="eastAsia"/>
          <w:sz w:val="32"/>
          <w:szCs w:val="32"/>
        </w:rPr>
        <w:t>，较上年支出数减少</w:t>
      </w:r>
      <w:r>
        <w:rPr>
          <w:rFonts w:hint="eastAsia"/>
          <w:sz w:val="32"/>
          <w:szCs w:val="32"/>
        </w:rPr>
        <w:t>1.30</w:t>
      </w:r>
      <w:r>
        <w:rPr>
          <w:rFonts w:hint="eastAsia"/>
          <w:sz w:val="32"/>
          <w:szCs w:val="32"/>
        </w:rPr>
        <w:t>万元，下降</w:t>
      </w:r>
      <w:r>
        <w:rPr>
          <w:rFonts w:hint="eastAsia"/>
          <w:sz w:val="32"/>
          <w:szCs w:val="32"/>
        </w:rPr>
        <w:t>23.9%</w:t>
      </w:r>
      <w:r>
        <w:rPr>
          <w:rFonts w:hint="eastAsia"/>
          <w:sz w:val="32"/>
          <w:szCs w:val="32"/>
        </w:rPr>
        <w:t>，较年初预算和上年决算下降的主要原因是强化公务接待支出管理，严格遵守公务接待开支范围和开支标准，严格控制陪餐人数。</w:t>
      </w:r>
    </w:p>
    <w:p w:rsidR="00000000" w:rsidRDefault="00EE4D28">
      <w:pPr>
        <w:rPr>
          <w:rFonts w:hint="eastAsia"/>
          <w:sz w:val="32"/>
          <w:szCs w:val="32"/>
        </w:rPr>
      </w:pPr>
      <w:r>
        <w:rPr>
          <w:rFonts w:hint="eastAsia"/>
          <w:sz w:val="32"/>
          <w:szCs w:val="32"/>
        </w:rPr>
        <w:t xml:space="preserve">  </w:t>
      </w:r>
      <w:r>
        <w:rPr>
          <w:rFonts w:hint="eastAsia"/>
          <w:sz w:val="32"/>
          <w:szCs w:val="32"/>
        </w:rPr>
        <w:t>（三）“三公”经费实物量情况。</w:t>
      </w:r>
    </w:p>
    <w:p w:rsidR="00000000" w:rsidRDefault="00EE4D28">
      <w:pPr>
        <w:rPr>
          <w:rFonts w:hint="eastAsia"/>
          <w:sz w:val="32"/>
          <w:szCs w:val="32"/>
        </w:rPr>
      </w:pPr>
      <w:r>
        <w:rPr>
          <w:rFonts w:hint="eastAsia"/>
          <w:sz w:val="32"/>
          <w:szCs w:val="32"/>
        </w:rPr>
        <w:t xml:space="preserve">   2021</w:t>
      </w:r>
      <w:r>
        <w:rPr>
          <w:rFonts w:hint="eastAsia"/>
          <w:sz w:val="32"/>
          <w:szCs w:val="32"/>
        </w:rPr>
        <w:t>年度本部门因公出国（境）共计</w:t>
      </w:r>
      <w:r>
        <w:rPr>
          <w:rFonts w:hint="eastAsia"/>
          <w:sz w:val="32"/>
          <w:szCs w:val="32"/>
        </w:rPr>
        <w:t>0</w:t>
      </w:r>
      <w:r>
        <w:rPr>
          <w:rFonts w:hint="eastAsia"/>
          <w:sz w:val="32"/>
          <w:szCs w:val="32"/>
        </w:rPr>
        <w:t>个团组</w:t>
      </w:r>
      <w:r>
        <w:rPr>
          <w:rFonts w:hint="eastAsia"/>
          <w:sz w:val="32"/>
          <w:szCs w:val="32"/>
        </w:rPr>
        <w:t>，</w:t>
      </w:r>
      <w:r>
        <w:rPr>
          <w:rFonts w:hint="eastAsia"/>
          <w:sz w:val="32"/>
          <w:szCs w:val="32"/>
        </w:rPr>
        <w:t>0</w:t>
      </w:r>
      <w:r>
        <w:rPr>
          <w:rFonts w:hint="eastAsia"/>
          <w:sz w:val="32"/>
          <w:szCs w:val="32"/>
        </w:rPr>
        <w:t>人；公务用车购置</w:t>
      </w:r>
      <w:r>
        <w:rPr>
          <w:rFonts w:hint="eastAsia"/>
          <w:sz w:val="32"/>
          <w:szCs w:val="32"/>
        </w:rPr>
        <w:t>1</w:t>
      </w:r>
      <w:r>
        <w:rPr>
          <w:rFonts w:hint="eastAsia"/>
          <w:sz w:val="32"/>
          <w:szCs w:val="32"/>
        </w:rPr>
        <w:t>辆，公务车保有量为</w:t>
      </w:r>
      <w:r>
        <w:rPr>
          <w:rFonts w:hint="eastAsia"/>
          <w:sz w:val="32"/>
          <w:szCs w:val="32"/>
        </w:rPr>
        <w:t>4</w:t>
      </w:r>
      <w:r>
        <w:rPr>
          <w:rFonts w:hint="eastAsia"/>
          <w:sz w:val="32"/>
          <w:szCs w:val="32"/>
        </w:rPr>
        <w:t>辆；国内公务接待</w:t>
      </w:r>
      <w:r>
        <w:rPr>
          <w:rFonts w:hint="eastAsia"/>
          <w:sz w:val="32"/>
          <w:szCs w:val="32"/>
        </w:rPr>
        <w:t>145</w:t>
      </w:r>
      <w:r>
        <w:rPr>
          <w:rFonts w:hint="eastAsia"/>
          <w:sz w:val="32"/>
          <w:szCs w:val="32"/>
        </w:rPr>
        <w:t>批次</w:t>
      </w:r>
      <w:r>
        <w:rPr>
          <w:rFonts w:hint="eastAsia"/>
          <w:sz w:val="32"/>
          <w:szCs w:val="32"/>
        </w:rPr>
        <w:t>1,012</w:t>
      </w:r>
      <w:r>
        <w:rPr>
          <w:rFonts w:hint="eastAsia"/>
          <w:sz w:val="32"/>
          <w:szCs w:val="32"/>
        </w:rPr>
        <w:t>人，其中：国内外事接待</w:t>
      </w:r>
      <w:r>
        <w:rPr>
          <w:rFonts w:hint="eastAsia"/>
          <w:sz w:val="32"/>
          <w:szCs w:val="32"/>
        </w:rPr>
        <w:t>0</w:t>
      </w:r>
      <w:r>
        <w:rPr>
          <w:rFonts w:hint="eastAsia"/>
          <w:sz w:val="32"/>
          <w:szCs w:val="32"/>
        </w:rPr>
        <w:t>批次，</w:t>
      </w:r>
      <w:r>
        <w:rPr>
          <w:rFonts w:hint="eastAsia"/>
          <w:sz w:val="32"/>
          <w:szCs w:val="32"/>
        </w:rPr>
        <w:t>0</w:t>
      </w:r>
      <w:r>
        <w:rPr>
          <w:rFonts w:hint="eastAsia"/>
          <w:sz w:val="32"/>
          <w:szCs w:val="32"/>
        </w:rPr>
        <w:t>人；国（境）外公务接待</w:t>
      </w:r>
      <w:r>
        <w:rPr>
          <w:rFonts w:hint="eastAsia"/>
          <w:sz w:val="32"/>
          <w:szCs w:val="32"/>
        </w:rPr>
        <w:t>0</w:t>
      </w:r>
      <w:r>
        <w:rPr>
          <w:rFonts w:hint="eastAsia"/>
          <w:sz w:val="32"/>
          <w:szCs w:val="32"/>
        </w:rPr>
        <w:t>批次，</w:t>
      </w:r>
      <w:r>
        <w:rPr>
          <w:rFonts w:hint="eastAsia"/>
          <w:sz w:val="32"/>
          <w:szCs w:val="32"/>
        </w:rPr>
        <w:t>0</w:t>
      </w:r>
      <w:r>
        <w:rPr>
          <w:rFonts w:hint="eastAsia"/>
          <w:sz w:val="32"/>
          <w:szCs w:val="32"/>
        </w:rPr>
        <w:t>人。</w:t>
      </w:r>
      <w:r>
        <w:rPr>
          <w:rFonts w:hint="eastAsia"/>
          <w:sz w:val="32"/>
          <w:szCs w:val="32"/>
        </w:rPr>
        <w:t>2021</w:t>
      </w:r>
      <w:r>
        <w:rPr>
          <w:rFonts w:hint="eastAsia"/>
          <w:sz w:val="32"/>
          <w:szCs w:val="32"/>
        </w:rPr>
        <w:t>年本部门人均接待</w:t>
      </w:r>
      <w:r>
        <w:rPr>
          <w:rFonts w:hint="eastAsia"/>
          <w:sz w:val="32"/>
          <w:szCs w:val="32"/>
        </w:rPr>
        <w:lastRenderedPageBreak/>
        <w:t>费</w:t>
      </w:r>
      <w:r>
        <w:rPr>
          <w:rFonts w:hint="eastAsia"/>
          <w:sz w:val="32"/>
          <w:szCs w:val="32"/>
        </w:rPr>
        <w:t>41.00</w:t>
      </w:r>
      <w:r>
        <w:rPr>
          <w:rFonts w:hint="eastAsia"/>
          <w:sz w:val="32"/>
          <w:szCs w:val="32"/>
        </w:rPr>
        <w:t>元，车均购置费</w:t>
      </w:r>
      <w:r>
        <w:rPr>
          <w:rFonts w:hint="eastAsia"/>
          <w:sz w:val="32"/>
          <w:szCs w:val="32"/>
        </w:rPr>
        <w:t>12.58</w:t>
      </w:r>
      <w:r>
        <w:rPr>
          <w:rFonts w:hint="eastAsia"/>
          <w:sz w:val="32"/>
          <w:szCs w:val="32"/>
        </w:rPr>
        <w:t>万元，车均维护费</w:t>
      </w:r>
      <w:r>
        <w:rPr>
          <w:rFonts w:hint="eastAsia"/>
          <w:sz w:val="32"/>
          <w:szCs w:val="32"/>
        </w:rPr>
        <w:t>3.90</w:t>
      </w:r>
      <w:r>
        <w:rPr>
          <w:rFonts w:hint="eastAsia"/>
          <w:sz w:val="32"/>
          <w:szCs w:val="32"/>
        </w:rPr>
        <w:t>万元。</w:t>
      </w:r>
    </w:p>
    <w:p w:rsidR="00000000" w:rsidRDefault="00EE4D28">
      <w:pPr>
        <w:rPr>
          <w:rFonts w:hint="eastAsia"/>
          <w:sz w:val="32"/>
          <w:szCs w:val="32"/>
        </w:rPr>
      </w:pPr>
      <w:r>
        <w:rPr>
          <w:rFonts w:hint="eastAsia"/>
          <w:sz w:val="32"/>
          <w:szCs w:val="32"/>
        </w:rPr>
        <w:t xml:space="preserve">   </w:t>
      </w:r>
      <w:r>
        <w:rPr>
          <w:rFonts w:hint="eastAsia"/>
          <w:sz w:val="32"/>
          <w:szCs w:val="32"/>
        </w:rPr>
        <w:t>四、其他需要说明的事项</w:t>
      </w:r>
    </w:p>
    <w:p w:rsidR="00000000" w:rsidRDefault="00EE4D28">
      <w:pPr>
        <w:rPr>
          <w:rFonts w:hint="eastAsia"/>
          <w:sz w:val="32"/>
          <w:szCs w:val="32"/>
        </w:rPr>
      </w:pPr>
      <w:r>
        <w:rPr>
          <w:rFonts w:hint="eastAsia"/>
          <w:sz w:val="32"/>
          <w:szCs w:val="32"/>
        </w:rPr>
        <w:t xml:space="preserve">  </w:t>
      </w:r>
      <w:r>
        <w:rPr>
          <w:rFonts w:hint="eastAsia"/>
          <w:sz w:val="32"/>
          <w:szCs w:val="32"/>
        </w:rPr>
        <w:t>（一）一般公共预算财政拨款会议费和培训费情况说明。</w:t>
      </w:r>
    </w:p>
    <w:p w:rsidR="00000000" w:rsidRDefault="00EE4D28">
      <w:pPr>
        <w:rPr>
          <w:rFonts w:hint="eastAsia"/>
          <w:sz w:val="32"/>
          <w:szCs w:val="32"/>
        </w:rPr>
      </w:pPr>
      <w:r>
        <w:rPr>
          <w:rFonts w:hint="eastAsia"/>
          <w:sz w:val="32"/>
          <w:szCs w:val="32"/>
        </w:rPr>
        <w:t xml:space="preserve">   </w:t>
      </w:r>
      <w:r>
        <w:rPr>
          <w:rFonts w:hint="eastAsia"/>
          <w:sz w:val="32"/>
          <w:szCs w:val="32"/>
        </w:rPr>
        <w:t>本年度会议费支出</w:t>
      </w:r>
      <w:r>
        <w:rPr>
          <w:rFonts w:hint="eastAsia"/>
          <w:sz w:val="32"/>
          <w:szCs w:val="32"/>
        </w:rPr>
        <w:t>11.43</w:t>
      </w:r>
      <w:r>
        <w:rPr>
          <w:rFonts w:hint="eastAsia"/>
          <w:sz w:val="32"/>
          <w:szCs w:val="32"/>
        </w:rPr>
        <w:t>万元，较上年决算数增加</w:t>
      </w:r>
      <w:r>
        <w:rPr>
          <w:rFonts w:hint="eastAsia"/>
          <w:sz w:val="32"/>
          <w:szCs w:val="32"/>
        </w:rPr>
        <w:t>8.93</w:t>
      </w:r>
      <w:r>
        <w:rPr>
          <w:rFonts w:hint="eastAsia"/>
          <w:sz w:val="32"/>
          <w:szCs w:val="32"/>
        </w:rPr>
        <w:t>万元，增长</w:t>
      </w:r>
      <w:r>
        <w:rPr>
          <w:rFonts w:hint="eastAsia"/>
          <w:sz w:val="32"/>
          <w:szCs w:val="32"/>
        </w:rPr>
        <w:t>357.2%</w:t>
      </w:r>
      <w:r>
        <w:rPr>
          <w:rFonts w:hint="eastAsia"/>
          <w:sz w:val="32"/>
          <w:szCs w:val="32"/>
        </w:rPr>
        <w:t>，主要原因是本年度为县乡人大换届，因此会议费比上年度多。本年度培训费支出</w:t>
      </w:r>
      <w:r>
        <w:rPr>
          <w:rFonts w:hint="eastAsia"/>
          <w:sz w:val="32"/>
          <w:szCs w:val="32"/>
        </w:rPr>
        <w:t>2.82</w:t>
      </w:r>
      <w:r>
        <w:rPr>
          <w:rFonts w:hint="eastAsia"/>
          <w:sz w:val="32"/>
          <w:szCs w:val="32"/>
        </w:rPr>
        <w:t>万元，较上年决算数减少</w:t>
      </w:r>
      <w:r>
        <w:rPr>
          <w:rFonts w:hint="eastAsia"/>
          <w:sz w:val="32"/>
          <w:szCs w:val="32"/>
        </w:rPr>
        <w:t>4.18</w:t>
      </w:r>
      <w:r>
        <w:rPr>
          <w:rFonts w:hint="eastAsia"/>
          <w:sz w:val="32"/>
          <w:szCs w:val="32"/>
        </w:rPr>
        <w:t>万元，下降</w:t>
      </w:r>
      <w:r>
        <w:rPr>
          <w:rFonts w:hint="eastAsia"/>
          <w:sz w:val="32"/>
          <w:szCs w:val="32"/>
        </w:rPr>
        <w:t>59.7%</w:t>
      </w:r>
      <w:r>
        <w:rPr>
          <w:rFonts w:hint="eastAsia"/>
          <w:sz w:val="32"/>
          <w:szCs w:val="32"/>
        </w:rPr>
        <w:t>，主要原因是上级专项培训费减少。</w:t>
      </w:r>
    </w:p>
    <w:p w:rsidR="00000000" w:rsidRDefault="00EE4D28">
      <w:pPr>
        <w:rPr>
          <w:rFonts w:hint="eastAsia"/>
          <w:sz w:val="32"/>
          <w:szCs w:val="32"/>
        </w:rPr>
      </w:pPr>
      <w:r>
        <w:rPr>
          <w:rFonts w:hint="eastAsia"/>
          <w:sz w:val="32"/>
          <w:szCs w:val="32"/>
        </w:rPr>
        <w:t xml:space="preserve">    </w:t>
      </w:r>
      <w:r>
        <w:rPr>
          <w:rFonts w:hint="eastAsia"/>
          <w:sz w:val="32"/>
          <w:szCs w:val="32"/>
        </w:rPr>
        <w:t>（二）机关运行经费情况说明。</w:t>
      </w:r>
    </w:p>
    <w:p w:rsidR="00000000" w:rsidRDefault="00EE4D28">
      <w:pPr>
        <w:rPr>
          <w:rFonts w:hint="eastAsia"/>
          <w:sz w:val="32"/>
          <w:szCs w:val="32"/>
        </w:rPr>
      </w:pPr>
      <w:r>
        <w:rPr>
          <w:rFonts w:hint="eastAsia"/>
          <w:sz w:val="32"/>
          <w:szCs w:val="32"/>
        </w:rPr>
        <w:t xml:space="preserve">     2021</w:t>
      </w:r>
      <w:r>
        <w:rPr>
          <w:rFonts w:hint="eastAsia"/>
          <w:sz w:val="32"/>
          <w:szCs w:val="32"/>
        </w:rPr>
        <w:t>年度本部门机关运行经费支出</w:t>
      </w:r>
      <w:r>
        <w:rPr>
          <w:rFonts w:hint="eastAsia"/>
          <w:sz w:val="32"/>
          <w:szCs w:val="32"/>
        </w:rPr>
        <w:t>293.65</w:t>
      </w:r>
      <w:r>
        <w:rPr>
          <w:rFonts w:hint="eastAsia"/>
          <w:sz w:val="32"/>
          <w:szCs w:val="32"/>
        </w:rPr>
        <w:t>万元，机关运行经费主要用于开支办公费、邮电费、水电费、劳务费、差旅费、会议费、培训费、公务接待费、公务车辆运行维护费等费用。机关运行经费较上年决算数减少</w:t>
      </w:r>
      <w:r>
        <w:rPr>
          <w:rFonts w:hint="eastAsia"/>
          <w:sz w:val="32"/>
          <w:szCs w:val="32"/>
        </w:rPr>
        <w:t>2.46</w:t>
      </w:r>
      <w:r>
        <w:rPr>
          <w:rFonts w:hint="eastAsia"/>
          <w:sz w:val="32"/>
          <w:szCs w:val="32"/>
        </w:rPr>
        <w:t>万元，下降</w:t>
      </w:r>
      <w:r>
        <w:rPr>
          <w:rFonts w:hint="eastAsia"/>
          <w:sz w:val="32"/>
          <w:szCs w:val="32"/>
        </w:rPr>
        <w:t>0.8%</w:t>
      </w:r>
      <w:r>
        <w:rPr>
          <w:rFonts w:hint="eastAsia"/>
          <w:sz w:val="32"/>
          <w:szCs w:val="32"/>
        </w:rPr>
        <w:t>，主要原因是压减了支出。</w:t>
      </w:r>
      <w:r>
        <w:rPr>
          <w:rFonts w:hint="eastAsia"/>
          <w:sz w:val="32"/>
          <w:szCs w:val="32"/>
        </w:rPr>
        <w:t xml:space="preserve"> </w:t>
      </w:r>
    </w:p>
    <w:p w:rsidR="00000000" w:rsidRDefault="00EE4D28">
      <w:pPr>
        <w:rPr>
          <w:rFonts w:hint="eastAsia"/>
          <w:sz w:val="32"/>
          <w:szCs w:val="32"/>
        </w:rPr>
      </w:pPr>
      <w:r>
        <w:rPr>
          <w:rFonts w:hint="eastAsia"/>
          <w:sz w:val="32"/>
          <w:szCs w:val="32"/>
        </w:rPr>
        <w:t xml:space="preserve">  </w:t>
      </w:r>
      <w:r>
        <w:rPr>
          <w:rFonts w:hint="eastAsia"/>
          <w:sz w:val="32"/>
          <w:szCs w:val="32"/>
        </w:rPr>
        <w:t>（三）国有资产占用情况说明。</w:t>
      </w:r>
    </w:p>
    <w:p w:rsidR="00000000" w:rsidRDefault="00EE4D28">
      <w:pPr>
        <w:rPr>
          <w:rFonts w:hint="eastAsia"/>
          <w:sz w:val="32"/>
          <w:szCs w:val="32"/>
        </w:rPr>
      </w:pPr>
      <w:r>
        <w:rPr>
          <w:rFonts w:hint="eastAsia"/>
          <w:sz w:val="32"/>
          <w:szCs w:val="32"/>
        </w:rPr>
        <w:t xml:space="preserve">  </w:t>
      </w:r>
      <w:r>
        <w:rPr>
          <w:rFonts w:hint="eastAsia"/>
          <w:sz w:val="32"/>
          <w:szCs w:val="32"/>
        </w:rPr>
        <w:t>截至</w:t>
      </w:r>
      <w:r>
        <w:rPr>
          <w:rFonts w:hint="eastAsia"/>
          <w:sz w:val="32"/>
          <w:szCs w:val="32"/>
        </w:rPr>
        <w:t>2021</w:t>
      </w:r>
      <w:r>
        <w:rPr>
          <w:rFonts w:hint="eastAsia"/>
          <w:sz w:val="32"/>
          <w:szCs w:val="32"/>
        </w:rPr>
        <w:t>年</w:t>
      </w:r>
      <w:r>
        <w:rPr>
          <w:rFonts w:hint="eastAsia"/>
          <w:sz w:val="32"/>
          <w:szCs w:val="32"/>
        </w:rPr>
        <w:t>12</w:t>
      </w:r>
      <w:r>
        <w:rPr>
          <w:rFonts w:hint="eastAsia"/>
          <w:sz w:val="32"/>
          <w:szCs w:val="32"/>
        </w:rPr>
        <w:t>月</w:t>
      </w:r>
      <w:r>
        <w:rPr>
          <w:rFonts w:hint="eastAsia"/>
          <w:sz w:val="32"/>
          <w:szCs w:val="32"/>
        </w:rPr>
        <w:t>31</w:t>
      </w:r>
      <w:r>
        <w:rPr>
          <w:rFonts w:hint="eastAsia"/>
          <w:sz w:val="32"/>
          <w:szCs w:val="32"/>
        </w:rPr>
        <w:t>日，本部门共有车辆</w:t>
      </w:r>
      <w:r>
        <w:rPr>
          <w:rFonts w:hint="eastAsia"/>
          <w:sz w:val="32"/>
          <w:szCs w:val="32"/>
        </w:rPr>
        <w:t>4</w:t>
      </w:r>
      <w:r>
        <w:rPr>
          <w:rFonts w:hint="eastAsia"/>
          <w:sz w:val="32"/>
          <w:szCs w:val="32"/>
        </w:rPr>
        <w:t>辆，其中，副部（省）级及以上领导用车</w:t>
      </w:r>
      <w:r>
        <w:rPr>
          <w:rFonts w:hint="eastAsia"/>
          <w:sz w:val="32"/>
          <w:szCs w:val="32"/>
        </w:rPr>
        <w:t>0</w:t>
      </w:r>
      <w:r>
        <w:rPr>
          <w:rFonts w:hint="eastAsia"/>
          <w:sz w:val="32"/>
          <w:szCs w:val="32"/>
        </w:rPr>
        <w:t>辆、主要领导干部用车</w:t>
      </w:r>
      <w:r>
        <w:rPr>
          <w:rFonts w:hint="eastAsia"/>
          <w:sz w:val="32"/>
          <w:szCs w:val="32"/>
        </w:rPr>
        <w:t>0</w:t>
      </w:r>
      <w:r>
        <w:rPr>
          <w:rFonts w:hint="eastAsia"/>
          <w:sz w:val="32"/>
          <w:szCs w:val="32"/>
        </w:rPr>
        <w:t>辆、机要</w:t>
      </w:r>
      <w:r>
        <w:rPr>
          <w:rFonts w:hint="eastAsia"/>
          <w:sz w:val="32"/>
          <w:szCs w:val="32"/>
        </w:rPr>
        <w:t>通信用车</w:t>
      </w:r>
      <w:r>
        <w:rPr>
          <w:rFonts w:hint="eastAsia"/>
          <w:sz w:val="32"/>
          <w:szCs w:val="32"/>
        </w:rPr>
        <w:t>0</w:t>
      </w:r>
      <w:r>
        <w:rPr>
          <w:rFonts w:hint="eastAsia"/>
          <w:sz w:val="32"/>
          <w:szCs w:val="32"/>
        </w:rPr>
        <w:t>辆、应急保障用车</w:t>
      </w:r>
      <w:r>
        <w:rPr>
          <w:rFonts w:hint="eastAsia"/>
          <w:sz w:val="32"/>
          <w:szCs w:val="32"/>
        </w:rPr>
        <w:t>4</w:t>
      </w:r>
      <w:r>
        <w:rPr>
          <w:rFonts w:hint="eastAsia"/>
          <w:sz w:val="32"/>
          <w:szCs w:val="32"/>
        </w:rPr>
        <w:t>辆、执法执勤用车</w:t>
      </w:r>
      <w:r>
        <w:rPr>
          <w:rFonts w:hint="eastAsia"/>
          <w:sz w:val="32"/>
          <w:szCs w:val="32"/>
        </w:rPr>
        <w:t>0</w:t>
      </w:r>
      <w:r>
        <w:rPr>
          <w:rFonts w:hint="eastAsia"/>
          <w:sz w:val="32"/>
          <w:szCs w:val="32"/>
        </w:rPr>
        <w:t>辆，特种专业技术用车</w:t>
      </w:r>
      <w:r>
        <w:rPr>
          <w:rFonts w:hint="eastAsia"/>
          <w:sz w:val="32"/>
          <w:szCs w:val="32"/>
        </w:rPr>
        <w:t>0</w:t>
      </w:r>
      <w:r>
        <w:rPr>
          <w:rFonts w:hint="eastAsia"/>
          <w:sz w:val="32"/>
          <w:szCs w:val="32"/>
        </w:rPr>
        <w:t>辆，离退休干部用车</w:t>
      </w:r>
      <w:r>
        <w:rPr>
          <w:rFonts w:hint="eastAsia"/>
          <w:sz w:val="32"/>
          <w:szCs w:val="32"/>
        </w:rPr>
        <w:t>0</w:t>
      </w:r>
      <w:r>
        <w:rPr>
          <w:rFonts w:hint="eastAsia"/>
          <w:sz w:val="32"/>
          <w:szCs w:val="32"/>
        </w:rPr>
        <w:t>辆，其他用车</w:t>
      </w:r>
      <w:r>
        <w:rPr>
          <w:rFonts w:hint="eastAsia"/>
          <w:sz w:val="32"/>
          <w:szCs w:val="32"/>
        </w:rPr>
        <w:t>0</w:t>
      </w:r>
      <w:r>
        <w:rPr>
          <w:rFonts w:hint="eastAsia"/>
          <w:sz w:val="32"/>
          <w:szCs w:val="32"/>
        </w:rPr>
        <w:t>辆。单价</w:t>
      </w:r>
      <w:r>
        <w:rPr>
          <w:rFonts w:hint="eastAsia"/>
          <w:sz w:val="32"/>
          <w:szCs w:val="32"/>
        </w:rPr>
        <w:t>50</w:t>
      </w:r>
      <w:r>
        <w:rPr>
          <w:rFonts w:hint="eastAsia"/>
          <w:sz w:val="32"/>
          <w:szCs w:val="32"/>
        </w:rPr>
        <w:t>万元（含）以上通用设备</w:t>
      </w:r>
      <w:r>
        <w:rPr>
          <w:rFonts w:hint="eastAsia"/>
          <w:sz w:val="32"/>
          <w:szCs w:val="32"/>
        </w:rPr>
        <w:t>0</w:t>
      </w:r>
      <w:r>
        <w:rPr>
          <w:rFonts w:hint="eastAsia"/>
          <w:sz w:val="32"/>
          <w:szCs w:val="32"/>
        </w:rPr>
        <w:t>台（套），单价</w:t>
      </w:r>
      <w:r>
        <w:rPr>
          <w:rFonts w:hint="eastAsia"/>
          <w:sz w:val="32"/>
          <w:szCs w:val="32"/>
        </w:rPr>
        <w:t>100</w:t>
      </w:r>
      <w:r>
        <w:rPr>
          <w:rFonts w:hint="eastAsia"/>
          <w:sz w:val="32"/>
          <w:szCs w:val="32"/>
        </w:rPr>
        <w:t>万元（含）以上专用设备</w:t>
      </w:r>
      <w:r>
        <w:rPr>
          <w:rFonts w:hint="eastAsia"/>
          <w:sz w:val="32"/>
          <w:szCs w:val="32"/>
        </w:rPr>
        <w:t>0</w:t>
      </w:r>
      <w:r>
        <w:rPr>
          <w:rFonts w:hint="eastAsia"/>
          <w:sz w:val="32"/>
          <w:szCs w:val="32"/>
        </w:rPr>
        <w:t>台（套）。</w:t>
      </w:r>
    </w:p>
    <w:p w:rsidR="00000000" w:rsidRDefault="00EE4D28">
      <w:pPr>
        <w:rPr>
          <w:rFonts w:hint="eastAsia"/>
          <w:sz w:val="32"/>
          <w:szCs w:val="32"/>
        </w:rPr>
      </w:pPr>
      <w:r>
        <w:rPr>
          <w:rFonts w:hint="eastAsia"/>
          <w:sz w:val="32"/>
          <w:szCs w:val="32"/>
        </w:rPr>
        <w:lastRenderedPageBreak/>
        <w:t xml:space="preserve">    </w:t>
      </w:r>
      <w:r>
        <w:rPr>
          <w:rFonts w:hint="eastAsia"/>
          <w:sz w:val="32"/>
          <w:szCs w:val="32"/>
        </w:rPr>
        <w:t>（四）政府采购支出情况说明。</w:t>
      </w:r>
    </w:p>
    <w:p w:rsidR="00000000" w:rsidRDefault="00EE4D28">
      <w:pPr>
        <w:rPr>
          <w:rFonts w:hint="eastAsia"/>
          <w:sz w:val="32"/>
          <w:szCs w:val="32"/>
        </w:rPr>
      </w:pPr>
      <w:r>
        <w:rPr>
          <w:rFonts w:hint="eastAsia"/>
          <w:sz w:val="32"/>
          <w:szCs w:val="32"/>
        </w:rPr>
        <w:t xml:space="preserve">    2021</w:t>
      </w:r>
      <w:r>
        <w:rPr>
          <w:rFonts w:hint="eastAsia"/>
          <w:sz w:val="32"/>
          <w:szCs w:val="32"/>
        </w:rPr>
        <w:t>年度本部门政府采购支出总额</w:t>
      </w:r>
      <w:r>
        <w:rPr>
          <w:rFonts w:hint="eastAsia"/>
          <w:sz w:val="32"/>
          <w:szCs w:val="32"/>
        </w:rPr>
        <w:t>2,371.01</w:t>
      </w:r>
      <w:r>
        <w:rPr>
          <w:rFonts w:hint="eastAsia"/>
          <w:sz w:val="32"/>
          <w:szCs w:val="32"/>
        </w:rPr>
        <w:t>万元，其中：政府采购货物支出</w:t>
      </w:r>
      <w:r>
        <w:rPr>
          <w:rFonts w:hint="eastAsia"/>
          <w:sz w:val="32"/>
          <w:szCs w:val="32"/>
        </w:rPr>
        <w:t>0.00</w:t>
      </w:r>
      <w:r>
        <w:rPr>
          <w:rFonts w:hint="eastAsia"/>
          <w:sz w:val="32"/>
          <w:szCs w:val="32"/>
        </w:rPr>
        <w:t>万元、政府采购工程支出</w:t>
      </w:r>
      <w:r>
        <w:rPr>
          <w:rFonts w:hint="eastAsia"/>
          <w:sz w:val="32"/>
          <w:szCs w:val="32"/>
        </w:rPr>
        <w:t>2,371.01</w:t>
      </w:r>
      <w:r>
        <w:rPr>
          <w:rFonts w:hint="eastAsia"/>
          <w:sz w:val="32"/>
          <w:szCs w:val="32"/>
        </w:rPr>
        <w:t>万元、政府采购服务支出</w:t>
      </w:r>
      <w:r>
        <w:rPr>
          <w:rFonts w:hint="eastAsia"/>
          <w:sz w:val="32"/>
          <w:szCs w:val="32"/>
        </w:rPr>
        <w:t>0.00</w:t>
      </w:r>
      <w:r>
        <w:rPr>
          <w:rFonts w:hint="eastAsia"/>
          <w:sz w:val="32"/>
          <w:szCs w:val="32"/>
        </w:rPr>
        <w:t>万元。授予中小企业合同金额</w:t>
      </w:r>
      <w:r>
        <w:rPr>
          <w:rFonts w:hint="eastAsia"/>
          <w:sz w:val="32"/>
          <w:szCs w:val="32"/>
        </w:rPr>
        <w:t>0.00</w:t>
      </w:r>
      <w:r>
        <w:rPr>
          <w:rFonts w:hint="eastAsia"/>
          <w:sz w:val="32"/>
          <w:szCs w:val="32"/>
        </w:rPr>
        <w:t>万元，占政府采购支出总额的</w:t>
      </w:r>
      <w:r>
        <w:rPr>
          <w:rFonts w:hint="eastAsia"/>
          <w:sz w:val="32"/>
          <w:szCs w:val="32"/>
        </w:rPr>
        <w:t>0%</w:t>
      </w:r>
      <w:r>
        <w:rPr>
          <w:rFonts w:hint="eastAsia"/>
          <w:sz w:val="32"/>
          <w:szCs w:val="32"/>
        </w:rPr>
        <w:t>，其中：授予小微企业合同金额</w:t>
      </w:r>
      <w:r>
        <w:rPr>
          <w:rFonts w:hint="eastAsia"/>
          <w:sz w:val="32"/>
          <w:szCs w:val="32"/>
        </w:rPr>
        <w:t>0.00</w:t>
      </w:r>
      <w:r>
        <w:rPr>
          <w:rFonts w:hint="eastAsia"/>
          <w:sz w:val="32"/>
          <w:szCs w:val="32"/>
        </w:rPr>
        <w:t>万元，占政府采购支</w:t>
      </w:r>
      <w:r>
        <w:rPr>
          <w:rFonts w:hint="eastAsia"/>
          <w:sz w:val="32"/>
          <w:szCs w:val="32"/>
        </w:rPr>
        <w:t>出总额的</w:t>
      </w:r>
      <w:r>
        <w:rPr>
          <w:rFonts w:hint="eastAsia"/>
          <w:sz w:val="32"/>
          <w:szCs w:val="32"/>
        </w:rPr>
        <w:t>0%</w:t>
      </w:r>
      <w:r>
        <w:rPr>
          <w:rFonts w:hint="eastAsia"/>
          <w:sz w:val="32"/>
          <w:szCs w:val="32"/>
        </w:rPr>
        <w:t>。主要用于采购丰都县龙孔镇移民安置区精准帮扶农村人饮水项目和丰都县龙孔河龙孔场镇河道治理工程。</w:t>
      </w:r>
    </w:p>
    <w:p w:rsidR="00000000" w:rsidRDefault="00EE4D28">
      <w:pPr>
        <w:rPr>
          <w:rFonts w:hint="eastAsia"/>
          <w:sz w:val="32"/>
          <w:szCs w:val="32"/>
        </w:rPr>
      </w:pPr>
      <w:r>
        <w:rPr>
          <w:rFonts w:hint="eastAsia"/>
          <w:sz w:val="32"/>
          <w:szCs w:val="32"/>
        </w:rPr>
        <w:t xml:space="preserve">    </w:t>
      </w:r>
      <w:r>
        <w:rPr>
          <w:rFonts w:hint="eastAsia"/>
          <w:sz w:val="32"/>
          <w:szCs w:val="32"/>
        </w:rPr>
        <w:t>五、预算绩效管理情况说明</w:t>
      </w:r>
    </w:p>
    <w:p w:rsidR="00000000" w:rsidRDefault="00EE4D28">
      <w:pPr>
        <w:rPr>
          <w:rFonts w:hint="eastAsia"/>
          <w:sz w:val="32"/>
          <w:szCs w:val="32"/>
        </w:rPr>
      </w:pPr>
      <w:r>
        <w:rPr>
          <w:rFonts w:hint="eastAsia"/>
          <w:sz w:val="32"/>
          <w:szCs w:val="32"/>
        </w:rPr>
        <w:t xml:space="preserve">  </w:t>
      </w:r>
      <w:r>
        <w:rPr>
          <w:rFonts w:hint="eastAsia"/>
          <w:sz w:val="32"/>
          <w:szCs w:val="32"/>
        </w:rPr>
        <w:t>（一）预算绩效管理工作开展情况。</w:t>
      </w:r>
    </w:p>
    <w:p w:rsidR="00000000" w:rsidRDefault="00EE4D28">
      <w:pPr>
        <w:pStyle w:val="Char1"/>
        <w:shd w:val="clear" w:color="auto" w:fill="FFFFFF"/>
        <w:wordWrap w:val="0"/>
        <w:spacing w:before="0" w:beforeAutospacing="0" w:after="0" w:afterAutospacing="0" w:line="600" w:lineRule="atLeast"/>
        <w:ind w:firstLine="420"/>
        <w:rPr>
          <w:rFonts w:ascii="方正仿宋_GBK" w:eastAsia="方正仿宋_GBK" w:hint="eastAsia"/>
          <w:color w:val="333333"/>
          <w:sz w:val="32"/>
          <w:szCs w:val="32"/>
          <w:shd w:val="clear" w:color="auto" w:fill="FFFFFF"/>
        </w:rPr>
      </w:pPr>
      <w:r>
        <w:rPr>
          <w:rFonts w:hint="eastAsia"/>
          <w:sz w:val="32"/>
          <w:szCs w:val="32"/>
          <w:shd w:val="clear" w:color="auto" w:fill="FFFFFF"/>
        </w:rPr>
        <w:t xml:space="preserve"> </w:t>
      </w:r>
      <w:r>
        <w:rPr>
          <w:rFonts w:ascii="方正仿宋_GBK" w:eastAsia="方正仿宋_GBK" w:hint="eastAsia"/>
          <w:color w:val="333333"/>
          <w:sz w:val="32"/>
          <w:szCs w:val="32"/>
          <w:shd w:val="clear" w:color="auto" w:fill="FFFFFF"/>
        </w:rPr>
        <w:t>根据预算绩效管理要求，本单位对部门整体和</w:t>
      </w:r>
      <w:r>
        <w:rPr>
          <w:rFonts w:ascii="方正仿宋_GBK" w:eastAsia="方正仿宋_GBK" w:hint="eastAsia"/>
          <w:color w:val="333333"/>
          <w:sz w:val="32"/>
          <w:szCs w:val="32"/>
          <w:shd w:val="clear" w:color="auto" w:fill="FFFFFF"/>
        </w:rPr>
        <w:t xml:space="preserve"> 97</w:t>
      </w:r>
      <w:r>
        <w:rPr>
          <w:rFonts w:ascii="方正仿宋_GBK" w:eastAsia="方正仿宋_GBK" w:hint="eastAsia"/>
          <w:color w:val="333333"/>
          <w:sz w:val="32"/>
          <w:szCs w:val="32"/>
          <w:shd w:val="clear" w:color="auto" w:fill="FFFFFF"/>
        </w:rPr>
        <w:t>个项目开展了绩效自评，其中以填报自评表形式开展自评</w:t>
      </w:r>
      <w:r>
        <w:rPr>
          <w:rFonts w:ascii="方正仿宋_GBK" w:eastAsia="方正仿宋_GBK" w:hint="eastAsia"/>
          <w:color w:val="333333"/>
          <w:sz w:val="32"/>
          <w:szCs w:val="32"/>
          <w:shd w:val="clear" w:color="auto" w:fill="FFFFFF"/>
        </w:rPr>
        <w:t xml:space="preserve"> 97</w:t>
      </w:r>
      <w:r>
        <w:rPr>
          <w:rFonts w:ascii="方正仿宋_GBK" w:eastAsia="方正仿宋_GBK" w:hint="eastAsia"/>
          <w:color w:val="333333"/>
          <w:sz w:val="32"/>
          <w:szCs w:val="32"/>
          <w:shd w:val="clear" w:color="auto" w:fill="FFFFFF"/>
        </w:rPr>
        <w:t>项，涉及资金</w:t>
      </w:r>
      <w:r>
        <w:rPr>
          <w:rFonts w:ascii="方正仿宋_GBK" w:eastAsia="方正仿宋_GBK" w:hint="eastAsia"/>
          <w:color w:val="333333"/>
          <w:sz w:val="32"/>
          <w:szCs w:val="32"/>
          <w:shd w:val="clear" w:color="auto" w:fill="FFFFFF"/>
        </w:rPr>
        <w:t xml:space="preserve"> 6558.93</w:t>
      </w:r>
      <w:r>
        <w:rPr>
          <w:rFonts w:ascii="方正仿宋_GBK" w:eastAsia="方正仿宋_GBK" w:hint="eastAsia"/>
          <w:color w:val="333333"/>
          <w:sz w:val="32"/>
          <w:szCs w:val="32"/>
          <w:shd w:val="clear" w:color="auto" w:fill="FFFFFF"/>
        </w:rPr>
        <w:t>万元；从评价情况来看，项目立项较为规范，绩效目标明确，预算编制合理，管理科学规范，资金到位及时，总体完成情况较好，有力保障了项目运行，项目基本达到了预期绩效目标。</w:t>
      </w:r>
    </w:p>
    <w:p w:rsidR="00000000" w:rsidRDefault="00EE4D28">
      <w:pPr>
        <w:rPr>
          <w:rFonts w:hint="eastAsia"/>
          <w:sz w:val="32"/>
          <w:szCs w:val="32"/>
        </w:rPr>
      </w:pPr>
      <w:r>
        <w:rPr>
          <w:rFonts w:hint="eastAsia"/>
          <w:sz w:val="32"/>
          <w:szCs w:val="32"/>
        </w:rPr>
        <w:t xml:space="preserve">  </w:t>
      </w:r>
      <w:r>
        <w:rPr>
          <w:rFonts w:hint="eastAsia"/>
          <w:sz w:val="32"/>
          <w:szCs w:val="32"/>
        </w:rPr>
        <w:t>（二）绩效自评结果。</w:t>
      </w:r>
    </w:p>
    <w:p w:rsidR="00000000" w:rsidRDefault="00EE4D28">
      <w:pPr>
        <w:rPr>
          <w:rFonts w:hint="eastAsia"/>
          <w:sz w:val="32"/>
          <w:szCs w:val="32"/>
        </w:rPr>
      </w:pPr>
      <w:r>
        <w:rPr>
          <w:rFonts w:hint="eastAsia"/>
          <w:sz w:val="32"/>
          <w:szCs w:val="32"/>
        </w:rPr>
        <w:t xml:space="preserve">  1.</w:t>
      </w:r>
      <w:r>
        <w:rPr>
          <w:rFonts w:hint="eastAsia"/>
          <w:sz w:val="32"/>
          <w:szCs w:val="32"/>
        </w:rPr>
        <w:t>绩</w:t>
      </w:r>
      <w:r>
        <w:rPr>
          <w:rFonts w:hint="eastAsia"/>
          <w:sz w:val="32"/>
          <w:szCs w:val="32"/>
        </w:rPr>
        <w:t>效目标自评表。</w:t>
      </w:r>
    </w:p>
    <w:p w:rsidR="00000000" w:rsidRDefault="00EE4D28">
      <w:pPr>
        <w:rPr>
          <w:rFonts w:hint="eastAsia"/>
          <w:sz w:val="32"/>
          <w:szCs w:val="32"/>
        </w:rPr>
      </w:pPr>
      <w:r>
        <w:rPr>
          <w:rFonts w:hint="eastAsia"/>
          <w:sz w:val="32"/>
          <w:szCs w:val="32"/>
        </w:rPr>
        <w:t xml:space="preserve">  </w:t>
      </w:r>
    </w:p>
    <w:p w:rsidR="00000000" w:rsidRDefault="00EE4D28">
      <w:pPr>
        <w:rPr>
          <w:rFonts w:hint="eastAsia"/>
          <w:sz w:val="32"/>
          <w:szCs w:val="32"/>
        </w:rPr>
      </w:pPr>
      <w:r>
        <w:rPr>
          <w:rFonts w:hint="eastAsia"/>
          <w:sz w:val="32"/>
          <w:szCs w:val="32"/>
        </w:rPr>
        <w:t xml:space="preserve"> </w:t>
      </w:r>
    </w:p>
    <w:tbl>
      <w:tblPr>
        <w:tblW w:w="9620" w:type="dxa"/>
        <w:tblInd w:w="93" w:type="dxa"/>
        <w:tblLook w:val="04A0"/>
      </w:tblPr>
      <w:tblGrid>
        <w:gridCol w:w="600"/>
        <w:gridCol w:w="740"/>
        <w:gridCol w:w="1120"/>
        <w:gridCol w:w="1120"/>
        <w:gridCol w:w="1120"/>
        <w:gridCol w:w="1840"/>
        <w:gridCol w:w="1660"/>
        <w:gridCol w:w="1420"/>
      </w:tblGrid>
      <w:tr w:rsidR="00000000">
        <w:trPr>
          <w:trHeight w:val="405"/>
        </w:trPr>
        <w:tc>
          <w:tcPr>
            <w:tcW w:w="9620" w:type="dxa"/>
            <w:gridSpan w:val="8"/>
            <w:shd w:val="clear" w:color="auto" w:fill="FFFFFF"/>
            <w:vAlign w:val="center"/>
            <w:hideMark/>
          </w:tcPr>
          <w:p w:rsidR="00000000" w:rsidRDefault="00EE4D28">
            <w:pPr>
              <w:jc w:val="center"/>
              <w:textAlignment w:val="center"/>
              <w:rPr>
                <w:color w:val="000000"/>
                <w:sz w:val="32"/>
                <w:szCs w:val="32"/>
              </w:rPr>
            </w:pPr>
            <w:r>
              <w:rPr>
                <w:rStyle w:val="18"/>
                <w:rFonts w:ascii="宋体" w:hAnsi="宋体" w:hint="eastAsia"/>
                <w:b/>
                <w:bCs/>
                <w:color w:val="000000"/>
                <w:sz w:val="32"/>
                <w:szCs w:val="32"/>
              </w:rPr>
              <w:t>龙孔镇公路养护资金项目绩效目标自评表</w:t>
            </w:r>
            <w:r>
              <w:rPr>
                <w:rStyle w:val="24"/>
                <w:rFonts w:hint="default"/>
              </w:rPr>
              <w:t xml:space="preserve"> </w:t>
            </w:r>
          </w:p>
        </w:tc>
      </w:tr>
      <w:tr w:rsidR="00000000">
        <w:trPr>
          <w:trHeight w:val="270"/>
        </w:trPr>
        <w:tc>
          <w:tcPr>
            <w:tcW w:w="9620" w:type="dxa"/>
            <w:gridSpan w:val="8"/>
            <w:shd w:val="clear" w:color="auto" w:fill="FFFFFF"/>
            <w:hideMark/>
          </w:tcPr>
          <w:p w:rsidR="00000000" w:rsidRDefault="00EE4D28">
            <w:pPr>
              <w:jc w:val="center"/>
              <w:textAlignment w:val="top"/>
              <w:rPr>
                <w:color w:val="000000"/>
                <w:sz w:val="22"/>
                <w:szCs w:val="22"/>
              </w:rPr>
            </w:pPr>
            <w:r>
              <w:rPr>
                <w:rFonts w:hint="eastAsia"/>
                <w:color w:val="000000"/>
                <w:sz w:val="22"/>
                <w:szCs w:val="22"/>
              </w:rPr>
              <w:t>（</w:t>
            </w:r>
            <w:r>
              <w:rPr>
                <w:rFonts w:hint="eastAsia"/>
                <w:color w:val="000000"/>
                <w:sz w:val="22"/>
                <w:szCs w:val="22"/>
              </w:rPr>
              <w:t>2021</w:t>
            </w:r>
            <w:r>
              <w:rPr>
                <w:rFonts w:hint="eastAsia"/>
                <w:color w:val="000000"/>
                <w:sz w:val="22"/>
                <w:szCs w:val="22"/>
              </w:rPr>
              <w:t>年度）</w:t>
            </w:r>
          </w:p>
        </w:tc>
      </w:tr>
      <w:tr w:rsidR="00000000">
        <w:trPr>
          <w:trHeight w:val="390"/>
        </w:trPr>
        <w:tc>
          <w:tcPr>
            <w:tcW w:w="3580" w:type="dxa"/>
            <w:gridSpan w:val="4"/>
            <w:tcBorders>
              <w:top w:val="nil"/>
              <w:left w:val="nil"/>
              <w:bottom w:val="single" w:sz="4" w:space="0" w:color="auto"/>
              <w:right w:val="nil"/>
            </w:tcBorders>
            <w:shd w:val="clear" w:color="auto" w:fill="FFFFFF"/>
            <w:vAlign w:val="center"/>
            <w:hideMark/>
          </w:tcPr>
          <w:p w:rsidR="00000000" w:rsidRDefault="00EE4D28">
            <w:pPr>
              <w:textAlignment w:val="center"/>
              <w:rPr>
                <w:color w:val="000000"/>
                <w:sz w:val="22"/>
                <w:szCs w:val="22"/>
              </w:rPr>
            </w:pPr>
            <w:r>
              <w:rPr>
                <w:rFonts w:hint="eastAsia"/>
                <w:color w:val="000000"/>
                <w:sz w:val="22"/>
                <w:szCs w:val="22"/>
              </w:rPr>
              <w:t>填报单位（盖章）：龙孔镇人民政府</w:t>
            </w:r>
          </w:p>
        </w:tc>
        <w:tc>
          <w:tcPr>
            <w:tcW w:w="1120" w:type="dxa"/>
            <w:tcBorders>
              <w:top w:val="nil"/>
              <w:left w:val="nil"/>
              <w:bottom w:val="single" w:sz="4" w:space="0" w:color="auto"/>
              <w:right w:val="nil"/>
            </w:tcBorders>
            <w:shd w:val="clear" w:color="auto" w:fill="FFFFFF"/>
            <w:hideMark/>
          </w:tcPr>
          <w:p w:rsidR="00000000" w:rsidRDefault="00EE4D28">
            <w:pPr>
              <w:jc w:val="center"/>
              <w:textAlignment w:val="top"/>
              <w:rPr>
                <w:color w:val="000000"/>
                <w:sz w:val="22"/>
                <w:szCs w:val="22"/>
              </w:rPr>
            </w:pPr>
            <w:r>
              <w:rPr>
                <w:rFonts w:hint="eastAsia"/>
                <w:color w:val="000000"/>
                <w:sz w:val="22"/>
                <w:szCs w:val="22"/>
              </w:rPr>
              <w:t xml:space="preserve">　</w:t>
            </w:r>
          </w:p>
        </w:tc>
        <w:tc>
          <w:tcPr>
            <w:tcW w:w="1840" w:type="dxa"/>
            <w:tcBorders>
              <w:top w:val="nil"/>
              <w:left w:val="nil"/>
              <w:bottom w:val="single" w:sz="4" w:space="0" w:color="auto"/>
              <w:right w:val="nil"/>
            </w:tcBorders>
            <w:shd w:val="clear" w:color="auto" w:fill="FFFFFF"/>
            <w:hideMark/>
          </w:tcPr>
          <w:p w:rsidR="00000000" w:rsidRDefault="00EE4D28">
            <w:pPr>
              <w:jc w:val="center"/>
              <w:textAlignment w:val="top"/>
              <w:rPr>
                <w:color w:val="000000"/>
                <w:sz w:val="22"/>
                <w:szCs w:val="22"/>
              </w:rPr>
            </w:pPr>
            <w:r>
              <w:rPr>
                <w:rFonts w:hint="eastAsia"/>
                <w:color w:val="000000"/>
                <w:sz w:val="22"/>
                <w:szCs w:val="22"/>
              </w:rPr>
              <w:t xml:space="preserve">　</w:t>
            </w:r>
          </w:p>
        </w:tc>
        <w:tc>
          <w:tcPr>
            <w:tcW w:w="3080" w:type="dxa"/>
            <w:gridSpan w:val="2"/>
            <w:tcBorders>
              <w:top w:val="nil"/>
              <w:left w:val="nil"/>
              <w:bottom w:val="single" w:sz="4" w:space="0" w:color="auto"/>
              <w:right w:val="nil"/>
            </w:tcBorders>
            <w:shd w:val="clear" w:color="auto" w:fill="FFFFFF"/>
            <w:vAlign w:val="center"/>
            <w:hideMark/>
          </w:tcPr>
          <w:p w:rsidR="00000000" w:rsidRDefault="00EE4D28">
            <w:pPr>
              <w:textAlignment w:val="center"/>
              <w:rPr>
                <w:color w:val="000000"/>
                <w:sz w:val="22"/>
                <w:szCs w:val="22"/>
              </w:rPr>
            </w:pPr>
            <w:r>
              <w:rPr>
                <w:rFonts w:hint="eastAsia"/>
                <w:color w:val="000000"/>
                <w:sz w:val="22"/>
                <w:szCs w:val="22"/>
              </w:rPr>
              <w:t>填报时间：</w:t>
            </w:r>
            <w:r>
              <w:rPr>
                <w:rFonts w:hint="eastAsia"/>
                <w:color w:val="000000"/>
                <w:sz w:val="22"/>
                <w:szCs w:val="22"/>
              </w:rPr>
              <w:t>2</w:t>
            </w:r>
            <w:r>
              <w:rPr>
                <w:rStyle w:val="19"/>
                <w:rFonts w:hint="default"/>
              </w:rPr>
              <w:t>022.3.25</w:t>
            </w:r>
          </w:p>
        </w:tc>
      </w:tr>
      <w:tr w:rsidR="00000000">
        <w:trPr>
          <w:trHeight w:val="300"/>
        </w:trPr>
        <w:tc>
          <w:tcPr>
            <w:tcW w:w="246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lastRenderedPageBreak/>
              <w:t>（项目）名称</w:t>
            </w:r>
          </w:p>
        </w:tc>
        <w:tc>
          <w:tcPr>
            <w:tcW w:w="7160" w:type="dxa"/>
            <w:gridSpan w:val="5"/>
            <w:tcBorders>
              <w:top w:val="single" w:sz="4" w:space="0" w:color="auto"/>
              <w:left w:val="nil"/>
              <w:bottom w:val="single" w:sz="4" w:space="0" w:color="auto"/>
              <w:right w:val="single" w:sz="4" w:space="0" w:color="000000"/>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龙孔镇公路养护资金项目</w:t>
            </w:r>
          </w:p>
        </w:tc>
      </w:tr>
      <w:tr w:rsidR="00000000">
        <w:trPr>
          <w:trHeight w:val="300"/>
        </w:trPr>
        <w:tc>
          <w:tcPr>
            <w:tcW w:w="246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主管部门</w:t>
            </w:r>
          </w:p>
        </w:tc>
        <w:tc>
          <w:tcPr>
            <w:tcW w:w="2240" w:type="dxa"/>
            <w:gridSpan w:val="2"/>
            <w:tcBorders>
              <w:top w:val="single" w:sz="4" w:space="0" w:color="auto"/>
              <w:left w:val="nil"/>
              <w:bottom w:val="single" w:sz="4" w:space="0" w:color="auto"/>
              <w:right w:val="single" w:sz="4" w:space="0" w:color="auto"/>
            </w:tcBorders>
            <w:shd w:val="clear" w:color="auto" w:fill="FFFFFF"/>
            <w:vAlign w:val="center"/>
            <w:hideMark/>
          </w:tcPr>
          <w:p w:rsidR="00000000" w:rsidRDefault="00EE4D28">
            <w:pPr>
              <w:textAlignment w:val="center"/>
              <w:rPr>
                <w:color w:val="000000"/>
                <w:sz w:val="20"/>
                <w:szCs w:val="20"/>
              </w:rPr>
            </w:pPr>
            <w:r>
              <w:rPr>
                <w:rFonts w:hint="eastAsia"/>
                <w:color w:val="000000"/>
                <w:sz w:val="20"/>
                <w:szCs w:val="20"/>
              </w:rPr>
              <w:t>丰都县交通局</w:t>
            </w:r>
          </w:p>
        </w:tc>
        <w:tc>
          <w:tcPr>
            <w:tcW w:w="1840" w:type="dxa"/>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资金使用单位</w:t>
            </w:r>
          </w:p>
        </w:tc>
        <w:tc>
          <w:tcPr>
            <w:tcW w:w="3080" w:type="dxa"/>
            <w:gridSpan w:val="2"/>
            <w:tcBorders>
              <w:top w:val="single" w:sz="4" w:space="0" w:color="auto"/>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龙孔镇人民政府</w:t>
            </w:r>
          </w:p>
        </w:tc>
      </w:tr>
      <w:tr w:rsidR="00000000">
        <w:trPr>
          <w:trHeight w:val="300"/>
        </w:trPr>
        <w:tc>
          <w:tcPr>
            <w:tcW w:w="2460" w:type="dxa"/>
            <w:gridSpan w:val="3"/>
            <w:vMerge w:val="restart"/>
            <w:tcBorders>
              <w:top w:val="nil"/>
              <w:left w:val="single" w:sz="4" w:space="0" w:color="auto"/>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资金情况（万元）</w:t>
            </w:r>
          </w:p>
        </w:tc>
        <w:tc>
          <w:tcPr>
            <w:tcW w:w="1120" w:type="dxa"/>
            <w:tcBorders>
              <w:top w:val="nil"/>
              <w:left w:val="nil"/>
              <w:bottom w:val="single" w:sz="4" w:space="0" w:color="auto"/>
              <w:right w:val="single" w:sz="4" w:space="0" w:color="auto"/>
            </w:tcBorders>
            <w:shd w:val="clear" w:color="auto" w:fill="FFFFFF"/>
            <w:vAlign w:val="center"/>
            <w:hideMark/>
          </w:tcPr>
          <w:p w:rsidR="00000000" w:rsidRDefault="00EE4D28">
            <w:pPr>
              <w:textAlignment w:val="center"/>
              <w:rPr>
                <w:color w:val="000000"/>
                <w:sz w:val="20"/>
                <w:szCs w:val="20"/>
              </w:rPr>
            </w:pPr>
            <w:r>
              <w:rPr>
                <w:rFonts w:hint="eastAsia"/>
                <w:color w:val="000000"/>
                <w:sz w:val="20"/>
                <w:szCs w:val="20"/>
              </w:rPr>
              <w:t xml:space="preserve">　</w:t>
            </w:r>
          </w:p>
        </w:tc>
        <w:tc>
          <w:tcPr>
            <w:tcW w:w="1120" w:type="dxa"/>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全年预算数（</w:t>
            </w:r>
            <w:r>
              <w:rPr>
                <w:rFonts w:hint="eastAsia"/>
                <w:color w:val="000000"/>
                <w:sz w:val="20"/>
                <w:szCs w:val="20"/>
              </w:rPr>
              <w:t>A</w:t>
            </w:r>
            <w:r>
              <w:rPr>
                <w:rFonts w:hint="eastAsia"/>
                <w:color w:val="000000"/>
                <w:sz w:val="20"/>
                <w:szCs w:val="20"/>
              </w:rPr>
              <w:t>）</w:t>
            </w:r>
          </w:p>
        </w:tc>
        <w:tc>
          <w:tcPr>
            <w:tcW w:w="3500" w:type="dxa"/>
            <w:gridSpan w:val="2"/>
            <w:tcBorders>
              <w:top w:val="single" w:sz="4" w:space="0" w:color="auto"/>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全年执行数（</w:t>
            </w:r>
            <w:r>
              <w:rPr>
                <w:rFonts w:hint="eastAsia"/>
                <w:color w:val="000000"/>
                <w:sz w:val="20"/>
                <w:szCs w:val="20"/>
              </w:rPr>
              <w:t>B</w:t>
            </w:r>
            <w:r>
              <w:rPr>
                <w:rFonts w:hint="eastAsia"/>
                <w:color w:val="000000"/>
                <w:sz w:val="20"/>
                <w:szCs w:val="20"/>
              </w:rPr>
              <w:t>）</w:t>
            </w:r>
          </w:p>
        </w:tc>
        <w:tc>
          <w:tcPr>
            <w:tcW w:w="1420" w:type="dxa"/>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预算执行率（</w:t>
            </w:r>
            <w:r>
              <w:rPr>
                <w:rFonts w:hint="eastAsia"/>
                <w:color w:val="000000"/>
                <w:sz w:val="20"/>
                <w:szCs w:val="20"/>
              </w:rPr>
              <w:t>B/A)</w:t>
            </w:r>
          </w:p>
        </w:tc>
      </w:tr>
      <w:tr w:rsidR="00000000">
        <w:trPr>
          <w:trHeight w:val="300"/>
        </w:trPr>
        <w:tc>
          <w:tcPr>
            <w:tcW w:w="0" w:type="auto"/>
            <w:gridSpan w:val="3"/>
            <w:vMerge/>
            <w:tcBorders>
              <w:top w:val="nil"/>
              <w:left w:val="single" w:sz="4" w:space="0" w:color="auto"/>
              <w:bottom w:val="single" w:sz="4" w:space="0" w:color="auto"/>
              <w:right w:val="single" w:sz="4" w:space="0" w:color="auto"/>
            </w:tcBorders>
            <w:vAlign w:val="center"/>
            <w:hideMark/>
          </w:tcPr>
          <w:p w:rsidR="00000000" w:rsidRDefault="00EE4D28">
            <w:pPr>
              <w:rPr>
                <w:color w:val="000000"/>
                <w:sz w:val="20"/>
                <w:szCs w:val="20"/>
              </w:rPr>
            </w:pPr>
          </w:p>
        </w:tc>
        <w:tc>
          <w:tcPr>
            <w:tcW w:w="1120" w:type="dxa"/>
            <w:tcBorders>
              <w:top w:val="nil"/>
              <w:left w:val="nil"/>
              <w:bottom w:val="single" w:sz="4" w:space="0" w:color="auto"/>
              <w:right w:val="single" w:sz="4" w:space="0" w:color="auto"/>
            </w:tcBorders>
            <w:shd w:val="clear" w:color="auto" w:fill="FFFFFF"/>
            <w:vAlign w:val="center"/>
            <w:hideMark/>
          </w:tcPr>
          <w:p w:rsidR="00000000" w:rsidRDefault="00EE4D28">
            <w:pPr>
              <w:textAlignment w:val="center"/>
              <w:rPr>
                <w:color w:val="000000"/>
                <w:sz w:val="20"/>
                <w:szCs w:val="20"/>
              </w:rPr>
            </w:pPr>
            <w:r>
              <w:rPr>
                <w:rFonts w:hint="eastAsia"/>
                <w:color w:val="000000"/>
                <w:sz w:val="20"/>
                <w:szCs w:val="20"/>
              </w:rPr>
              <w:t>年度资金总额：</w:t>
            </w:r>
          </w:p>
        </w:tc>
        <w:tc>
          <w:tcPr>
            <w:tcW w:w="1120" w:type="dxa"/>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29.51</w:t>
            </w:r>
          </w:p>
        </w:tc>
        <w:tc>
          <w:tcPr>
            <w:tcW w:w="3500" w:type="dxa"/>
            <w:gridSpan w:val="2"/>
            <w:tcBorders>
              <w:top w:val="single" w:sz="4" w:space="0" w:color="auto"/>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29.51</w:t>
            </w:r>
          </w:p>
        </w:tc>
        <w:tc>
          <w:tcPr>
            <w:tcW w:w="1420" w:type="dxa"/>
            <w:tcBorders>
              <w:top w:val="nil"/>
              <w:left w:val="nil"/>
              <w:bottom w:val="single" w:sz="4" w:space="0" w:color="auto"/>
              <w:right w:val="single" w:sz="4" w:space="0" w:color="auto"/>
            </w:tcBorders>
            <w:shd w:val="clear" w:color="auto" w:fill="FFFFFF"/>
            <w:vAlign w:val="center"/>
            <w:hideMark/>
          </w:tcPr>
          <w:p w:rsidR="00000000" w:rsidRDefault="00EE4D28">
            <w:pPr>
              <w:textAlignment w:val="center"/>
              <w:rPr>
                <w:color w:val="000000"/>
                <w:sz w:val="20"/>
                <w:szCs w:val="20"/>
              </w:rPr>
            </w:pPr>
            <w:r>
              <w:rPr>
                <w:rFonts w:hint="eastAsia"/>
                <w:color w:val="000000"/>
                <w:sz w:val="20"/>
                <w:szCs w:val="20"/>
              </w:rPr>
              <w:t>100%</w:t>
            </w:r>
          </w:p>
        </w:tc>
      </w:tr>
      <w:tr w:rsidR="00000000">
        <w:trPr>
          <w:trHeight w:val="300"/>
        </w:trPr>
        <w:tc>
          <w:tcPr>
            <w:tcW w:w="0" w:type="auto"/>
            <w:gridSpan w:val="3"/>
            <w:vMerge/>
            <w:tcBorders>
              <w:top w:val="nil"/>
              <w:left w:val="single" w:sz="4" w:space="0" w:color="auto"/>
              <w:bottom w:val="single" w:sz="4" w:space="0" w:color="auto"/>
              <w:right w:val="single" w:sz="4" w:space="0" w:color="auto"/>
            </w:tcBorders>
            <w:vAlign w:val="center"/>
            <w:hideMark/>
          </w:tcPr>
          <w:p w:rsidR="00000000" w:rsidRDefault="00EE4D28">
            <w:pPr>
              <w:rPr>
                <w:color w:val="000000"/>
                <w:sz w:val="20"/>
                <w:szCs w:val="20"/>
              </w:rPr>
            </w:pPr>
          </w:p>
        </w:tc>
        <w:tc>
          <w:tcPr>
            <w:tcW w:w="1120" w:type="dxa"/>
            <w:tcBorders>
              <w:top w:val="nil"/>
              <w:left w:val="nil"/>
              <w:bottom w:val="single" w:sz="4" w:space="0" w:color="auto"/>
              <w:right w:val="single" w:sz="4" w:space="0" w:color="auto"/>
            </w:tcBorders>
            <w:shd w:val="clear" w:color="auto" w:fill="FFFFFF"/>
            <w:vAlign w:val="center"/>
            <w:hideMark/>
          </w:tcPr>
          <w:p w:rsidR="00000000" w:rsidRDefault="00EE4D28">
            <w:pPr>
              <w:textAlignment w:val="center"/>
              <w:rPr>
                <w:color w:val="000000"/>
                <w:sz w:val="20"/>
                <w:szCs w:val="20"/>
              </w:rPr>
            </w:pPr>
            <w:r>
              <w:rPr>
                <w:rFonts w:hint="eastAsia"/>
                <w:color w:val="000000"/>
                <w:sz w:val="20"/>
                <w:szCs w:val="20"/>
              </w:rPr>
              <w:t xml:space="preserve"> </w:t>
            </w:r>
            <w:r>
              <w:rPr>
                <w:rStyle w:val="21"/>
                <w:rFonts w:hint="default"/>
              </w:rPr>
              <w:t>其中：中央财政资金</w:t>
            </w:r>
          </w:p>
        </w:tc>
        <w:tc>
          <w:tcPr>
            <w:tcW w:w="1120" w:type="dxa"/>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 xml:space="preserve">　</w:t>
            </w:r>
          </w:p>
        </w:tc>
        <w:tc>
          <w:tcPr>
            <w:tcW w:w="3500" w:type="dxa"/>
            <w:gridSpan w:val="2"/>
            <w:tcBorders>
              <w:top w:val="single" w:sz="4" w:space="0" w:color="auto"/>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 xml:space="preserve">　</w:t>
            </w:r>
          </w:p>
        </w:tc>
        <w:tc>
          <w:tcPr>
            <w:tcW w:w="1420" w:type="dxa"/>
            <w:tcBorders>
              <w:top w:val="nil"/>
              <w:left w:val="nil"/>
              <w:bottom w:val="single" w:sz="4" w:space="0" w:color="auto"/>
              <w:right w:val="single" w:sz="4" w:space="0" w:color="auto"/>
            </w:tcBorders>
            <w:shd w:val="clear" w:color="auto" w:fill="FFFFFF"/>
            <w:vAlign w:val="center"/>
            <w:hideMark/>
          </w:tcPr>
          <w:p w:rsidR="00000000" w:rsidRDefault="00EE4D28">
            <w:pPr>
              <w:textAlignment w:val="center"/>
              <w:rPr>
                <w:color w:val="000000"/>
                <w:sz w:val="20"/>
                <w:szCs w:val="20"/>
              </w:rPr>
            </w:pPr>
            <w:r>
              <w:rPr>
                <w:rFonts w:hint="eastAsia"/>
                <w:color w:val="000000"/>
                <w:sz w:val="20"/>
                <w:szCs w:val="20"/>
              </w:rPr>
              <w:t xml:space="preserve">　</w:t>
            </w:r>
          </w:p>
        </w:tc>
      </w:tr>
      <w:tr w:rsidR="00000000">
        <w:trPr>
          <w:trHeight w:val="300"/>
        </w:trPr>
        <w:tc>
          <w:tcPr>
            <w:tcW w:w="0" w:type="auto"/>
            <w:gridSpan w:val="3"/>
            <w:vMerge/>
            <w:tcBorders>
              <w:top w:val="nil"/>
              <w:left w:val="single" w:sz="4" w:space="0" w:color="auto"/>
              <w:bottom w:val="single" w:sz="4" w:space="0" w:color="auto"/>
              <w:right w:val="single" w:sz="4" w:space="0" w:color="auto"/>
            </w:tcBorders>
            <w:vAlign w:val="center"/>
            <w:hideMark/>
          </w:tcPr>
          <w:p w:rsidR="00000000" w:rsidRDefault="00EE4D28">
            <w:pPr>
              <w:rPr>
                <w:color w:val="000000"/>
                <w:sz w:val="20"/>
                <w:szCs w:val="20"/>
              </w:rPr>
            </w:pPr>
          </w:p>
        </w:tc>
        <w:tc>
          <w:tcPr>
            <w:tcW w:w="1120" w:type="dxa"/>
            <w:tcBorders>
              <w:top w:val="nil"/>
              <w:left w:val="nil"/>
              <w:bottom w:val="single" w:sz="4" w:space="0" w:color="auto"/>
              <w:right w:val="single" w:sz="4" w:space="0" w:color="auto"/>
            </w:tcBorders>
            <w:shd w:val="clear" w:color="auto" w:fill="FFFFFF"/>
            <w:vAlign w:val="center"/>
            <w:hideMark/>
          </w:tcPr>
          <w:p w:rsidR="00000000" w:rsidRDefault="00EE4D28">
            <w:pPr>
              <w:textAlignment w:val="center"/>
              <w:rPr>
                <w:color w:val="000000"/>
                <w:sz w:val="20"/>
                <w:szCs w:val="20"/>
              </w:rPr>
            </w:pPr>
            <w:r>
              <w:rPr>
                <w:rFonts w:hint="eastAsia"/>
                <w:color w:val="000000"/>
                <w:sz w:val="20"/>
                <w:szCs w:val="20"/>
              </w:rPr>
              <w:t xml:space="preserve"> </w:t>
            </w:r>
            <w:r>
              <w:rPr>
                <w:rStyle w:val="21"/>
                <w:rFonts w:hint="default"/>
              </w:rPr>
              <w:t xml:space="preserve">      </w:t>
            </w:r>
            <w:r>
              <w:rPr>
                <w:rStyle w:val="21"/>
                <w:rFonts w:hint="default"/>
              </w:rPr>
              <w:t>市级资金</w:t>
            </w:r>
          </w:p>
        </w:tc>
        <w:tc>
          <w:tcPr>
            <w:tcW w:w="1120" w:type="dxa"/>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 xml:space="preserve">　</w:t>
            </w:r>
          </w:p>
        </w:tc>
        <w:tc>
          <w:tcPr>
            <w:tcW w:w="3500" w:type="dxa"/>
            <w:gridSpan w:val="2"/>
            <w:tcBorders>
              <w:top w:val="single" w:sz="4" w:space="0" w:color="auto"/>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 xml:space="preserve">　</w:t>
            </w:r>
          </w:p>
        </w:tc>
        <w:tc>
          <w:tcPr>
            <w:tcW w:w="1420" w:type="dxa"/>
            <w:tcBorders>
              <w:top w:val="nil"/>
              <w:left w:val="nil"/>
              <w:bottom w:val="single" w:sz="4" w:space="0" w:color="auto"/>
              <w:right w:val="single" w:sz="4" w:space="0" w:color="auto"/>
            </w:tcBorders>
            <w:shd w:val="clear" w:color="auto" w:fill="FFFFFF"/>
            <w:vAlign w:val="center"/>
            <w:hideMark/>
          </w:tcPr>
          <w:p w:rsidR="00000000" w:rsidRDefault="00EE4D28">
            <w:pPr>
              <w:textAlignment w:val="center"/>
              <w:rPr>
                <w:color w:val="000000"/>
                <w:sz w:val="20"/>
                <w:szCs w:val="20"/>
              </w:rPr>
            </w:pPr>
            <w:r>
              <w:rPr>
                <w:rFonts w:hint="eastAsia"/>
                <w:color w:val="000000"/>
                <w:sz w:val="20"/>
                <w:szCs w:val="20"/>
              </w:rPr>
              <w:t xml:space="preserve">　</w:t>
            </w:r>
          </w:p>
        </w:tc>
      </w:tr>
      <w:tr w:rsidR="00000000">
        <w:trPr>
          <w:trHeight w:val="300"/>
        </w:trPr>
        <w:tc>
          <w:tcPr>
            <w:tcW w:w="0" w:type="auto"/>
            <w:gridSpan w:val="3"/>
            <w:vMerge/>
            <w:tcBorders>
              <w:top w:val="nil"/>
              <w:left w:val="single" w:sz="4" w:space="0" w:color="auto"/>
              <w:bottom w:val="single" w:sz="4" w:space="0" w:color="auto"/>
              <w:right w:val="single" w:sz="4" w:space="0" w:color="auto"/>
            </w:tcBorders>
            <w:vAlign w:val="center"/>
            <w:hideMark/>
          </w:tcPr>
          <w:p w:rsidR="00000000" w:rsidRDefault="00EE4D28">
            <w:pPr>
              <w:rPr>
                <w:color w:val="000000"/>
                <w:sz w:val="20"/>
                <w:szCs w:val="20"/>
              </w:rPr>
            </w:pPr>
          </w:p>
        </w:tc>
        <w:tc>
          <w:tcPr>
            <w:tcW w:w="1120" w:type="dxa"/>
            <w:tcBorders>
              <w:top w:val="nil"/>
              <w:left w:val="nil"/>
              <w:bottom w:val="single" w:sz="4" w:space="0" w:color="auto"/>
              <w:right w:val="single" w:sz="4" w:space="0" w:color="auto"/>
            </w:tcBorders>
            <w:shd w:val="clear" w:color="auto" w:fill="FFFFFF"/>
            <w:vAlign w:val="center"/>
            <w:hideMark/>
          </w:tcPr>
          <w:p w:rsidR="00000000" w:rsidRDefault="00EE4D28">
            <w:pPr>
              <w:textAlignment w:val="center"/>
              <w:rPr>
                <w:color w:val="000000"/>
                <w:sz w:val="20"/>
                <w:szCs w:val="20"/>
              </w:rPr>
            </w:pPr>
            <w:r>
              <w:rPr>
                <w:rFonts w:hint="eastAsia"/>
                <w:color w:val="000000"/>
                <w:sz w:val="20"/>
                <w:szCs w:val="20"/>
              </w:rPr>
              <w:t xml:space="preserve">       </w:t>
            </w:r>
            <w:r>
              <w:rPr>
                <w:rFonts w:hint="eastAsia"/>
                <w:color w:val="000000"/>
                <w:sz w:val="20"/>
                <w:szCs w:val="20"/>
              </w:rPr>
              <w:t>县级资金</w:t>
            </w:r>
          </w:p>
        </w:tc>
        <w:tc>
          <w:tcPr>
            <w:tcW w:w="1120" w:type="dxa"/>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 xml:space="preserve">　</w:t>
            </w:r>
          </w:p>
        </w:tc>
        <w:tc>
          <w:tcPr>
            <w:tcW w:w="1840" w:type="dxa"/>
            <w:tcBorders>
              <w:top w:val="nil"/>
              <w:left w:val="nil"/>
              <w:bottom w:val="single" w:sz="4" w:space="0" w:color="auto"/>
              <w:right w:val="nil"/>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 xml:space="preserve">　</w:t>
            </w:r>
          </w:p>
        </w:tc>
        <w:tc>
          <w:tcPr>
            <w:tcW w:w="1660" w:type="dxa"/>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 xml:space="preserve">　</w:t>
            </w:r>
          </w:p>
        </w:tc>
        <w:tc>
          <w:tcPr>
            <w:tcW w:w="1420" w:type="dxa"/>
            <w:tcBorders>
              <w:top w:val="nil"/>
              <w:left w:val="nil"/>
              <w:bottom w:val="single" w:sz="4" w:space="0" w:color="auto"/>
              <w:right w:val="single" w:sz="4" w:space="0" w:color="auto"/>
            </w:tcBorders>
            <w:shd w:val="clear" w:color="auto" w:fill="FFFFFF"/>
            <w:vAlign w:val="center"/>
            <w:hideMark/>
          </w:tcPr>
          <w:p w:rsidR="00000000" w:rsidRDefault="00EE4D28">
            <w:pPr>
              <w:textAlignment w:val="center"/>
              <w:rPr>
                <w:color w:val="000000"/>
                <w:sz w:val="20"/>
                <w:szCs w:val="20"/>
              </w:rPr>
            </w:pPr>
            <w:r>
              <w:rPr>
                <w:rFonts w:hint="eastAsia"/>
                <w:color w:val="000000"/>
                <w:sz w:val="20"/>
                <w:szCs w:val="20"/>
              </w:rPr>
              <w:t xml:space="preserve">　</w:t>
            </w:r>
          </w:p>
        </w:tc>
      </w:tr>
      <w:tr w:rsidR="00000000">
        <w:trPr>
          <w:trHeight w:val="300"/>
        </w:trPr>
        <w:tc>
          <w:tcPr>
            <w:tcW w:w="0" w:type="auto"/>
            <w:gridSpan w:val="3"/>
            <w:vMerge/>
            <w:tcBorders>
              <w:top w:val="nil"/>
              <w:left w:val="single" w:sz="4" w:space="0" w:color="auto"/>
              <w:bottom w:val="single" w:sz="4" w:space="0" w:color="auto"/>
              <w:right w:val="single" w:sz="4" w:space="0" w:color="auto"/>
            </w:tcBorders>
            <w:vAlign w:val="center"/>
            <w:hideMark/>
          </w:tcPr>
          <w:p w:rsidR="00000000" w:rsidRDefault="00EE4D28">
            <w:pPr>
              <w:rPr>
                <w:color w:val="000000"/>
                <w:sz w:val="20"/>
                <w:szCs w:val="20"/>
              </w:rPr>
            </w:pPr>
          </w:p>
        </w:tc>
        <w:tc>
          <w:tcPr>
            <w:tcW w:w="1120" w:type="dxa"/>
            <w:tcBorders>
              <w:top w:val="nil"/>
              <w:left w:val="nil"/>
              <w:bottom w:val="single" w:sz="4" w:space="0" w:color="auto"/>
              <w:right w:val="single" w:sz="4" w:space="0" w:color="auto"/>
            </w:tcBorders>
            <w:shd w:val="clear" w:color="auto" w:fill="FFFFFF"/>
            <w:vAlign w:val="center"/>
            <w:hideMark/>
          </w:tcPr>
          <w:p w:rsidR="00000000" w:rsidRDefault="00EE4D28">
            <w:pPr>
              <w:textAlignment w:val="center"/>
              <w:rPr>
                <w:color w:val="000000"/>
                <w:sz w:val="18"/>
                <w:szCs w:val="18"/>
              </w:rPr>
            </w:pPr>
            <w:r>
              <w:rPr>
                <w:rFonts w:hint="eastAsia"/>
                <w:color w:val="000000"/>
                <w:sz w:val="18"/>
                <w:szCs w:val="18"/>
              </w:rPr>
              <w:t xml:space="preserve">      </w:t>
            </w:r>
            <w:r>
              <w:rPr>
                <w:rStyle w:val="21"/>
                <w:rFonts w:hint="default"/>
              </w:rPr>
              <w:t xml:space="preserve">  </w:t>
            </w:r>
            <w:r>
              <w:rPr>
                <w:rStyle w:val="21"/>
                <w:rFonts w:hint="default"/>
              </w:rPr>
              <w:t>其他资金</w:t>
            </w:r>
          </w:p>
        </w:tc>
        <w:tc>
          <w:tcPr>
            <w:tcW w:w="1120" w:type="dxa"/>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29.51</w:t>
            </w:r>
          </w:p>
        </w:tc>
        <w:tc>
          <w:tcPr>
            <w:tcW w:w="3500" w:type="dxa"/>
            <w:gridSpan w:val="2"/>
            <w:tcBorders>
              <w:top w:val="single" w:sz="4" w:space="0" w:color="auto"/>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29.51</w:t>
            </w:r>
          </w:p>
        </w:tc>
        <w:tc>
          <w:tcPr>
            <w:tcW w:w="1420" w:type="dxa"/>
            <w:tcBorders>
              <w:top w:val="nil"/>
              <w:left w:val="nil"/>
              <w:bottom w:val="single" w:sz="4" w:space="0" w:color="auto"/>
              <w:right w:val="single" w:sz="4" w:space="0" w:color="auto"/>
            </w:tcBorders>
            <w:shd w:val="clear" w:color="auto" w:fill="FFFFFF"/>
            <w:vAlign w:val="center"/>
            <w:hideMark/>
          </w:tcPr>
          <w:p w:rsidR="00000000" w:rsidRDefault="00EE4D28">
            <w:pPr>
              <w:textAlignment w:val="center"/>
              <w:rPr>
                <w:color w:val="000000"/>
                <w:sz w:val="20"/>
                <w:szCs w:val="20"/>
              </w:rPr>
            </w:pPr>
            <w:r>
              <w:rPr>
                <w:rFonts w:hint="eastAsia"/>
                <w:color w:val="000000"/>
                <w:sz w:val="20"/>
                <w:szCs w:val="20"/>
              </w:rPr>
              <w:t>100%</w:t>
            </w:r>
          </w:p>
        </w:tc>
      </w:tr>
      <w:tr w:rsidR="00000000">
        <w:trPr>
          <w:trHeight w:val="300"/>
        </w:trPr>
        <w:tc>
          <w:tcPr>
            <w:tcW w:w="600" w:type="dxa"/>
            <w:vMerge w:val="restart"/>
            <w:tcBorders>
              <w:top w:val="nil"/>
              <w:left w:val="single" w:sz="4" w:space="0" w:color="auto"/>
              <w:bottom w:val="single" w:sz="4" w:space="0" w:color="000000"/>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总体目标完成情况</w:t>
            </w:r>
          </w:p>
        </w:tc>
        <w:tc>
          <w:tcPr>
            <w:tcW w:w="4100" w:type="dxa"/>
            <w:gridSpan w:val="4"/>
            <w:tcBorders>
              <w:top w:val="single" w:sz="4" w:space="0" w:color="auto"/>
              <w:left w:val="nil"/>
              <w:bottom w:val="single" w:sz="4" w:space="0" w:color="auto"/>
              <w:right w:val="single" w:sz="4" w:space="0" w:color="000000"/>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总体目标</w:t>
            </w:r>
          </w:p>
        </w:tc>
        <w:tc>
          <w:tcPr>
            <w:tcW w:w="4920" w:type="dxa"/>
            <w:gridSpan w:val="3"/>
            <w:tcBorders>
              <w:top w:val="single" w:sz="4" w:space="0" w:color="auto"/>
              <w:left w:val="nil"/>
              <w:bottom w:val="single" w:sz="4" w:space="0" w:color="auto"/>
              <w:right w:val="single" w:sz="4" w:space="0" w:color="000000"/>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全年实际完成情况</w:t>
            </w:r>
          </w:p>
        </w:tc>
      </w:tr>
      <w:tr w:rsidR="00000000">
        <w:trPr>
          <w:trHeight w:val="915"/>
        </w:trPr>
        <w:tc>
          <w:tcPr>
            <w:tcW w:w="0" w:type="auto"/>
            <w:vMerge/>
            <w:tcBorders>
              <w:top w:val="nil"/>
              <w:left w:val="single" w:sz="4" w:space="0" w:color="auto"/>
              <w:bottom w:val="single" w:sz="4" w:space="0" w:color="000000"/>
              <w:right w:val="single" w:sz="4" w:space="0" w:color="auto"/>
            </w:tcBorders>
            <w:vAlign w:val="center"/>
            <w:hideMark/>
          </w:tcPr>
          <w:p w:rsidR="00000000" w:rsidRDefault="00EE4D28">
            <w:pPr>
              <w:rPr>
                <w:color w:val="000000"/>
                <w:sz w:val="20"/>
                <w:szCs w:val="20"/>
              </w:rPr>
            </w:pPr>
          </w:p>
        </w:tc>
        <w:tc>
          <w:tcPr>
            <w:tcW w:w="4100" w:type="dxa"/>
            <w:gridSpan w:val="4"/>
            <w:tcBorders>
              <w:top w:val="single" w:sz="4" w:space="0" w:color="auto"/>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完成龙孔镇公路日常养护工作</w:t>
            </w:r>
          </w:p>
        </w:tc>
        <w:tc>
          <w:tcPr>
            <w:tcW w:w="4920" w:type="dxa"/>
            <w:gridSpan w:val="3"/>
            <w:tcBorders>
              <w:top w:val="single" w:sz="4" w:space="0" w:color="auto"/>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已完成</w:t>
            </w:r>
          </w:p>
        </w:tc>
      </w:tr>
      <w:tr w:rsidR="00000000">
        <w:trPr>
          <w:trHeight w:val="555"/>
        </w:trPr>
        <w:tc>
          <w:tcPr>
            <w:tcW w:w="600" w:type="dxa"/>
            <w:vMerge w:val="restart"/>
            <w:tcBorders>
              <w:top w:val="nil"/>
              <w:left w:val="single" w:sz="4" w:space="0" w:color="auto"/>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绩效指标</w:t>
            </w:r>
          </w:p>
        </w:tc>
        <w:tc>
          <w:tcPr>
            <w:tcW w:w="740" w:type="dxa"/>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一级</w:t>
            </w:r>
            <w:r>
              <w:rPr>
                <w:rFonts w:hint="eastAsia"/>
                <w:color w:val="000000"/>
                <w:sz w:val="20"/>
                <w:szCs w:val="20"/>
              </w:rPr>
              <w:br/>
            </w:r>
            <w:r>
              <w:rPr>
                <w:rFonts w:hint="eastAsia"/>
                <w:color w:val="000000"/>
                <w:sz w:val="20"/>
                <w:szCs w:val="20"/>
              </w:rPr>
              <w:t>指标</w:t>
            </w:r>
          </w:p>
        </w:tc>
        <w:tc>
          <w:tcPr>
            <w:tcW w:w="1120" w:type="dxa"/>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二级指标</w:t>
            </w:r>
          </w:p>
        </w:tc>
        <w:tc>
          <w:tcPr>
            <w:tcW w:w="2240" w:type="dxa"/>
            <w:gridSpan w:val="2"/>
            <w:tcBorders>
              <w:top w:val="single" w:sz="4" w:space="0" w:color="auto"/>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三级指标</w:t>
            </w:r>
          </w:p>
        </w:tc>
        <w:tc>
          <w:tcPr>
            <w:tcW w:w="1840" w:type="dxa"/>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指标值</w:t>
            </w:r>
          </w:p>
        </w:tc>
        <w:tc>
          <w:tcPr>
            <w:tcW w:w="1660" w:type="dxa"/>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全年实际完成值</w:t>
            </w:r>
          </w:p>
        </w:tc>
        <w:tc>
          <w:tcPr>
            <w:tcW w:w="1420" w:type="dxa"/>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未完成原因和改进措施</w:t>
            </w:r>
          </w:p>
        </w:tc>
      </w:tr>
      <w:tr w:rsidR="00000000">
        <w:trPr>
          <w:trHeight w:val="300"/>
        </w:trPr>
        <w:tc>
          <w:tcPr>
            <w:tcW w:w="0" w:type="auto"/>
            <w:vMerge/>
            <w:tcBorders>
              <w:top w:val="nil"/>
              <w:left w:val="single" w:sz="4" w:space="0" w:color="auto"/>
              <w:bottom w:val="single" w:sz="4" w:space="0" w:color="auto"/>
              <w:right w:val="single" w:sz="4" w:space="0" w:color="auto"/>
            </w:tcBorders>
            <w:vAlign w:val="center"/>
            <w:hideMark/>
          </w:tcPr>
          <w:p w:rsidR="00000000" w:rsidRDefault="00EE4D28">
            <w:pPr>
              <w:rPr>
                <w:color w:val="000000"/>
                <w:sz w:val="20"/>
                <w:szCs w:val="20"/>
              </w:rPr>
            </w:pPr>
          </w:p>
        </w:tc>
        <w:tc>
          <w:tcPr>
            <w:tcW w:w="740" w:type="dxa"/>
            <w:vMerge w:val="restart"/>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sz w:val="20"/>
                <w:szCs w:val="20"/>
              </w:rPr>
            </w:pPr>
            <w:r>
              <w:rPr>
                <w:rFonts w:hint="eastAsia"/>
                <w:sz w:val="20"/>
                <w:szCs w:val="20"/>
              </w:rPr>
              <w:t>产</w:t>
            </w:r>
            <w:r>
              <w:rPr>
                <w:rFonts w:hint="eastAsia"/>
                <w:sz w:val="20"/>
                <w:szCs w:val="20"/>
              </w:rPr>
              <w:br/>
            </w:r>
            <w:r>
              <w:rPr>
                <w:rFonts w:hint="eastAsia"/>
                <w:sz w:val="20"/>
                <w:szCs w:val="20"/>
              </w:rPr>
              <w:t>出</w:t>
            </w:r>
            <w:r>
              <w:rPr>
                <w:rFonts w:hint="eastAsia"/>
                <w:sz w:val="20"/>
                <w:szCs w:val="20"/>
              </w:rPr>
              <w:br/>
            </w:r>
            <w:r>
              <w:rPr>
                <w:rFonts w:hint="eastAsia"/>
                <w:sz w:val="20"/>
                <w:szCs w:val="20"/>
              </w:rPr>
              <w:t>指</w:t>
            </w:r>
            <w:r>
              <w:rPr>
                <w:rFonts w:hint="eastAsia"/>
                <w:sz w:val="20"/>
                <w:szCs w:val="20"/>
              </w:rPr>
              <w:br/>
            </w:r>
            <w:r>
              <w:rPr>
                <w:rFonts w:hint="eastAsia"/>
                <w:sz w:val="20"/>
                <w:szCs w:val="20"/>
              </w:rPr>
              <w:t>标</w:t>
            </w:r>
          </w:p>
        </w:tc>
        <w:tc>
          <w:tcPr>
            <w:tcW w:w="1120" w:type="dxa"/>
            <w:vMerge w:val="restart"/>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sz w:val="20"/>
                <w:szCs w:val="20"/>
              </w:rPr>
            </w:pPr>
            <w:r>
              <w:rPr>
                <w:rFonts w:hint="eastAsia"/>
                <w:sz w:val="20"/>
                <w:szCs w:val="20"/>
              </w:rPr>
              <w:t>数量指标</w:t>
            </w:r>
          </w:p>
        </w:tc>
        <w:tc>
          <w:tcPr>
            <w:tcW w:w="2240" w:type="dxa"/>
            <w:gridSpan w:val="2"/>
            <w:tcBorders>
              <w:top w:val="single" w:sz="4" w:space="0" w:color="auto"/>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养护总里程</w:t>
            </w:r>
          </w:p>
        </w:tc>
        <w:tc>
          <w:tcPr>
            <w:tcW w:w="1840" w:type="dxa"/>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173.93km</w:t>
            </w:r>
          </w:p>
        </w:tc>
        <w:tc>
          <w:tcPr>
            <w:tcW w:w="1660" w:type="dxa"/>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173.93km</w:t>
            </w:r>
          </w:p>
        </w:tc>
        <w:tc>
          <w:tcPr>
            <w:tcW w:w="1420" w:type="dxa"/>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 xml:space="preserve">　</w:t>
            </w:r>
          </w:p>
        </w:tc>
      </w:tr>
      <w:tr w:rsidR="00000000">
        <w:trPr>
          <w:trHeight w:val="300"/>
        </w:trPr>
        <w:tc>
          <w:tcPr>
            <w:tcW w:w="0" w:type="auto"/>
            <w:vMerge/>
            <w:tcBorders>
              <w:top w:val="nil"/>
              <w:left w:val="single" w:sz="4" w:space="0" w:color="auto"/>
              <w:bottom w:val="single" w:sz="4" w:space="0" w:color="auto"/>
              <w:right w:val="single" w:sz="4" w:space="0" w:color="auto"/>
            </w:tcBorders>
            <w:vAlign w:val="center"/>
            <w:hideMark/>
          </w:tcPr>
          <w:p w:rsidR="00000000" w:rsidRDefault="00EE4D28">
            <w:pPr>
              <w:rPr>
                <w:color w:val="000000"/>
                <w:sz w:val="20"/>
                <w:szCs w:val="20"/>
              </w:rPr>
            </w:pPr>
          </w:p>
        </w:tc>
        <w:tc>
          <w:tcPr>
            <w:tcW w:w="0" w:type="auto"/>
            <w:vMerge/>
            <w:tcBorders>
              <w:top w:val="nil"/>
              <w:left w:val="nil"/>
              <w:bottom w:val="single" w:sz="4" w:space="0" w:color="auto"/>
              <w:right w:val="single" w:sz="4" w:space="0" w:color="auto"/>
            </w:tcBorders>
            <w:vAlign w:val="center"/>
            <w:hideMark/>
          </w:tcPr>
          <w:p w:rsidR="00000000" w:rsidRDefault="00EE4D28">
            <w:pPr>
              <w:rPr>
                <w:sz w:val="20"/>
                <w:szCs w:val="20"/>
              </w:rPr>
            </w:pPr>
          </w:p>
        </w:tc>
        <w:tc>
          <w:tcPr>
            <w:tcW w:w="0" w:type="auto"/>
            <w:vMerge/>
            <w:tcBorders>
              <w:top w:val="nil"/>
              <w:left w:val="nil"/>
              <w:bottom w:val="single" w:sz="4" w:space="0" w:color="auto"/>
              <w:right w:val="single" w:sz="4" w:space="0" w:color="auto"/>
            </w:tcBorders>
            <w:vAlign w:val="center"/>
            <w:hideMark/>
          </w:tcPr>
          <w:p w:rsidR="00000000" w:rsidRDefault="00EE4D28">
            <w:pPr>
              <w:rPr>
                <w:sz w:val="20"/>
                <w:szCs w:val="20"/>
              </w:rPr>
            </w:pPr>
          </w:p>
        </w:tc>
        <w:tc>
          <w:tcPr>
            <w:tcW w:w="2240" w:type="dxa"/>
            <w:gridSpan w:val="2"/>
            <w:tcBorders>
              <w:top w:val="single" w:sz="4" w:space="0" w:color="auto"/>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乡道养护里程</w:t>
            </w:r>
          </w:p>
        </w:tc>
        <w:tc>
          <w:tcPr>
            <w:tcW w:w="1840" w:type="dxa"/>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31.78km</w:t>
            </w:r>
          </w:p>
        </w:tc>
        <w:tc>
          <w:tcPr>
            <w:tcW w:w="1660" w:type="dxa"/>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31.78km</w:t>
            </w:r>
          </w:p>
        </w:tc>
        <w:tc>
          <w:tcPr>
            <w:tcW w:w="1420" w:type="dxa"/>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 xml:space="preserve">　</w:t>
            </w:r>
          </w:p>
        </w:tc>
      </w:tr>
      <w:tr w:rsidR="00000000">
        <w:trPr>
          <w:trHeight w:val="300"/>
        </w:trPr>
        <w:tc>
          <w:tcPr>
            <w:tcW w:w="0" w:type="auto"/>
            <w:vMerge/>
            <w:tcBorders>
              <w:top w:val="nil"/>
              <w:left w:val="single" w:sz="4" w:space="0" w:color="auto"/>
              <w:bottom w:val="single" w:sz="4" w:space="0" w:color="auto"/>
              <w:right w:val="single" w:sz="4" w:space="0" w:color="auto"/>
            </w:tcBorders>
            <w:vAlign w:val="center"/>
            <w:hideMark/>
          </w:tcPr>
          <w:p w:rsidR="00000000" w:rsidRDefault="00EE4D28">
            <w:pPr>
              <w:rPr>
                <w:color w:val="000000"/>
                <w:sz w:val="20"/>
                <w:szCs w:val="20"/>
              </w:rPr>
            </w:pPr>
          </w:p>
        </w:tc>
        <w:tc>
          <w:tcPr>
            <w:tcW w:w="0" w:type="auto"/>
            <w:vMerge/>
            <w:tcBorders>
              <w:top w:val="nil"/>
              <w:left w:val="nil"/>
              <w:bottom w:val="single" w:sz="4" w:space="0" w:color="auto"/>
              <w:right w:val="single" w:sz="4" w:space="0" w:color="auto"/>
            </w:tcBorders>
            <w:vAlign w:val="center"/>
            <w:hideMark/>
          </w:tcPr>
          <w:p w:rsidR="00000000" w:rsidRDefault="00EE4D28">
            <w:pPr>
              <w:rPr>
                <w:sz w:val="20"/>
                <w:szCs w:val="20"/>
              </w:rPr>
            </w:pPr>
          </w:p>
        </w:tc>
        <w:tc>
          <w:tcPr>
            <w:tcW w:w="0" w:type="auto"/>
            <w:vMerge/>
            <w:tcBorders>
              <w:top w:val="nil"/>
              <w:left w:val="nil"/>
              <w:bottom w:val="single" w:sz="4" w:space="0" w:color="auto"/>
              <w:right w:val="single" w:sz="4" w:space="0" w:color="auto"/>
            </w:tcBorders>
            <w:vAlign w:val="center"/>
            <w:hideMark/>
          </w:tcPr>
          <w:p w:rsidR="00000000" w:rsidRDefault="00EE4D28">
            <w:pPr>
              <w:rPr>
                <w:sz w:val="20"/>
                <w:szCs w:val="20"/>
              </w:rPr>
            </w:pPr>
          </w:p>
        </w:tc>
        <w:tc>
          <w:tcPr>
            <w:tcW w:w="2240" w:type="dxa"/>
            <w:gridSpan w:val="2"/>
            <w:tcBorders>
              <w:top w:val="single" w:sz="4" w:space="0" w:color="auto"/>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村道养护里程</w:t>
            </w:r>
          </w:p>
        </w:tc>
        <w:tc>
          <w:tcPr>
            <w:tcW w:w="1840" w:type="dxa"/>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142.15</w:t>
            </w:r>
          </w:p>
        </w:tc>
        <w:tc>
          <w:tcPr>
            <w:tcW w:w="1660" w:type="dxa"/>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142.15</w:t>
            </w:r>
          </w:p>
        </w:tc>
        <w:tc>
          <w:tcPr>
            <w:tcW w:w="1420" w:type="dxa"/>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 xml:space="preserve">　</w:t>
            </w:r>
          </w:p>
        </w:tc>
      </w:tr>
      <w:tr w:rsidR="00000000">
        <w:trPr>
          <w:trHeight w:val="300"/>
        </w:trPr>
        <w:tc>
          <w:tcPr>
            <w:tcW w:w="0" w:type="auto"/>
            <w:vMerge/>
            <w:tcBorders>
              <w:top w:val="nil"/>
              <w:left w:val="single" w:sz="4" w:space="0" w:color="auto"/>
              <w:bottom w:val="single" w:sz="4" w:space="0" w:color="auto"/>
              <w:right w:val="single" w:sz="4" w:space="0" w:color="auto"/>
            </w:tcBorders>
            <w:vAlign w:val="center"/>
            <w:hideMark/>
          </w:tcPr>
          <w:p w:rsidR="00000000" w:rsidRDefault="00EE4D28">
            <w:pPr>
              <w:rPr>
                <w:color w:val="000000"/>
                <w:sz w:val="20"/>
                <w:szCs w:val="20"/>
              </w:rPr>
            </w:pPr>
          </w:p>
        </w:tc>
        <w:tc>
          <w:tcPr>
            <w:tcW w:w="0" w:type="auto"/>
            <w:vMerge/>
            <w:tcBorders>
              <w:top w:val="nil"/>
              <w:left w:val="nil"/>
              <w:bottom w:val="single" w:sz="4" w:space="0" w:color="auto"/>
              <w:right w:val="single" w:sz="4" w:space="0" w:color="auto"/>
            </w:tcBorders>
            <w:vAlign w:val="center"/>
            <w:hideMark/>
          </w:tcPr>
          <w:p w:rsidR="00000000" w:rsidRDefault="00EE4D28">
            <w:pPr>
              <w:rPr>
                <w:sz w:val="20"/>
                <w:szCs w:val="20"/>
              </w:rPr>
            </w:pPr>
          </w:p>
        </w:tc>
        <w:tc>
          <w:tcPr>
            <w:tcW w:w="0" w:type="auto"/>
            <w:vMerge/>
            <w:tcBorders>
              <w:top w:val="nil"/>
              <w:left w:val="nil"/>
              <w:bottom w:val="single" w:sz="4" w:space="0" w:color="auto"/>
              <w:right w:val="single" w:sz="4" w:space="0" w:color="auto"/>
            </w:tcBorders>
            <w:vAlign w:val="center"/>
            <w:hideMark/>
          </w:tcPr>
          <w:p w:rsidR="00000000" w:rsidRDefault="00EE4D28">
            <w:pPr>
              <w:rPr>
                <w:sz w:val="20"/>
                <w:szCs w:val="20"/>
              </w:rPr>
            </w:pPr>
          </w:p>
        </w:tc>
        <w:tc>
          <w:tcPr>
            <w:tcW w:w="2240" w:type="dxa"/>
            <w:gridSpan w:val="2"/>
            <w:tcBorders>
              <w:top w:val="single" w:sz="4" w:space="0" w:color="auto"/>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 xml:space="preserve">　</w:t>
            </w:r>
          </w:p>
        </w:tc>
        <w:tc>
          <w:tcPr>
            <w:tcW w:w="1840" w:type="dxa"/>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 xml:space="preserve">　</w:t>
            </w:r>
          </w:p>
        </w:tc>
        <w:tc>
          <w:tcPr>
            <w:tcW w:w="1660" w:type="dxa"/>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 xml:space="preserve">　</w:t>
            </w:r>
          </w:p>
        </w:tc>
        <w:tc>
          <w:tcPr>
            <w:tcW w:w="1420" w:type="dxa"/>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 xml:space="preserve">　</w:t>
            </w:r>
          </w:p>
        </w:tc>
      </w:tr>
      <w:tr w:rsidR="00000000">
        <w:trPr>
          <w:trHeight w:val="300"/>
        </w:trPr>
        <w:tc>
          <w:tcPr>
            <w:tcW w:w="0" w:type="auto"/>
            <w:vMerge/>
            <w:tcBorders>
              <w:top w:val="nil"/>
              <w:left w:val="single" w:sz="4" w:space="0" w:color="auto"/>
              <w:bottom w:val="single" w:sz="4" w:space="0" w:color="auto"/>
              <w:right w:val="single" w:sz="4" w:space="0" w:color="auto"/>
            </w:tcBorders>
            <w:vAlign w:val="center"/>
            <w:hideMark/>
          </w:tcPr>
          <w:p w:rsidR="00000000" w:rsidRDefault="00EE4D28">
            <w:pPr>
              <w:rPr>
                <w:color w:val="000000"/>
                <w:sz w:val="20"/>
                <w:szCs w:val="20"/>
              </w:rPr>
            </w:pPr>
          </w:p>
        </w:tc>
        <w:tc>
          <w:tcPr>
            <w:tcW w:w="0" w:type="auto"/>
            <w:vMerge/>
            <w:tcBorders>
              <w:top w:val="nil"/>
              <w:left w:val="nil"/>
              <w:bottom w:val="single" w:sz="4" w:space="0" w:color="auto"/>
              <w:right w:val="single" w:sz="4" w:space="0" w:color="auto"/>
            </w:tcBorders>
            <w:vAlign w:val="center"/>
            <w:hideMark/>
          </w:tcPr>
          <w:p w:rsidR="00000000" w:rsidRDefault="00EE4D28">
            <w:pPr>
              <w:rPr>
                <w:sz w:val="20"/>
                <w:szCs w:val="20"/>
              </w:rPr>
            </w:pPr>
          </w:p>
        </w:tc>
        <w:tc>
          <w:tcPr>
            <w:tcW w:w="1120" w:type="dxa"/>
            <w:vMerge w:val="restart"/>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sz w:val="20"/>
                <w:szCs w:val="20"/>
              </w:rPr>
            </w:pPr>
            <w:r>
              <w:rPr>
                <w:rFonts w:hint="eastAsia"/>
                <w:sz w:val="20"/>
                <w:szCs w:val="20"/>
              </w:rPr>
              <w:t>质量指标</w:t>
            </w:r>
          </w:p>
        </w:tc>
        <w:tc>
          <w:tcPr>
            <w:tcW w:w="2240" w:type="dxa"/>
            <w:gridSpan w:val="2"/>
            <w:tcBorders>
              <w:top w:val="single" w:sz="4" w:space="0" w:color="auto"/>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道路养护合格率</w:t>
            </w:r>
          </w:p>
        </w:tc>
        <w:tc>
          <w:tcPr>
            <w:tcW w:w="1840" w:type="dxa"/>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w:t>
            </w:r>
            <w:r>
              <w:rPr>
                <w:rFonts w:hint="eastAsia"/>
                <w:color w:val="000000"/>
                <w:sz w:val="20"/>
                <w:szCs w:val="20"/>
              </w:rPr>
              <w:t>95%</w:t>
            </w:r>
          </w:p>
        </w:tc>
        <w:tc>
          <w:tcPr>
            <w:tcW w:w="1660" w:type="dxa"/>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w:t>
            </w:r>
            <w:r>
              <w:rPr>
                <w:rFonts w:hint="eastAsia"/>
                <w:color w:val="000000"/>
                <w:sz w:val="20"/>
                <w:szCs w:val="20"/>
              </w:rPr>
              <w:t>95%</w:t>
            </w:r>
          </w:p>
        </w:tc>
        <w:tc>
          <w:tcPr>
            <w:tcW w:w="1420" w:type="dxa"/>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 xml:space="preserve">　</w:t>
            </w:r>
          </w:p>
        </w:tc>
      </w:tr>
      <w:tr w:rsidR="00000000">
        <w:trPr>
          <w:trHeight w:val="300"/>
        </w:trPr>
        <w:tc>
          <w:tcPr>
            <w:tcW w:w="0" w:type="auto"/>
            <w:vMerge/>
            <w:tcBorders>
              <w:top w:val="nil"/>
              <w:left w:val="single" w:sz="4" w:space="0" w:color="auto"/>
              <w:bottom w:val="single" w:sz="4" w:space="0" w:color="auto"/>
              <w:right w:val="single" w:sz="4" w:space="0" w:color="auto"/>
            </w:tcBorders>
            <w:vAlign w:val="center"/>
            <w:hideMark/>
          </w:tcPr>
          <w:p w:rsidR="00000000" w:rsidRDefault="00EE4D28">
            <w:pPr>
              <w:rPr>
                <w:color w:val="000000"/>
                <w:sz w:val="20"/>
                <w:szCs w:val="20"/>
              </w:rPr>
            </w:pPr>
          </w:p>
        </w:tc>
        <w:tc>
          <w:tcPr>
            <w:tcW w:w="0" w:type="auto"/>
            <w:vMerge/>
            <w:tcBorders>
              <w:top w:val="nil"/>
              <w:left w:val="nil"/>
              <w:bottom w:val="single" w:sz="4" w:space="0" w:color="auto"/>
              <w:right w:val="single" w:sz="4" w:space="0" w:color="auto"/>
            </w:tcBorders>
            <w:vAlign w:val="center"/>
            <w:hideMark/>
          </w:tcPr>
          <w:p w:rsidR="00000000" w:rsidRDefault="00EE4D28">
            <w:pPr>
              <w:rPr>
                <w:sz w:val="20"/>
                <w:szCs w:val="20"/>
              </w:rPr>
            </w:pPr>
          </w:p>
        </w:tc>
        <w:tc>
          <w:tcPr>
            <w:tcW w:w="0" w:type="auto"/>
            <w:vMerge/>
            <w:tcBorders>
              <w:top w:val="nil"/>
              <w:left w:val="nil"/>
              <w:bottom w:val="single" w:sz="4" w:space="0" w:color="auto"/>
              <w:right w:val="single" w:sz="4" w:space="0" w:color="auto"/>
            </w:tcBorders>
            <w:vAlign w:val="center"/>
            <w:hideMark/>
          </w:tcPr>
          <w:p w:rsidR="00000000" w:rsidRDefault="00EE4D28">
            <w:pPr>
              <w:rPr>
                <w:sz w:val="20"/>
                <w:szCs w:val="20"/>
              </w:rPr>
            </w:pPr>
          </w:p>
        </w:tc>
        <w:tc>
          <w:tcPr>
            <w:tcW w:w="2240" w:type="dxa"/>
            <w:gridSpan w:val="2"/>
            <w:tcBorders>
              <w:top w:val="single" w:sz="4" w:space="0" w:color="auto"/>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 xml:space="preserve">　</w:t>
            </w:r>
          </w:p>
        </w:tc>
        <w:tc>
          <w:tcPr>
            <w:tcW w:w="1840" w:type="dxa"/>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 xml:space="preserve">　</w:t>
            </w:r>
          </w:p>
        </w:tc>
        <w:tc>
          <w:tcPr>
            <w:tcW w:w="1660" w:type="dxa"/>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 xml:space="preserve">　</w:t>
            </w:r>
          </w:p>
        </w:tc>
        <w:tc>
          <w:tcPr>
            <w:tcW w:w="1420" w:type="dxa"/>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 xml:space="preserve">　</w:t>
            </w:r>
          </w:p>
        </w:tc>
      </w:tr>
      <w:tr w:rsidR="00000000">
        <w:trPr>
          <w:trHeight w:val="300"/>
        </w:trPr>
        <w:tc>
          <w:tcPr>
            <w:tcW w:w="0" w:type="auto"/>
            <w:vMerge/>
            <w:tcBorders>
              <w:top w:val="nil"/>
              <w:left w:val="single" w:sz="4" w:space="0" w:color="auto"/>
              <w:bottom w:val="single" w:sz="4" w:space="0" w:color="auto"/>
              <w:right w:val="single" w:sz="4" w:space="0" w:color="auto"/>
            </w:tcBorders>
            <w:vAlign w:val="center"/>
            <w:hideMark/>
          </w:tcPr>
          <w:p w:rsidR="00000000" w:rsidRDefault="00EE4D28">
            <w:pPr>
              <w:rPr>
                <w:color w:val="000000"/>
                <w:sz w:val="20"/>
                <w:szCs w:val="20"/>
              </w:rPr>
            </w:pPr>
          </w:p>
        </w:tc>
        <w:tc>
          <w:tcPr>
            <w:tcW w:w="0" w:type="auto"/>
            <w:vMerge/>
            <w:tcBorders>
              <w:top w:val="nil"/>
              <w:left w:val="nil"/>
              <w:bottom w:val="single" w:sz="4" w:space="0" w:color="auto"/>
              <w:right w:val="single" w:sz="4" w:space="0" w:color="auto"/>
            </w:tcBorders>
            <w:vAlign w:val="center"/>
            <w:hideMark/>
          </w:tcPr>
          <w:p w:rsidR="00000000" w:rsidRDefault="00EE4D28">
            <w:pPr>
              <w:rPr>
                <w:sz w:val="20"/>
                <w:szCs w:val="20"/>
              </w:rPr>
            </w:pPr>
          </w:p>
        </w:tc>
        <w:tc>
          <w:tcPr>
            <w:tcW w:w="0" w:type="auto"/>
            <w:vMerge/>
            <w:tcBorders>
              <w:top w:val="nil"/>
              <w:left w:val="nil"/>
              <w:bottom w:val="single" w:sz="4" w:space="0" w:color="auto"/>
              <w:right w:val="single" w:sz="4" w:space="0" w:color="auto"/>
            </w:tcBorders>
            <w:vAlign w:val="center"/>
            <w:hideMark/>
          </w:tcPr>
          <w:p w:rsidR="00000000" w:rsidRDefault="00EE4D28">
            <w:pPr>
              <w:rPr>
                <w:sz w:val="20"/>
                <w:szCs w:val="20"/>
              </w:rPr>
            </w:pPr>
          </w:p>
        </w:tc>
        <w:tc>
          <w:tcPr>
            <w:tcW w:w="2240" w:type="dxa"/>
            <w:gridSpan w:val="2"/>
            <w:tcBorders>
              <w:top w:val="single" w:sz="4" w:space="0" w:color="auto"/>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 xml:space="preserve">　</w:t>
            </w:r>
          </w:p>
        </w:tc>
        <w:tc>
          <w:tcPr>
            <w:tcW w:w="1840" w:type="dxa"/>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 xml:space="preserve">　</w:t>
            </w:r>
          </w:p>
        </w:tc>
        <w:tc>
          <w:tcPr>
            <w:tcW w:w="1660" w:type="dxa"/>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 xml:space="preserve">　</w:t>
            </w:r>
          </w:p>
        </w:tc>
        <w:tc>
          <w:tcPr>
            <w:tcW w:w="1420" w:type="dxa"/>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 xml:space="preserve">　</w:t>
            </w:r>
          </w:p>
        </w:tc>
      </w:tr>
      <w:tr w:rsidR="00000000">
        <w:trPr>
          <w:trHeight w:val="300"/>
        </w:trPr>
        <w:tc>
          <w:tcPr>
            <w:tcW w:w="0" w:type="auto"/>
            <w:vMerge/>
            <w:tcBorders>
              <w:top w:val="nil"/>
              <w:left w:val="single" w:sz="4" w:space="0" w:color="auto"/>
              <w:bottom w:val="single" w:sz="4" w:space="0" w:color="auto"/>
              <w:right w:val="single" w:sz="4" w:space="0" w:color="auto"/>
            </w:tcBorders>
            <w:vAlign w:val="center"/>
            <w:hideMark/>
          </w:tcPr>
          <w:p w:rsidR="00000000" w:rsidRDefault="00EE4D28">
            <w:pPr>
              <w:rPr>
                <w:color w:val="000000"/>
                <w:sz w:val="20"/>
                <w:szCs w:val="20"/>
              </w:rPr>
            </w:pPr>
          </w:p>
        </w:tc>
        <w:tc>
          <w:tcPr>
            <w:tcW w:w="0" w:type="auto"/>
            <w:vMerge/>
            <w:tcBorders>
              <w:top w:val="nil"/>
              <w:left w:val="nil"/>
              <w:bottom w:val="single" w:sz="4" w:space="0" w:color="auto"/>
              <w:right w:val="single" w:sz="4" w:space="0" w:color="auto"/>
            </w:tcBorders>
            <w:vAlign w:val="center"/>
            <w:hideMark/>
          </w:tcPr>
          <w:p w:rsidR="00000000" w:rsidRDefault="00EE4D28">
            <w:pPr>
              <w:rPr>
                <w:sz w:val="20"/>
                <w:szCs w:val="20"/>
              </w:rPr>
            </w:pPr>
          </w:p>
        </w:tc>
        <w:tc>
          <w:tcPr>
            <w:tcW w:w="1120" w:type="dxa"/>
            <w:vMerge w:val="restart"/>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sz w:val="20"/>
                <w:szCs w:val="20"/>
              </w:rPr>
            </w:pPr>
            <w:r>
              <w:rPr>
                <w:rFonts w:hint="eastAsia"/>
                <w:sz w:val="20"/>
                <w:szCs w:val="20"/>
              </w:rPr>
              <w:t>时效指标</w:t>
            </w:r>
          </w:p>
        </w:tc>
        <w:tc>
          <w:tcPr>
            <w:tcW w:w="2240" w:type="dxa"/>
            <w:gridSpan w:val="2"/>
            <w:tcBorders>
              <w:top w:val="single" w:sz="4" w:space="0" w:color="auto"/>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养护工作完成及时率</w:t>
            </w:r>
          </w:p>
        </w:tc>
        <w:tc>
          <w:tcPr>
            <w:tcW w:w="1840" w:type="dxa"/>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w:t>
            </w:r>
            <w:r>
              <w:rPr>
                <w:rFonts w:hint="eastAsia"/>
                <w:color w:val="000000"/>
                <w:sz w:val="20"/>
                <w:szCs w:val="20"/>
              </w:rPr>
              <w:t>98%</w:t>
            </w:r>
          </w:p>
        </w:tc>
        <w:tc>
          <w:tcPr>
            <w:tcW w:w="1660" w:type="dxa"/>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100%</w:t>
            </w:r>
          </w:p>
        </w:tc>
        <w:tc>
          <w:tcPr>
            <w:tcW w:w="1420" w:type="dxa"/>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 xml:space="preserve">　</w:t>
            </w:r>
          </w:p>
        </w:tc>
      </w:tr>
      <w:tr w:rsidR="00000000">
        <w:trPr>
          <w:trHeight w:val="300"/>
        </w:trPr>
        <w:tc>
          <w:tcPr>
            <w:tcW w:w="0" w:type="auto"/>
            <w:vMerge/>
            <w:tcBorders>
              <w:top w:val="nil"/>
              <w:left w:val="single" w:sz="4" w:space="0" w:color="auto"/>
              <w:bottom w:val="single" w:sz="4" w:space="0" w:color="auto"/>
              <w:right w:val="single" w:sz="4" w:space="0" w:color="auto"/>
            </w:tcBorders>
            <w:vAlign w:val="center"/>
            <w:hideMark/>
          </w:tcPr>
          <w:p w:rsidR="00000000" w:rsidRDefault="00EE4D28">
            <w:pPr>
              <w:rPr>
                <w:color w:val="000000"/>
                <w:sz w:val="20"/>
                <w:szCs w:val="20"/>
              </w:rPr>
            </w:pPr>
          </w:p>
        </w:tc>
        <w:tc>
          <w:tcPr>
            <w:tcW w:w="0" w:type="auto"/>
            <w:vMerge/>
            <w:tcBorders>
              <w:top w:val="nil"/>
              <w:left w:val="nil"/>
              <w:bottom w:val="single" w:sz="4" w:space="0" w:color="auto"/>
              <w:right w:val="single" w:sz="4" w:space="0" w:color="auto"/>
            </w:tcBorders>
            <w:vAlign w:val="center"/>
            <w:hideMark/>
          </w:tcPr>
          <w:p w:rsidR="00000000" w:rsidRDefault="00EE4D28">
            <w:pPr>
              <w:rPr>
                <w:sz w:val="20"/>
                <w:szCs w:val="20"/>
              </w:rPr>
            </w:pPr>
          </w:p>
        </w:tc>
        <w:tc>
          <w:tcPr>
            <w:tcW w:w="0" w:type="auto"/>
            <w:vMerge/>
            <w:tcBorders>
              <w:top w:val="nil"/>
              <w:left w:val="nil"/>
              <w:bottom w:val="single" w:sz="4" w:space="0" w:color="auto"/>
              <w:right w:val="single" w:sz="4" w:space="0" w:color="auto"/>
            </w:tcBorders>
            <w:vAlign w:val="center"/>
            <w:hideMark/>
          </w:tcPr>
          <w:p w:rsidR="00000000" w:rsidRDefault="00EE4D28">
            <w:pPr>
              <w:rPr>
                <w:sz w:val="20"/>
                <w:szCs w:val="20"/>
              </w:rPr>
            </w:pPr>
          </w:p>
        </w:tc>
        <w:tc>
          <w:tcPr>
            <w:tcW w:w="2240" w:type="dxa"/>
            <w:gridSpan w:val="2"/>
            <w:tcBorders>
              <w:top w:val="single" w:sz="4" w:space="0" w:color="auto"/>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 xml:space="preserve">　</w:t>
            </w:r>
          </w:p>
        </w:tc>
        <w:tc>
          <w:tcPr>
            <w:tcW w:w="1840" w:type="dxa"/>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 xml:space="preserve">　</w:t>
            </w:r>
          </w:p>
        </w:tc>
        <w:tc>
          <w:tcPr>
            <w:tcW w:w="1660" w:type="dxa"/>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 xml:space="preserve">　</w:t>
            </w:r>
          </w:p>
        </w:tc>
        <w:tc>
          <w:tcPr>
            <w:tcW w:w="1420" w:type="dxa"/>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 xml:space="preserve">　</w:t>
            </w:r>
          </w:p>
        </w:tc>
      </w:tr>
      <w:tr w:rsidR="00000000">
        <w:trPr>
          <w:trHeight w:val="300"/>
        </w:trPr>
        <w:tc>
          <w:tcPr>
            <w:tcW w:w="0" w:type="auto"/>
            <w:vMerge/>
            <w:tcBorders>
              <w:top w:val="nil"/>
              <w:left w:val="single" w:sz="4" w:space="0" w:color="auto"/>
              <w:bottom w:val="single" w:sz="4" w:space="0" w:color="auto"/>
              <w:right w:val="single" w:sz="4" w:space="0" w:color="auto"/>
            </w:tcBorders>
            <w:vAlign w:val="center"/>
            <w:hideMark/>
          </w:tcPr>
          <w:p w:rsidR="00000000" w:rsidRDefault="00EE4D28">
            <w:pPr>
              <w:rPr>
                <w:color w:val="000000"/>
                <w:sz w:val="20"/>
                <w:szCs w:val="20"/>
              </w:rPr>
            </w:pPr>
          </w:p>
        </w:tc>
        <w:tc>
          <w:tcPr>
            <w:tcW w:w="0" w:type="auto"/>
            <w:vMerge/>
            <w:tcBorders>
              <w:top w:val="nil"/>
              <w:left w:val="nil"/>
              <w:bottom w:val="single" w:sz="4" w:space="0" w:color="auto"/>
              <w:right w:val="single" w:sz="4" w:space="0" w:color="auto"/>
            </w:tcBorders>
            <w:vAlign w:val="center"/>
            <w:hideMark/>
          </w:tcPr>
          <w:p w:rsidR="00000000" w:rsidRDefault="00EE4D28">
            <w:pPr>
              <w:rPr>
                <w:sz w:val="20"/>
                <w:szCs w:val="20"/>
              </w:rPr>
            </w:pPr>
          </w:p>
        </w:tc>
        <w:tc>
          <w:tcPr>
            <w:tcW w:w="0" w:type="auto"/>
            <w:vMerge/>
            <w:tcBorders>
              <w:top w:val="nil"/>
              <w:left w:val="nil"/>
              <w:bottom w:val="single" w:sz="4" w:space="0" w:color="auto"/>
              <w:right w:val="single" w:sz="4" w:space="0" w:color="auto"/>
            </w:tcBorders>
            <w:vAlign w:val="center"/>
            <w:hideMark/>
          </w:tcPr>
          <w:p w:rsidR="00000000" w:rsidRDefault="00EE4D28">
            <w:pPr>
              <w:rPr>
                <w:sz w:val="20"/>
                <w:szCs w:val="20"/>
              </w:rPr>
            </w:pPr>
          </w:p>
        </w:tc>
        <w:tc>
          <w:tcPr>
            <w:tcW w:w="2240" w:type="dxa"/>
            <w:gridSpan w:val="2"/>
            <w:tcBorders>
              <w:top w:val="single" w:sz="4" w:space="0" w:color="auto"/>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 xml:space="preserve">　</w:t>
            </w:r>
          </w:p>
        </w:tc>
        <w:tc>
          <w:tcPr>
            <w:tcW w:w="1840" w:type="dxa"/>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 xml:space="preserve">　</w:t>
            </w:r>
          </w:p>
        </w:tc>
        <w:tc>
          <w:tcPr>
            <w:tcW w:w="1660" w:type="dxa"/>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 xml:space="preserve">　</w:t>
            </w:r>
          </w:p>
        </w:tc>
        <w:tc>
          <w:tcPr>
            <w:tcW w:w="1420" w:type="dxa"/>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 xml:space="preserve">　</w:t>
            </w:r>
          </w:p>
        </w:tc>
      </w:tr>
      <w:tr w:rsidR="00000000">
        <w:trPr>
          <w:trHeight w:val="300"/>
        </w:trPr>
        <w:tc>
          <w:tcPr>
            <w:tcW w:w="0" w:type="auto"/>
            <w:vMerge/>
            <w:tcBorders>
              <w:top w:val="nil"/>
              <w:left w:val="single" w:sz="4" w:space="0" w:color="auto"/>
              <w:bottom w:val="single" w:sz="4" w:space="0" w:color="auto"/>
              <w:right w:val="single" w:sz="4" w:space="0" w:color="auto"/>
            </w:tcBorders>
            <w:vAlign w:val="center"/>
            <w:hideMark/>
          </w:tcPr>
          <w:p w:rsidR="00000000" w:rsidRDefault="00EE4D28">
            <w:pPr>
              <w:rPr>
                <w:color w:val="000000"/>
                <w:sz w:val="20"/>
                <w:szCs w:val="20"/>
              </w:rPr>
            </w:pPr>
          </w:p>
        </w:tc>
        <w:tc>
          <w:tcPr>
            <w:tcW w:w="0" w:type="auto"/>
            <w:vMerge/>
            <w:tcBorders>
              <w:top w:val="nil"/>
              <w:left w:val="nil"/>
              <w:bottom w:val="single" w:sz="4" w:space="0" w:color="auto"/>
              <w:right w:val="single" w:sz="4" w:space="0" w:color="auto"/>
            </w:tcBorders>
            <w:vAlign w:val="center"/>
            <w:hideMark/>
          </w:tcPr>
          <w:p w:rsidR="00000000" w:rsidRDefault="00EE4D28">
            <w:pPr>
              <w:rPr>
                <w:sz w:val="20"/>
                <w:szCs w:val="20"/>
              </w:rPr>
            </w:pPr>
          </w:p>
        </w:tc>
        <w:tc>
          <w:tcPr>
            <w:tcW w:w="1120" w:type="dxa"/>
            <w:vMerge w:val="restart"/>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sz w:val="20"/>
                <w:szCs w:val="20"/>
              </w:rPr>
            </w:pPr>
            <w:r>
              <w:rPr>
                <w:rFonts w:hint="eastAsia"/>
                <w:sz w:val="20"/>
                <w:szCs w:val="20"/>
              </w:rPr>
              <w:t>成本指标</w:t>
            </w:r>
          </w:p>
        </w:tc>
        <w:tc>
          <w:tcPr>
            <w:tcW w:w="2240" w:type="dxa"/>
            <w:gridSpan w:val="2"/>
            <w:tcBorders>
              <w:top w:val="single" w:sz="4" w:space="0" w:color="auto"/>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乡道公路养护补助标准</w:t>
            </w:r>
          </w:p>
        </w:tc>
        <w:tc>
          <w:tcPr>
            <w:tcW w:w="1840" w:type="dxa"/>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0.15</w:t>
            </w:r>
            <w:r>
              <w:rPr>
                <w:rFonts w:hint="eastAsia"/>
                <w:color w:val="000000"/>
                <w:sz w:val="20"/>
                <w:szCs w:val="20"/>
              </w:rPr>
              <w:t>万元</w:t>
            </w:r>
            <w:r>
              <w:rPr>
                <w:rFonts w:hint="eastAsia"/>
                <w:color w:val="000000"/>
                <w:sz w:val="20"/>
                <w:szCs w:val="20"/>
              </w:rPr>
              <w:t>/</w:t>
            </w:r>
            <w:r>
              <w:rPr>
                <w:rFonts w:hint="eastAsia"/>
                <w:color w:val="000000"/>
                <w:sz w:val="20"/>
                <w:szCs w:val="20"/>
              </w:rPr>
              <w:t>公里</w:t>
            </w:r>
          </w:p>
        </w:tc>
        <w:tc>
          <w:tcPr>
            <w:tcW w:w="1660" w:type="dxa"/>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0.15</w:t>
            </w:r>
            <w:r>
              <w:rPr>
                <w:rFonts w:hint="eastAsia"/>
                <w:color w:val="000000"/>
                <w:sz w:val="20"/>
                <w:szCs w:val="20"/>
              </w:rPr>
              <w:t>万元</w:t>
            </w:r>
            <w:r>
              <w:rPr>
                <w:rFonts w:hint="eastAsia"/>
                <w:color w:val="000000"/>
                <w:sz w:val="20"/>
                <w:szCs w:val="20"/>
              </w:rPr>
              <w:t>/</w:t>
            </w:r>
            <w:r>
              <w:rPr>
                <w:rFonts w:hint="eastAsia"/>
                <w:color w:val="000000"/>
                <w:sz w:val="20"/>
                <w:szCs w:val="20"/>
              </w:rPr>
              <w:t>公里</w:t>
            </w:r>
          </w:p>
        </w:tc>
        <w:tc>
          <w:tcPr>
            <w:tcW w:w="1420" w:type="dxa"/>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 xml:space="preserve">　</w:t>
            </w:r>
          </w:p>
        </w:tc>
      </w:tr>
      <w:tr w:rsidR="00000000">
        <w:trPr>
          <w:trHeight w:val="300"/>
        </w:trPr>
        <w:tc>
          <w:tcPr>
            <w:tcW w:w="0" w:type="auto"/>
            <w:vMerge/>
            <w:tcBorders>
              <w:top w:val="nil"/>
              <w:left w:val="single" w:sz="4" w:space="0" w:color="auto"/>
              <w:bottom w:val="single" w:sz="4" w:space="0" w:color="auto"/>
              <w:right w:val="single" w:sz="4" w:space="0" w:color="auto"/>
            </w:tcBorders>
            <w:vAlign w:val="center"/>
            <w:hideMark/>
          </w:tcPr>
          <w:p w:rsidR="00000000" w:rsidRDefault="00EE4D28">
            <w:pPr>
              <w:rPr>
                <w:color w:val="000000"/>
                <w:sz w:val="20"/>
                <w:szCs w:val="20"/>
              </w:rPr>
            </w:pPr>
          </w:p>
        </w:tc>
        <w:tc>
          <w:tcPr>
            <w:tcW w:w="0" w:type="auto"/>
            <w:vMerge/>
            <w:tcBorders>
              <w:top w:val="nil"/>
              <w:left w:val="nil"/>
              <w:bottom w:val="single" w:sz="4" w:space="0" w:color="auto"/>
              <w:right w:val="single" w:sz="4" w:space="0" w:color="auto"/>
            </w:tcBorders>
            <w:vAlign w:val="center"/>
            <w:hideMark/>
          </w:tcPr>
          <w:p w:rsidR="00000000" w:rsidRDefault="00EE4D28">
            <w:pPr>
              <w:rPr>
                <w:sz w:val="20"/>
                <w:szCs w:val="20"/>
              </w:rPr>
            </w:pPr>
          </w:p>
        </w:tc>
        <w:tc>
          <w:tcPr>
            <w:tcW w:w="0" w:type="auto"/>
            <w:vMerge/>
            <w:tcBorders>
              <w:top w:val="nil"/>
              <w:left w:val="nil"/>
              <w:bottom w:val="single" w:sz="4" w:space="0" w:color="auto"/>
              <w:right w:val="single" w:sz="4" w:space="0" w:color="auto"/>
            </w:tcBorders>
            <w:vAlign w:val="center"/>
            <w:hideMark/>
          </w:tcPr>
          <w:p w:rsidR="00000000" w:rsidRDefault="00EE4D28">
            <w:pPr>
              <w:rPr>
                <w:sz w:val="20"/>
                <w:szCs w:val="20"/>
              </w:rPr>
            </w:pPr>
          </w:p>
        </w:tc>
        <w:tc>
          <w:tcPr>
            <w:tcW w:w="2240" w:type="dxa"/>
            <w:gridSpan w:val="2"/>
            <w:tcBorders>
              <w:top w:val="single" w:sz="4" w:space="0" w:color="auto"/>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村道公路养护补助标准</w:t>
            </w:r>
          </w:p>
        </w:tc>
        <w:tc>
          <w:tcPr>
            <w:tcW w:w="1840" w:type="dxa"/>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0.25</w:t>
            </w:r>
            <w:r>
              <w:rPr>
                <w:rFonts w:hint="eastAsia"/>
                <w:color w:val="000000"/>
                <w:sz w:val="20"/>
                <w:szCs w:val="20"/>
              </w:rPr>
              <w:t>万元</w:t>
            </w:r>
            <w:r>
              <w:rPr>
                <w:rFonts w:hint="eastAsia"/>
                <w:color w:val="000000"/>
                <w:sz w:val="20"/>
                <w:szCs w:val="20"/>
              </w:rPr>
              <w:t>/</w:t>
            </w:r>
            <w:r>
              <w:rPr>
                <w:rFonts w:hint="eastAsia"/>
                <w:color w:val="000000"/>
                <w:sz w:val="20"/>
                <w:szCs w:val="20"/>
              </w:rPr>
              <w:t>公里</w:t>
            </w:r>
          </w:p>
        </w:tc>
        <w:tc>
          <w:tcPr>
            <w:tcW w:w="1660" w:type="dxa"/>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0.25</w:t>
            </w:r>
            <w:r>
              <w:rPr>
                <w:rFonts w:hint="eastAsia"/>
                <w:color w:val="000000"/>
                <w:sz w:val="20"/>
                <w:szCs w:val="20"/>
              </w:rPr>
              <w:t>万元</w:t>
            </w:r>
            <w:r>
              <w:rPr>
                <w:rFonts w:hint="eastAsia"/>
                <w:color w:val="000000"/>
                <w:sz w:val="20"/>
                <w:szCs w:val="20"/>
              </w:rPr>
              <w:t>/</w:t>
            </w:r>
            <w:r>
              <w:rPr>
                <w:rFonts w:hint="eastAsia"/>
                <w:color w:val="000000"/>
                <w:sz w:val="20"/>
                <w:szCs w:val="20"/>
              </w:rPr>
              <w:t>公里</w:t>
            </w:r>
          </w:p>
        </w:tc>
        <w:tc>
          <w:tcPr>
            <w:tcW w:w="1420" w:type="dxa"/>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 xml:space="preserve">　</w:t>
            </w:r>
          </w:p>
        </w:tc>
      </w:tr>
      <w:tr w:rsidR="00000000">
        <w:trPr>
          <w:trHeight w:val="300"/>
        </w:trPr>
        <w:tc>
          <w:tcPr>
            <w:tcW w:w="0" w:type="auto"/>
            <w:vMerge/>
            <w:tcBorders>
              <w:top w:val="nil"/>
              <w:left w:val="single" w:sz="4" w:space="0" w:color="auto"/>
              <w:bottom w:val="single" w:sz="4" w:space="0" w:color="auto"/>
              <w:right w:val="single" w:sz="4" w:space="0" w:color="auto"/>
            </w:tcBorders>
            <w:vAlign w:val="center"/>
            <w:hideMark/>
          </w:tcPr>
          <w:p w:rsidR="00000000" w:rsidRDefault="00EE4D28">
            <w:pPr>
              <w:rPr>
                <w:color w:val="000000"/>
                <w:sz w:val="20"/>
                <w:szCs w:val="20"/>
              </w:rPr>
            </w:pPr>
          </w:p>
        </w:tc>
        <w:tc>
          <w:tcPr>
            <w:tcW w:w="0" w:type="auto"/>
            <w:vMerge/>
            <w:tcBorders>
              <w:top w:val="nil"/>
              <w:left w:val="nil"/>
              <w:bottom w:val="single" w:sz="4" w:space="0" w:color="auto"/>
              <w:right w:val="single" w:sz="4" w:space="0" w:color="auto"/>
            </w:tcBorders>
            <w:vAlign w:val="center"/>
            <w:hideMark/>
          </w:tcPr>
          <w:p w:rsidR="00000000" w:rsidRDefault="00EE4D28">
            <w:pPr>
              <w:rPr>
                <w:sz w:val="20"/>
                <w:szCs w:val="20"/>
              </w:rPr>
            </w:pPr>
          </w:p>
        </w:tc>
        <w:tc>
          <w:tcPr>
            <w:tcW w:w="0" w:type="auto"/>
            <w:vMerge/>
            <w:tcBorders>
              <w:top w:val="nil"/>
              <w:left w:val="nil"/>
              <w:bottom w:val="single" w:sz="4" w:space="0" w:color="auto"/>
              <w:right w:val="single" w:sz="4" w:space="0" w:color="auto"/>
            </w:tcBorders>
            <w:vAlign w:val="center"/>
            <w:hideMark/>
          </w:tcPr>
          <w:p w:rsidR="00000000" w:rsidRDefault="00EE4D28">
            <w:pPr>
              <w:rPr>
                <w:sz w:val="20"/>
                <w:szCs w:val="20"/>
              </w:rPr>
            </w:pPr>
          </w:p>
        </w:tc>
        <w:tc>
          <w:tcPr>
            <w:tcW w:w="2240" w:type="dxa"/>
            <w:gridSpan w:val="2"/>
            <w:tcBorders>
              <w:top w:val="single" w:sz="4" w:space="0" w:color="auto"/>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 xml:space="preserve">　</w:t>
            </w:r>
          </w:p>
        </w:tc>
        <w:tc>
          <w:tcPr>
            <w:tcW w:w="1840" w:type="dxa"/>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 xml:space="preserve">　</w:t>
            </w:r>
          </w:p>
        </w:tc>
        <w:tc>
          <w:tcPr>
            <w:tcW w:w="1660" w:type="dxa"/>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 xml:space="preserve">　</w:t>
            </w:r>
          </w:p>
        </w:tc>
        <w:tc>
          <w:tcPr>
            <w:tcW w:w="1420" w:type="dxa"/>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 xml:space="preserve">　</w:t>
            </w:r>
          </w:p>
        </w:tc>
      </w:tr>
      <w:tr w:rsidR="00000000">
        <w:trPr>
          <w:trHeight w:val="300"/>
        </w:trPr>
        <w:tc>
          <w:tcPr>
            <w:tcW w:w="0" w:type="auto"/>
            <w:vMerge/>
            <w:tcBorders>
              <w:top w:val="nil"/>
              <w:left w:val="single" w:sz="4" w:space="0" w:color="auto"/>
              <w:bottom w:val="single" w:sz="4" w:space="0" w:color="auto"/>
              <w:right w:val="single" w:sz="4" w:space="0" w:color="auto"/>
            </w:tcBorders>
            <w:vAlign w:val="center"/>
            <w:hideMark/>
          </w:tcPr>
          <w:p w:rsidR="00000000" w:rsidRDefault="00EE4D28">
            <w:pPr>
              <w:rPr>
                <w:color w:val="000000"/>
                <w:sz w:val="20"/>
                <w:szCs w:val="20"/>
              </w:rPr>
            </w:pPr>
          </w:p>
        </w:tc>
        <w:tc>
          <w:tcPr>
            <w:tcW w:w="0" w:type="auto"/>
            <w:vMerge/>
            <w:tcBorders>
              <w:top w:val="nil"/>
              <w:left w:val="nil"/>
              <w:bottom w:val="single" w:sz="4" w:space="0" w:color="auto"/>
              <w:right w:val="single" w:sz="4" w:space="0" w:color="auto"/>
            </w:tcBorders>
            <w:vAlign w:val="center"/>
            <w:hideMark/>
          </w:tcPr>
          <w:p w:rsidR="00000000" w:rsidRDefault="00EE4D28">
            <w:pPr>
              <w:rPr>
                <w:sz w:val="20"/>
                <w:szCs w:val="20"/>
              </w:rPr>
            </w:pPr>
          </w:p>
        </w:tc>
        <w:tc>
          <w:tcPr>
            <w:tcW w:w="1120" w:type="dxa"/>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sz w:val="20"/>
                <w:szCs w:val="20"/>
              </w:rPr>
            </w:pPr>
            <w:r>
              <w:rPr>
                <w:rFonts w:hint="eastAsia"/>
                <w:sz w:val="20"/>
                <w:szCs w:val="20"/>
              </w:rPr>
              <w:t>……</w:t>
            </w:r>
          </w:p>
        </w:tc>
        <w:tc>
          <w:tcPr>
            <w:tcW w:w="2240" w:type="dxa"/>
            <w:gridSpan w:val="2"/>
            <w:tcBorders>
              <w:top w:val="single" w:sz="4" w:space="0" w:color="auto"/>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 xml:space="preserve">　</w:t>
            </w:r>
          </w:p>
        </w:tc>
        <w:tc>
          <w:tcPr>
            <w:tcW w:w="1840" w:type="dxa"/>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 xml:space="preserve">　</w:t>
            </w:r>
          </w:p>
        </w:tc>
        <w:tc>
          <w:tcPr>
            <w:tcW w:w="1660" w:type="dxa"/>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 xml:space="preserve">　</w:t>
            </w:r>
          </w:p>
        </w:tc>
        <w:tc>
          <w:tcPr>
            <w:tcW w:w="1420" w:type="dxa"/>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 xml:space="preserve">　</w:t>
            </w:r>
          </w:p>
        </w:tc>
      </w:tr>
      <w:tr w:rsidR="00000000">
        <w:trPr>
          <w:trHeight w:val="300"/>
        </w:trPr>
        <w:tc>
          <w:tcPr>
            <w:tcW w:w="0" w:type="auto"/>
            <w:vMerge/>
            <w:tcBorders>
              <w:top w:val="nil"/>
              <w:left w:val="single" w:sz="4" w:space="0" w:color="auto"/>
              <w:bottom w:val="single" w:sz="4" w:space="0" w:color="auto"/>
              <w:right w:val="single" w:sz="4" w:space="0" w:color="auto"/>
            </w:tcBorders>
            <w:vAlign w:val="center"/>
            <w:hideMark/>
          </w:tcPr>
          <w:p w:rsidR="00000000" w:rsidRDefault="00EE4D28">
            <w:pPr>
              <w:rPr>
                <w:color w:val="000000"/>
                <w:sz w:val="20"/>
                <w:szCs w:val="20"/>
              </w:rPr>
            </w:pPr>
          </w:p>
        </w:tc>
        <w:tc>
          <w:tcPr>
            <w:tcW w:w="740" w:type="dxa"/>
            <w:vMerge w:val="restart"/>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sz w:val="20"/>
                <w:szCs w:val="20"/>
              </w:rPr>
            </w:pPr>
            <w:r>
              <w:rPr>
                <w:rFonts w:hint="eastAsia"/>
                <w:sz w:val="20"/>
                <w:szCs w:val="20"/>
              </w:rPr>
              <w:t>效</w:t>
            </w:r>
            <w:r>
              <w:rPr>
                <w:rFonts w:hint="eastAsia"/>
                <w:sz w:val="20"/>
                <w:szCs w:val="20"/>
              </w:rPr>
              <w:br/>
            </w:r>
            <w:r>
              <w:rPr>
                <w:rFonts w:hint="eastAsia"/>
                <w:sz w:val="20"/>
                <w:szCs w:val="20"/>
              </w:rPr>
              <w:t>益</w:t>
            </w:r>
            <w:r>
              <w:rPr>
                <w:rFonts w:hint="eastAsia"/>
                <w:sz w:val="20"/>
                <w:szCs w:val="20"/>
              </w:rPr>
              <w:br/>
            </w:r>
            <w:r>
              <w:rPr>
                <w:rFonts w:hint="eastAsia"/>
                <w:sz w:val="20"/>
                <w:szCs w:val="20"/>
              </w:rPr>
              <w:t>指</w:t>
            </w:r>
            <w:r>
              <w:rPr>
                <w:rFonts w:hint="eastAsia"/>
                <w:sz w:val="20"/>
                <w:szCs w:val="20"/>
              </w:rPr>
              <w:br/>
            </w:r>
            <w:r>
              <w:rPr>
                <w:rFonts w:hint="eastAsia"/>
                <w:sz w:val="20"/>
                <w:szCs w:val="20"/>
              </w:rPr>
              <w:t>标</w:t>
            </w:r>
          </w:p>
        </w:tc>
        <w:tc>
          <w:tcPr>
            <w:tcW w:w="1120" w:type="dxa"/>
            <w:vMerge w:val="restart"/>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sz w:val="20"/>
                <w:szCs w:val="20"/>
              </w:rPr>
            </w:pPr>
            <w:r>
              <w:rPr>
                <w:rFonts w:hint="eastAsia"/>
                <w:sz w:val="20"/>
                <w:szCs w:val="20"/>
              </w:rPr>
              <w:t>经济效益</w:t>
            </w:r>
            <w:r>
              <w:rPr>
                <w:rFonts w:hint="eastAsia"/>
                <w:sz w:val="20"/>
                <w:szCs w:val="20"/>
              </w:rPr>
              <w:br/>
            </w:r>
            <w:r>
              <w:rPr>
                <w:rFonts w:hint="eastAsia"/>
                <w:sz w:val="20"/>
                <w:szCs w:val="20"/>
              </w:rPr>
              <w:t>指标</w:t>
            </w:r>
          </w:p>
        </w:tc>
        <w:tc>
          <w:tcPr>
            <w:tcW w:w="2240" w:type="dxa"/>
            <w:gridSpan w:val="2"/>
            <w:tcBorders>
              <w:top w:val="single" w:sz="4" w:space="0" w:color="auto"/>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 xml:space="preserve">　</w:t>
            </w:r>
          </w:p>
        </w:tc>
        <w:tc>
          <w:tcPr>
            <w:tcW w:w="1840" w:type="dxa"/>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 xml:space="preserve">　</w:t>
            </w:r>
          </w:p>
        </w:tc>
        <w:tc>
          <w:tcPr>
            <w:tcW w:w="1660" w:type="dxa"/>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 xml:space="preserve">　</w:t>
            </w:r>
          </w:p>
        </w:tc>
        <w:tc>
          <w:tcPr>
            <w:tcW w:w="1420" w:type="dxa"/>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 xml:space="preserve">　</w:t>
            </w:r>
          </w:p>
        </w:tc>
      </w:tr>
      <w:tr w:rsidR="00000000">
        <w:trPr>
          <w:trHeight w:val="300"/>
        </w:trPr>
        <w:tc>
          <w:tcPr>
            <w:tcW w:w="0" w:type="auto"/>
            <w:vMerge/>
            <w:tcBorders>
              <w:top w:val="nil"/>
              <w:left w:val="single" w:sz="4" w:space="0" w:color="auto"/>
              <w:bottom w:val="single" w:sz="4" w:space="0" w:color="auto"/>
              <w:right w:val="single" w:sz="4" w:space="0" w:color="auto"/>
            </w:tcBorders>
            <w:vAlign w:val="center"/>
            <w:hideMark/>
          </w:tcPr>
          <w:p w:rsidR="00000000" w:rsidRDefault="00EE4D28">
            <w:pPr>
              <w:rPr>
                <w:color w:val="000000"/>
                <w:sz w:val="20"/>
                <w:szCs w:val="20"/>
              </w:rPr>
            </w:pPr>
          </w:p>
        </w:tc>
        <w:tc>
          <w:tcPr>
            <w:tcW w:w="0" w:type="auto"/>
            <w:vMerge/>
            <w:tcBorders>
              <w:top w:val="nil"/>
              <w:left w:val="nil"/>
              <w:bottom w:val="single" w:sz="4" w:space="0" w:color="auto"/>
              <w:right w:val="single" w:sz="4" w:space="0" w:color="auto"/>
            </w:tcBorders>
            <w:vAlign w:val="center"/>
            <w:hideMark/>
          </w:tcPr>
          <w:p w:rsidR="00000000" w:rsidRDefault="00EE4D28">
            <w:pPr>
              <w:rPr>
                <w:sz w:val="20"/>
                <w:szCs w:val="20"/>
              </w:rPr>
            </w:pPr>
          </w:p>
        </w:tc>
        <w:tc>
          <w:tcPr>
            <w:tcW w:w="0" w:type="auto"/>
            <w:vMerge/>
            <w:tcBorders>
              <w:top w:val="nil"/>
              <w:left w:val="nil"/>
              <w:bottom w:val="single" w:sz="4" w:space="0" w:color="auto"/>
              <w:right w:val="single" w:sz="4" w:space="0" w:color="auto"/>
            </w:tcBorders>
            <w:vAlign w:val="center"/>
            <w:hideMark/>
          </w:tcPr>
          <w:p w:rsidR="00000000" w:rsidRDefault="00EE4D28">
            <w:pPr>
              <w:rPr>
                <w:sz w:val="20"/>
                <w:szCs w:val="20"/>
              </w:rPr>
            </w:pPr>
          </w:p>
        </w:tc>
        <w:tc>
          <w:tcPr>
            <w:tcW w:w="2240" w:type="dxa"/>
            <w:gridSpan w:val="2"/>
            <w:tcBorders>
              <w:top w:val="single" w:sz="4" w:space="0" w:color="auto"/>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 xml:space="preserve">　</w:t>
            </w:r>
          </w:p>
        </w:tc>
        <w:tc>
          <w:tcPr>
            <w:tcW w:w="1840" w:type="dxa"/>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 xml:space="preserve">　</w:t>
            </w:r>
          </w:p>
        </w:tc>
        <w:tc>
          <w:tcPr>
            <w:tcW w:w="1660" w:type="dxa"/>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 xml:space="preserve">　</w:t>
            </w:r>
          </w:p>
        </w:tc>
        <w:tc>
          <w:tcPr>
            <w:tcW w:w="1420" w:type="dxa"/>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 xml:space="preserve">　</w:t>
            </w:r>
          </w:p>
        </w:tc>
      </w:tr>
      <w:tr w:rsidR="00000000">
        <w:trPr>
          <w:trHeight w:val="300"/>
        </w:trPr>
        <w:tc>
          <w:tcPr>
            <w:tcW w:w="0" w:type="auto"/>
            <w:vMerge/>
            <w:tcBorders>
              <w:top w:val="nil"/>
              <w:left w:val="single" w:sz="4" w:space="0" w:color="auto"/>
              <w:bottom w:val="single" w:sz="4" w:space="0" w:color="auto"/>
              <w:right w:val="single" w:sz="4" w:space="0" w:color="auto"/>
            </w:tcBorders>
            <w:vAlign w:val="center"/>
            <w:hideMark/>
          </w:tcPr>
          <w:p w:rsidR="00000000" w:rsidRDefault="00EE4D28">
            <w:pPr>
              <w:rPr>
                <w:color w:val="000000"/>
                <w:sz w:val="20"/>
                <w:szCs w:val="20"/>
              </w:rPr>
            </w:pPr>
          </w:p>
        </w:tc>
        <w:tc>
          <w:tcPr>
            <w:tcW w:w="0" w:type="auto"/>
            <w:vMerge/>
            <w:tcBorders>
              <w:top w:val="nil"/>
              <w:left w:val="nil"/>
              <w:bottom w:val="single" w:sz="4" w:space="0" w:color="auto"/>
              <w:right w:val="single" w:sz="4" w:space="0" w:color="auto"/>
            </w:tcBorders>
            <w:vAlign w:val="center"/>
            <w:hideMark/>
          </w:tcPr>
          <w:p w:rsidR="00000000" w:rsidRDefault="00EE4D28">
            <w:pPr>
              <w:rPr>
                <w:sz w:val="20"/>
                <w:szCs w:val="20"/>
              </w:rPr>
            </w:pPr>
          </w:p>
        </w:tc>
        <w:tc>
          <w:tcPr>
            <w:tcW w:w="0" w:type="auto"/>
            <w:vMerge/>
            <w:tcBorders>
              <w:top w:val="nil"/>
              <w:left w:val="nil"/>
              <w:bottom w:val="single" w:sz="4" w:space="0" w:color="auto"/>
              <w:right w:val="single" w:sz="4" w:space="0" w:color="auto"/>
            </w:tcBorders>
            <w:vAlign w:val="center"/>
            <w:hideMark/>
          </w:tcPr>
          <w:p w:rsidR="00000000" w:rsidRDefault="00EE4D28">
            <w:pPr>
              <w:rPr>
                <w:sz w:val="20"/>
                <w:szCs w:val="20"/>
              </w:rPr>
            </w:pPr>
          </w:p>
        </w:tc>
        <w:tc>
          <w:tcPr>
            <w:tcW w:w="2240" w:type="dxa"/>
            <w:gridSpan w:val="2"/>
            <w:tcBorders>
              <w:top w:val="single" w:sz="4" w:space="0" w:color="auto"/>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 xml:space="preserve">　</w:t>
            </w:r>
          </w:p>
        </w:tc>
        <w:tc>
          <w:tcPr>
            <w:tcW w:w="1840" w:type="dxa"/>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 xml:space="preserve">　</w:t>
            </w:r>
          </w:p>
        </w:tc>
        <w:tc>
          <w:tcPr>
            <w:tcW w:w="1660" w:type="dxa"/>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 xml:space="preserve">　</w:t>
            </w:r>
          </w:p>
        </w:tc>
        <w:tc>
          <w:tcPr>
            <w:tcW w:w="1420" w:type="dxa"/>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 xml:space="preserve">　</w:t>
            </w:r>
          </w:p>
        </w:tc>
      </w:tr>
      <w:tr w:rsidR="00000000">
        <w:trPr>
          <w:trHeight w:val="300"/>
        </w:trPr>
        <w:tc>
          <w:tcPr>
            <w:tcW w:w="0" w:type="auto"/>
            <w:vMerge/>
            <w:tcBorders>
              <w:top w:val="nil"/>
              <w:left w:val="single" w:sz="4" w:space="0" w:color="auto"/>
              <w:bottom w:val="single" w:sz="4" w:space="0" w:color="auto"/>
              <w:right w:val="single" w:sz="4" w:space="0" w:color="auto"/>
            </w:tcBorders>
            <w:vAlign w:val="center"/>
            <w:hideMark/>
          </w:tcPr>
          <w:p w:rsidR="00000000" w:rsidRDefault="00EE4D28">
            <w:pPr>
              <w:rPr>
                <w:color w:val="000000"/>
                <w:sz w:val="20"/>
                <w:szCs w:val="20"/>
              </w:rPr>
            </w:pPr>
          </w:p>
        </w:tc>
        <w:tc>
          <w:tcPr>
            <w:tcW w:w="0" w:type="auto"/>
            <w:vMerge/>
            <w:tcBorders>
              <w:top w:val="nil"/>
              <w:left w:val="nil"/>
              <w:bottom w:val="single" w:sz="4" w:space="0" w:color="auto"/>
              <w:right w:val="single" w:sz="4" w:space="0" w:color="auto"/>
            </w:tcBorders>
            <w:vAlign w:val="center"/>
            <w:hideMark/>
          </w:tcPr>
          <w:p w:rsidR="00000000" w:rsidRDefault="00EE4D28">
            <w:pPr>
              <w:rPr>
                <w:sz w:val="20"/>
                <w:szCs w:val="20"/>
              </w:rPr>
            </w:pPr>
          </w:p>
        </w:tc>
        <w:tc>
          <w:tcPr>
            <w:tcW w:w="1120" w:type="dxa"/>
            <w:vMerge w:val="restart"/>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sz w:val="20"/>
                <w:szCs w:val="20"/>
              </w:rPr>
            </w:pPr>
            <w:r>
              <w:rPr>
                <w:rFonts w:hint="eastAsia"/>
                <w:sz w:val="20"/>
                <w:szCs w:val="20"/>
              </w:rPr>
              <w:t>社会效益</w:t>
            </w:r>
            <w:r>
              <w:rPr>
                <w:rFonts w:hint="eastAsia"/>
                <w:sz w:val="20"/>
                <w:szCs w:val="20"/>
              </w:rPr>
              <w:br/>
            </w:r>
            <w:r>
              <w:rPr>
                <w:rFonts w:hint="eastAsia"/>
                <w:sz w:val="20"/>
                <w:szCs w:val="20"/>
              </w:rPr>
              <w:t>指标</w:t>
            </w:r>
          </w:p>
        </w:tc>
        <w:tc>
          <w:tcPr>
            <w:tcW w:w="2240" w:type="dxa"/>
            <w:gridSpan w:val="2"/>
            <w:tcBorders>
              <w:top w:val="single" w:sz="4" w:space="0" w:color="auto"/>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养护项目受益村社数量</w:t>
            </w:r>
          </w:p>
        </w:tc>
        <w:tc>
          <w:tcPr>
            <w:tcW w:w="1840" w:type="dxa"/>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11</w:t>
            </w:r>
            <w:r>
              <w:rPr>
                <w:rFonts w:hint="eastAsia"/>
                <w:color w:val="000000"/>
                <w:sz w:val="20"/>
                <w:szCs w:val="20"/>
              </w:rPr>
              <w:t>个</w:t>
            </w:r>
          </w:p>
        </w:tc>
        <w:tc>
          <w:tcPr>
            <w:tcW w:w="1660" w:type="dxa"/>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11</w:t>
            </w:r>
            <w:r>
              <w:rPr>
                <w:rFonts w:hint="eastAsia"/>
                <w:color w:val="000000"/>
                <w:sz w:val="20"/>
                <w:szCs w:val="20"/>
              </w:rPr>
              <w:t>个</w:t>
            </w:r>
          </w:p>
        </w:tc>
        <w:tc>
          <w:tcPr>
            <w:tcW w:w="1420" w:type="dxa"/>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 xml:space="preserve">　</w:t>
            </w:r>
          </w:p>
        </w:tc>
      </w:tr>
      <w:tr w:rsidR="00000000">
        <w:trPr>
          <w:trHeight w:val="300"/>
        </w:trPr>
        <w:tc>
          <w:tcPr>
            <w:tcW w:w="0" w:type="auto"/>
            <w:vMerge/>
            <w:tcBorders>
              <w:top w:val="nil"/>
              <w:left w:val="single" w:sz="4" w:space="0" w:color="auto"/>
              <w:bottom w:val="single" w:sz="4" w:space="0" w:color="auto"/>
              <w:right w:val="single" w:sz="4" w:space="0" w:color="auto"/>
            </w:tcBorders>
            <w:vAlign w:val="center"/>
            <w:hideMark/>
          </w:tcPr>
          <w:p w:rsidR="00000000" w:rsidRDefault="00EE4D28">
            <w:pPr>
              <w:rPr>
                <w:color w:val="000000"/>
                <w:sz w:val="20"/>
                <w:szCs w:val="20"/>
              </w:rPr>
            </w:pPr>
          </w:p>
        </w:tc>
        <w:tc>
          <w:tcPr>
            <w:tcW w:w="0" w:type="auto"/>
            <w:vMerge/>
            <w:tcBorders>
              <w:top w:val="nil"/>
              <w:left w:val="nil"/>
              <w:bottom w:val="single" w:sz="4" w:space="0" w:color="auto"/>
              <w:right w:val="single" w:sz="4" w:space="0" w:color="auto"/>
            </w:tcBorders>
            <w:vAlign w:val="center"/>
            <w:hideMark/>
          </w:tcPr>
          <w:p w:rsidR="00000000" w:rsidRDefault="00EE4D28">
            <w:pPr>
              <w:rPr>
                <w:sz w:val="20"/>
                <w:szCs w:val="20"/>
              </w:rPr>
            </w:pPr>
          </w:p>
        </w:tc>
        <w:tc>
          <w:tcPr>
            <w:tcW w:w="0" w:type="auto"/>
            <w:vMerge/>
            <w:tcBorders>
              <w:top w:val="nil"/>
              <w:left w:val="nil"/>
              <w:bottom w:val="single" w:sz="4" w:space="0" w:color="auto"/>
              <w:right w:val="single" w:sz="4" w:space="0" w:color="auto"/>
            </w:tcBorders>
            <w:vAlign w:val="center"/>
            <w:hideMark/>
          </w:tcPr>
          <w:p w:rsidR="00000000" w:rsidRDefault="00EE4D28">
            <w:pPr>
              <w:rPr>
                <w:sz w:val="20"/>
                <w:szCs w:val="20"/>
              </w:rPr>
            </w:pPr>
          </w:p>
        </w:tc>
        <w:tc>
          <w:tcPr>
            <w:tcW w:w="2240" w:type="dxa"/>
            <w:gridSpan w:val="2"/>
            <w:tcBorders>
              <w:top w:val="single" w:sz="4" w:space="0" w:color="auto"/>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 xml:space="preserve">　</w:t>
            </w:r>
          </w:p>
        </w:tc>
        <w:tc>
          <w:tcPr>
            <w:tcW w:w="1840" w:type="dxa"/>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 xml:space="preserve">　</w:t>
            </w:r>
          </w:p>
        </w:tc>
        <w:tc>
          <w:tcPr>
            <w:tcW w:w="1660" w:type="dxa"/>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 xml:space="preserve">　</w:t>
            </w:r>
          </w:p>
        </w:tc>
        <w:tc>
          <w:tcPr>
            <w:tcW w:w="1420" w:type="dxa"/>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 xml:space="preserve">　</w:t>
            </w:r>
          </w:p>
        </w:tc>
      </w:tr>
      <w:tr w:rsidR="00000000">
        <w:trPr>
          <w:trHeight w:val="300"/>
        </w:trPr>
        <w:tc>
          <w:tcPr>
            <w:tcW w:w="0" w:type="auto"/>
            <w:vMerge/>
            <w:tcBorders>
              <w:top w:val="nil"/>
              <w:left w:val="single" w:sz="4" w:space="0" w:color="auto"/>
              <w:bottom w:val="single" w:sz="4" w:space="0" w:color="auto"/>
              <w:right w:val="single" w:sz="4" w:space="0" w:color="auto"/>
            </w:tcBorders>
            <w:vAlign w:val="center"/>
            <w:hideMark/>
          </w:tcPr>
          <w:p w:rsidR="00000000" w:rsidRDefault="00EE4D28">
            <w:pPr>
              <w:rPr>
                <w:color w:val="000000"/>
                <w:sz w:val="20"/>
                <w:szCs w:val="20"/>
              </w:rPr>
            </w:pPr>
          </w:p>
        </w:tc>
        <w:tc>
          <w:tcPr>
            <w:tcW w:w="0" w:type="auto"/>
            <w:vMerge/>
            <w:tcBorders>
              <w:top w:val="nil"/>
              <w:left w:val="nil"/>
              <w:bottom w:val="single" w:sz="4" w:space="0" w:color="auto"/>
              <w:right w:val="single" w:sz="4" w:space="0" w:color="auto"/>
            </w:tcBorders>
            <w:vAlign w:val="center"/>
            <w:hideMark/>
          </w:tcPr>
          <w:p w:rsidR="00000000" w:rsidRDefault="00EE4D28">
            <w:pPr>
              <w:rPr>
                <w:sz w:val="20"/>
                <w:szCs w:val="20"/>
              </w:rPr>
            </w:pPr>
          </w:p>
        </w:tc>
        <w:tc>
          <w:tcPr>
            <w:tcW w:w="0" w:type="auto"/>
            <w:vMerge/>
            <w:tcBorders>
              <w:top w:val="nil"/>
              <w:left w:val="nil"/>
              <w:bottom w:val="single" w:sz="4" w:space="0" w:color="auto"/>
              <w:right w:val="single" w:sz="4" w:space="0" w:color="auto"/>
            </w:tcBorders>
            <w:vAlign w:val="center"/>
            <w:hideMark/>
          </w:tcPr>
          <w:p w:rsidR="00000000" w:rsidRDefault="00EE4D28">
            <w:pPr>
              <w:rPr>
                <w:sz w:val="20"/>
                <w:szCs w:val="20"/>
              </w:rPr>
            </w:pPr>
          </w:p>
        </w:tc>
        <w:tc>
          <w:tcPr>
            <w:tcW w:w="2240" w:type="dxa"/>
            <w:gridSpan w:val="2"/>
            <w:tcBorders>
              <w:top w:val="single" w:sz="4" w:space="0" w:color="auto"/>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 xml:space="preserve">　</w:t>
            </w:r>
          </w:p>
        </w:tc>
        <w:tc>
          <w:tcPr>
            <w:tcW w:w="1840" w:type="dxa"/>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 xml:space="preserve">　</w:t>
            </w:r>
          </w:p>
        </w:tc>
        <w:tc>
          <w:tcPr>
            <w:tcW w:w="1660" w:type="dxa"/>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 xml:space="preserve">　</w:t>
            </w:r>
          </w:p>
        </w:tc>
        <w:tc>
          <w:tcPr>
            <w:tcW w:w="1420" w:type="dxa"/>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 xml:space="preserve">　</w:t>
            </w:r>
          </w:p>
        </w:tc>
      </w:tr>
      <w:tr w:rsidR="00000000">
        <w:trPr>
          <w:trHeight w:val="300"/>
        </w:trPr>
        <w:tc>
          <w:tcPr>
            <w:tcW w:w="0" w:type="auto"/>
            <w:vMerge/>
            <w:tcBorders>
              <w:top w:val="nil"/>
              <w:left w:val="single" w:sz="4" w:space="0" w:color="auto"/>
              <w:bottom w:val="single" w:sz="4" w:space="0" w:color="auto"/>
              <w:right w:val="single" w:sz="4" w:space="0" w:color="auto"/>
            </w:tcBorders>
            <w:vAlign w:val="center"/>
            <w:hideMark/>
          </w:tcPr>
          <w:p w:rsidR="00000000" w:rsidRDefault="00EE4D28">
            <w:pPr>
              <w:rPr>
                <w:color w:val="000000"/>
                <w:sz w:val="20"/>
                <w:szCs w:val="20"/>
              </w:rPr>
            </w:pPr>
          </w:p>
        </w:tc>
        <w:tc>
          <w:tcPr>
            <w:tcW w:w="0" w:type="auto"/>
            <w:vMerge/>
            <w:tcBorders>
              <w:top w:val="nil"/>
              <w:left w:val="nil"/>
              <w:bottom w:val="single" w:sz="4" w:space="0" w:color="auto"/>
              <w:right w:val="single" w:sz="4" w:space="0" w:color="auto"/>
            </w:tcBorders>
            <w:vAlign w:val="center"/>
            <w:hideMark/>
          </w:tcPr>
          <w:p w:rsidR="00000000" w:rsidRDefault="00EE4D28">
            <w:pPr>
              <w:rPr>
                <w:sz w:val="20"/>
                <w:szCs w:val="20"/>
              </w:rPr>
            </w:pPr>
          </w:p>
        </w:tc>
        <w:tc>
          <w:tcPr>
            <w:tcW w:w="1120" w:type="dxa"/>
            <w:vMerge w:val="restart"/>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sz w:val="20"/>
                <w:szCs w:val="20"/>
              </w:rPr>
            </w:pPr>
            <w:r>
              <w:rPr>
                <w:rFonts w:hint="eastAsia"/>
                <w:sz w:val="20"/>
                <w:szCs w:val="20"/>
              </w:rPr>
              <w:t>生态效益</w:t>
            </w:r>
            <w:r>
              <w:rPr>
                <w:rFonts w:hint="eastAsia"/>
                <w:sz w:val="20"/>
                <w:szCs w:val="20"/>
              </w:rPr>
              <w:br/>
            </w:r>
            <w:r>
              <w:rPr>
                <w:rFonts w:hint="eastAsia"/>
                <w:sz w:val="20"/>
                <w:szCs w:val="20"/>
              </w:rPr>
              <w:t>指标</w:t>
            </w:r>
          </w:p>
        </w:tc>
        <w:tc>
          <w:tcPr>
            <w:tcW w:w="2240" w:type="dxa"/>
            <w:gridSpan w:val="2"/>
            <w:tcBorders>
              <w:top w:val="single" w:sz="4" w:space="0" w:color="auto"/>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 xml:space="preserve">　</w:t>
            </w:r>
          </w:p>
        </w:tc>
        <w:tc>
          <w:tcPr>
            <w:tcW w:w="1840" w:type="dxa"/>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 xml:space="preserve">　</w:t>
            </w:r>
          </w:p>
        </w:tc>
        <w:tc>
          <w:tcPr>
            <w:tcW w:w="1660" w:type="dxa"/>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 xml:space="preserve">　</w:t>
            </w:r>
          </w:p>
        </w:tc>
        <w:tc>
          <w:tcPr>
            <w:tcW w:w="1420" w:type="dxa"/>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 xml:space="preserve">　</w:t>
            </w:r>
          </w:p>
        </w:tc>
      </w:tr>
      <w:tr w:rsidR="00000000">
        <w:trPr>
          <w:trHeight w:val="300"/>
        </w:trPr>
        <w:tc>
          <w:tcPr>
            <w:tcW w:w="0" w:type="auto"/>
            <w:vMerge/>
            <w:tcBorders>
              <w:top w:val="nil"/>
              <w:left w:val="single" w:sz="4" w:space="0" w:color="auto"/>
              <w:bottom w:val="single" w:sz="4" w:space="0" w:color="auto"/>
              <w:right w:val="single" w:sz="4" w:space="0" w:color="auto"/>
            </w:tcBorders>
            <w:vAlign w:val="center"/>
            <w:hideMark/>
          </w:tcPr>
          <w:p w:rsidR="00000000" w:rsidRDefault="00EE4D28">
            <w:pPr>
              <w:rPr>
                <w:color w:val="000000"/>
                <w:sz w:val="20"/>
                <w:szCs w:val="20"/>
              </w:rPr>
            </w:pPr>
          </w:p>
        </w:tc>
        <w:tc>
          <w:tcPr>
            <w:tcW w:w="0" w:type="auto"/>
            <w:vMerge/>
            <w:tcBorders>
              <w:top w:val="nil"/>
              <w:left w:val="nil"/>
              <w:bottom w:val="single" w:sz="4" w:space="0" w:color="auto"/>
              <w:right w:val="single" w:sz="4" w:space="0" w:color="auto"/>
            </w:tcBorders>
            <w:vAlign w:val="center"/>
            <w:hideMark/>
          </w:tcPr>
          <w:p w:rsidR="00000000" w:rsidRDefault="00EE4D28">
            <w:pPr>
              <w:rPr>
                <w:sz w:val="20"/>
                <w:szCs w:val="20"/>
              </w:rPr>
            </w:pPr>
          </w:p>
        </w:tc>
        <w:tc>
          <w:tcPr>
            <w:tcW w:w="0" w:type="auto"/>
            <w:vMerge/>
            <w:tcBorders>
              <w:top w:val="nil"/>
              <w:left w:val="nil"/>
              <w:bottom w:val="single" w:sz="4" w:space="0" w:color="auto"/>
              <w:right w:val="single" w:sz="4" w:space="0" w:color="auto"/>
            </w:tcBorders>
            <w:vAlign w:val="center"/>
            <w:hideMark/>
          </w:tcPr>
          <w:p w:rsidR="00000000" w:rsidRDefault="00EE4D28">
            <w:pPr>
              <w:rPr>
                <w:sz w:val="20"/>
                <w:szCs w:val="20"/>
              </w:rPr>
            </w:pPr>
          </w:p>
        </w:tc>
        <w:tc>
          <w:tcPr>
            <w:tcW w:w="2240" w:type="dxa"/>
            <w:gridSpan w:val="2"/>
            <w:tcBorders>
              <w:top w:val="single" w:sz="4" w:space="0" w:color="auto"/>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 xml:space="preserve">　</w:t>
            </w:r>
          </w:p>
        </w:tc>
        <w:tc>
          <w:tcPr>
            <w:tcW w:w="1840" w:type="dxa"/>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 xml:space="preserve">　</w:t>
            </w:r>
          </w:p>
        </w:tc>
        <w:tc>
          <w:tcPr>
            <w:tcW w:w="1660" w:type="dxa"/>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 xml:space="preserve">　</w:t>
            </w:r>
          </w:p>
        </w:tc>
        <w:tc>
          <w:tcPr>
            <w:tcW w:w="1420" w:type="dxa"/>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 xml:space="preserve">　</w:t>
            </w:r>
          </w:p>
        </w:tc>
      </w:tr>
      <w:tr w:rsidR="00000000">
        <w:trPr>
          <w:trHeight w:val="300"/>
        </w:trPr>
        <w:tc>
          <w:tcPr>
            <w:tcW w:w="0" w:type="auto"/>
            <w:vMerge/>
            <w:tcBorders>
              <w:top w:val="nil"/>
              <w:left w:val="single" w:sz="4" w:space="0" w:color="auto"/>
              <w:bottom w:val="single" w:sz="4" w:space="0" w:color="auto"/>
              <w:right w:val="single" w:sz="4" w:space="0" w:color="auto"/>
            </w:tcBorders>
            <w:vAlign w:val="center"/>
            <w:hideMark/>
          </w:tcPr>
          <w:p w:rsidR="00000000" w:rsidRDefault="00EE4D28">
            <w:pPr>
              <w:rPr>
                <w:color w:val="000000"/>
                <w:sz w:val="20"/>
                <w:szCs w:val="20"/>
              </w:rPr>
            </w:pPr>
          </w:p>
        </w:tc>
        <w:tc>
          <w:tcPr>
            <w:tcW w:w="0" w:type="auto"/>
            <w:vMerge/>
            <w:tcBorders>
              <w:top w:val="nil"/>
              <w:left w:val="nil"/>
              <w:bottom w:val="single" w:sz="4" w:space="0" w:color="auto"/>
              <w:right w:val="single" w:sz="4" w:space="0" w:color="auto"/>
            </w:tcBorders>
            <w:vAlign w:val="center"/>
            <w:hideMark/>
          </w:tcPr>
          <w:p w:rsidR="00000000" w:rsidRDefault="00EE4D28">
            <w:pPr>
              <w:rPr>
                <w:sz w:val="20"/>
                <w:szCs w:val="20"/>
              </w:rPr>
            </w:pPr>
          </w:p>
        </w:tc>
        <w:tc>
          <w:tcPr>
            <w:tcW w:w="0" w:type="auto"/>
            <w:vMerge/>
            <w:tcBorders>
              <w:top w:val="nil"/>
              <w:left w:val="nil"/>
              <w:bottom w:val="single" w:sz="4" w:space="0" w:color="auto"/>
              <w:right w:val="single" w:sz="4" w:space="0" w:color="auto"/>
            </w:tcBorders>
            <w:vAlign w:val="center"/>
            <w:hideMark/>
          </w:tcPr>
          <w:p w:rsidR="00000000" w:rsidRDefault="00EE4D28">
            <w:pPr>
              <w:rPr>
                <w:sz w:val="20"/>
                <w:szCs w:val="20"/>
              </w:rPr>
            </w:pPr>
          </w:p>
        </w:tc>
        <w:tc>
          <w:tcPr>
            <w:tcW w:w="2240" w:type="dxa"/>
            <w:gridSpan w:val="2"/>
            <w:tcBorders>
              <w:top w:val="single" w:sz="4" w:space="0" w:color="auto"/>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 xml:space="preserve">　</w:t>
            </w:r>
          </w:p>
        </w:tc>
        <w:tc>
          <w:tcPr>
            <w:tcW w:w="1840" w:type="dxa"/>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 xml:space="preserve">　</w:t>
            </w:r>
          </w:p>
        </w:tc>
        <w:tc>
          <w:tcPr>
            <w:tcW w:w="1660" w:type="dxa"/>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 xml:space="preserve">　</w:t>
            </w:r>
          </w:p>
        </w:tc>
        <w:tc>
          <w:tcPr>
            <w:tcW w:w="1420" w:type="dxa"/>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 xml:space="preserve">　</w:t>
            </w:r>
          </w:p>
        </w:tc>
      </w:tr>
      <w:tr w:rsidR="00000000">
        <w:trPr>
          <w:trHeight w:val="300"/>
        </w:trPr>
        <w:tc>
          <w:tcPr>
            <w:tcW w:w="0" w:type="auto"/>
            <w:vMerge/>
            <w:tcBorders>
              <w:top w:val="nil"/>
              <w:left w:val="single" w:sz="4" w:space="0" w:color="auto"/>
              <w:bottom w:val="single" w:sz="4" w:space="0" w:color="auto"/>
              <w:right w:val="single" w:sz="4" w:space="0" w:color="auto"/>
            </w:tcBorders>
            <w:vAlign w:val="center"/>
            <w:hideMark/>
          </w:tcPr>
          <w:p w:rsidR="00000000" w:rsidRDefault="00EE4D28">
            <w:pPr>
              <w:rPr>
                <w:color w:val="000000"/>
                <w:sz w:val="20"/>
                <w:szCs w:val="20"/>
              </w:rPr>
            </w:pPr>
          </w:p>
        </w:tc>
        <w:tc>
          <w:tcPr>
            <w:tcW w:w="0" w:type="auto"/>
            <w:vMerge/>
            <w:tcBorders>
              <w:top w:val="nil"/>
              <w:left w:val="nil"/>
              <w:bottom w:val="single" w:sz="4" w:space="0" w:color="auto"/>
              <w:right w:val="single" w:sz="4" w:space="0" w:color="auto"/>
            </w:tcBorders>
            <w:vAlign w:val="center"/>
            <w:hideMark/>
          </w:tcPr>
          <w:p w:rsidR="00000000" w:rsidRDefault="00EE4D28">
            <w:pPr>
              <w:rPr>
                <w:sz w:val="20"/>
                <w:szCs w:val="20"/>
              </w:rPr>
            </w:pPr>
          </w:p>
        </w:tc>
        <w:tc>
          <w:tcPr>
            <w:tcW w:w="1120" w:type="dxa"/>
            <w:vMerge w:val="restart"/>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sz w:val="20"/>
                <w:szCs w:val="20"/>
              </w:rPr>
            </w:pPr>
            <w:r>
              <w:rPr>
                <w:rFonts w:hint="eastAsia"/>
                <w:sz w:val="20"/>
                <w:szCs w:val="20"/>
              </w:rPr>
              <w:t>可持续影响指标</w:t>
            </w:r>
          </w:p>
        </w:tc>
        <w:tc>
          <w:tcPr>
            <w:tcW w:w="2240" w:type="dxa"/>
            <w:gridSpan w:val="2"/>
            <w:tcBorders>
              <w:top w:val="single" w:sz="4" w:space="0" w:color="auto"/>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乡村道公路列养率</w:t>
            </w:r>
          </w:p>
        </w:tc>
        <w:tc>
          <w:tcPr>
            <w:tcW w:w="1840" w:type="dxa"/>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w:t>
            </w:r>
            <w:r>
              <w:rPr>
                <w:rFonts w:hint="eastAsia"/>
                <w:color w:val="000000"/>
                <w:sz w:val="20"/>
                <w:szCs w:val="20"/>
              </w:rPr>
              <w:t>95%</w:t>
            </w:r>
          </w:p>
        </w:tc>
        <w:tc>
          <w:tcPr>
            <w:tcW w:w="1660" w:type="dxa"/>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w:t>
            </w:r>
            <w:r>
              <w:rPr>
                <w:rFonts w:hint="eastAsia"/>
                <w:color w:val="000000"/>
                <w:sz w:val="20"/>
                <w:szCs w:val="20"/>
              </w:rPr>
              <w:t>95%</w:t>
            </w:r>
          </w:p>
        </w:tc>
        <w:tc>
          <w:tcPr>
            <w:tcW w:w="1420" w:type="dxa"/>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 xml:space="preserve">　</w:t>
            </w:r>
          </w:p>
        </w:tc>
      </w:tr>
      <w:tr w:rsidR="00000000">
        <w:trPr>
          <w:trHeight w:val="300"/>
        </w:trPr>
        <w:tc>
          <w:tcPr>
            <w:tcW w:w="0" w:type="auto"/>
            <w:vMerge/>
            <w:tcBorders>
              <w:top w:val="nil"/>
              <w:left w:val="single" w:sz="4" w:space="0" w:color="auto"/>
              <w:bottom w:val="single" w:sz="4" w:space="0" w:color="auto"/>
              <w:right w:val="single" w:sz="4" w:space="0" w:color="auto"/>
            </w:tcBorders>
            <w:vAlign w:val="center"/>
            <w:hideMark/>
          </w:tcPr>
          <w:p w:rsidR="00000000" w:rsidRDefault="00EE4D28">
            <w:pPr>
              <w:rPr>
                <w:color w:val="000000"/>
                <w:sz w:val="20"/>
                <w:szCs w:val="20"/>
              </w:rPr>
            </w:pPr>
          </w:p>
        </w:tc>
        <w:tc>
          <w:tcPr>
            <w:tcW w:w="0" w:type="auto"/>
            <w:vMerge/>
            <w:tcBorders>
              <w:top w:val="nil"/>
              <w:left w:val="nil"/>
              <w:bottom w:val="single" w:sz="4" w:space="0" w:color="auto"/>
              <w:right w:val="single" w:sz="4" w:space="0" w:color="auto"/>
            </w:tcBorders>
            <w:vAlign w:val="center"/>
            <w:hideMark/>
          </w:tcPr>
          <w:p w:rsidR="00000000" w:rsidRDefault="00EE4D28">
            <w:pPr>
              <w:rPr>
                <w:sz w:val="20"/>
                <w:szCs w:val="20"/>
              </w:rPr>
            </w:pPr>
          </w:p>
        </w:tc>
        <w:tc>
          <w:tcPr>
            <w:tcW w:w="0" w:type="auto"/>
            <w:vMerge/>
            <w:tcBorders>
              <w:top w:val="nil"/>
              <w:left w:val="nil"/>
              <w:bottom w:val="single" w:sz="4" w:space="0" w:color="auto"/>
              <w:right w:val="single" w:sz="4" w:space="0" w:color="auto"/>
            </w:tcBorders>
            <w:vAlign w:val="center"/>
            <w:hideMark/>
          </w:tcPr>
          <w:p w:rsidR="00000000" w:rsidRDefault="00EE4D28">
            <w:pPr>
              <w:rPr>
                <w:sz w:val="20"/>
                <w:szCs w:val="20"/>
              </w:rPr>
            </w:pPr>
          </w:p>
        </w:tc>
        <w:tc>
          <w:tcPr>
            <w:tcW w:w="2240" w:type="dxa"/>
            <w:gridSpan w:val="2"/>
            <w:tcBorders>
              <w:top w:val="single" w:sz="4" w:space="0" w:color="auto"/>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 xml:space="preserve">　</w:t>
            </w:r>
          </w:p>
        </w:tc>
        <w:tc>
          <w:tcPr>
            <w:tcW w:w="1840" w:type="dxa"/>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 xml:space="preserve">　</w:t>
            </w:r>
          </w:p>
        </w:tc>
        <w:tc>
          <w:tcPr>
            <w:tcW w:w="1660" w:type="dxa"/>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 xml:space="preserve">　</w:t>
            </w:r>
          </w:p>
        </w:tc>
        <w:tc>
          <w:tcPr>
            <w:tcW w:w="1420" w:type="dxa"/>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 xml:space="preserve">　</w:t>
            </w:r>
          </w:p>
        </w:tc>
      </w:tr>
      <w:tr w:rsidR="00000000">
        <w:trPr>
          <w:trHeight w:val="300"/>
        </w:trPr>
        <w:tc>
          <w:tcPr>
            <w:tcW w:w="0" w:type="auto"/>
            <w:vMerge/>
            <w:tcBorders>
              <w:top w:val="nil"/>
              <w:left w:val="single" w:sz="4" w:space="0" w:color="auto"/>
              <w:bottom w:val="single" w:sz="4" w:space="0" w:color="auto"/>
              <w:right w:val="single" w:sz="4" w:space="0" w:color="auto"/>
            </w:tcBorders>
            <w:vAlign w:val="center"/>
            <w:hideMark/>
          </w:tcPr>
          <w:p w:rsidR="00000000" w:rsidRDefault="00EE4D28">
            <w:pPr>
              <w:rPr>
                <w:color w:val="000000"/>
                <w:sz w:val="20"/>
                <w:szCs w:val="20"/>
              </w:rPr>
            </w:pPr>
          </w:p>
        </w:tc>
        <w:tc>
          <w:tcPr>
            <w:tcW w:w="0" w:type="auto"/>
            <w:vMerge/>
            <w:tcBorders>
              <w:top w:val="nil"/>
              <w:left w:val="nil"/>
              <w:bottom w:val="single" w:sz="4" w:space="0" w:color="auto"/>
              <w:right w:val="single" w:sz="4" w:space="0" w:color="auto"/>
            </w:tcBorders>
            <w:vAlign w:val="center"/>
            <w:hideMark/>
          </w:tcPr>
          <w:p w:rsidR="00000000" w:rsidRDefault="00EE4D28">
            <w:pPr>
              <w:rPr>
                <w:sz w:val="20"/>
                <w:szCs w:val="20"/>
              </w:rPr>
            </w:pPr>
          </w:p>
        </w:tc>
        <w:tc>
          <w:tcPr>
            <w:tcW w:w="0" w:type="auto"/>
            <w:vMerge/>
            <w:tcBorders>
              <w:top w:val="nil"/>
              <w:left w:val="nil"/>
              <w:bottom w:val="single" w:sz="4" w:space="0" w:color="auto"/>
              <w:right w:val="single" w:sz="4" w:space="0" w:color="auto"/>
            </w:tcBorders>
            <w:vAlign w:val="center"/>
            <w:hideMark/>
          </w:tcPr>
          <w:p w:rsidR="00000000" w:rsidRDefault="00EE4D28">
            <w:pPr>
              <w:rPr>
                <w:sz w:val="20"/>
                <w:szCs w:val="20"/>
              </w:rPr>
            </w:pPr>
          </w:p>
        </w:tc>
        <w:tc>
          <w:tcPr>
            <w:tcW w:w="2240" w:type="dxa"/>
            <w:gridSpan w:val="2"/>
            <w:tcBorders>
              <w:top w:val="single" w:sz="4" w:space="0" w:color="auto"/>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 xml:space="preserve">　</w:t>
            </w:r>
          </w:p>
        </w:tc>
        <w:tc>
          <w:tcPr>
            <w:tcW w:w="1840" w:type="dxa"/>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 xml:space="preserve">　</w:t>
            </w:r>
          </w:p>
        </w:tc>
        <w:tc>
          <w:tcPr>
            <w:tcW w:w="1660" w:type="dxa"/>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 xml:space="preserve">　</w:t>
            </w:r>
          </w:p>
        </w:tc>
        <w:tc>
          <w:tcPr>
            <w:tcW w:w="1420" w:type="dxa"/>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 xml:space="preserve">　</w:t>
            </w:r>
          </w:p>
        </w:tc>
      </w:tr>
      <w:tr w:rsidR="00000000">
        <w:trPr>
          <w:trHeight w:val="300"/>
        </w:trPr>
        <w:tc>
          <w:tcPr>
            <w:tcW w:w="0" w:type="auto"/>
            <w:vMerge/>
            <w:tcBorders>
              <w:top w:val="nil"/>
              <w:left w:val="single" w:sz="4" w:space="0" w:color="auto"/>
              <w:bottom w:val="single" w:sz="4" w:space="0" w:color="auto"/>
              <w:right w:val="single" w:sz="4" w:space="0" w:color="auto"/>
            </w:tcBorders>
            <w:vAlign w:val="center"/>
            <w:hideMark/>
          </w:tcPr>
          <w:p w:rsidR="00000000" w:rsidRDefault="00EE4D28">
            <w:pPr>
              <w:rPr>
                <w:color w:val="000000"/>
                <w:sz w:val="20"/>
                <w:szCs w:val="20"/>
              </w:rPr>
            </w:pPr>
          </w:p>
        </w:tc>
        <w:tc>
          <w:tcPr>
            <w:tcW w:w="0" w:type="auto"/>
            <w:vMerge/>
            <w:tcBorders>
              <w:top w:val="nil"/>
              <w:left w:val="nil"/>
              <w:bottom w:val="single" w:sz="4" w:space="0" w:color="auto"/>
              <w:right w:val="single" w:sz="4" w:space="0" w:color="auto"/>
            </w:tcBorders>
            <w:vAlign w:val="center"/>
            <w:hideMark/>
          </w:tcPr>
          <w:p w:rsidR="00000000" w:rsidRDefault="00EE4D28">
            <w:pPr>
              <w:rPr>
                <w:sz w:val="20"/>
                <w:szCs w:val="20"/>
              </w:rPr>
            </w:pPr>
          </w:p>
        </w:tc>
        <w:tc>
          <w:tcPr>
            <w:tcW w:w="1120" w:type="dxa"/>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sz w:val="20"/>
                <w:szCs w:val="20"/>
              </w:rPr>
            </w:pPr>
            <w:r>
              <w:rPr>
                <w:rFonts w:hint="eastAsia"/>
                <w:sz w:val="20"/>
                <w:szCs w:val="20"/>
              </w:rPr>
              <w:t>……</w:t>
            </w:r>
          </w:p>
        </w:tc>
        <w:tc>
          <w:tcPr>
            <w:tcW w:w="2240" w:type="dxa"/>
            <w:gridSpan w:val="2"/>
            <w:tcBorders>
              <w:top w:val="single" w:sz="4" w:space="0" w:color="auto"/>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 xml:space="preserve">　</w:t>
            </w:r>
          </w:p>
        </w:tc>
        <w:tc>
          <w:tcPr>
            <w:tcW w:w="1840" w:type="dxa"/>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 xml:space="preserve">　</w:t>
            </w:r>
          </w:p>
        </w:tc>
        <w:tc>
          <w:tcPr>
            <w:tcW w:w="1660" w:type="dxa"/>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 xml:space="preserve">　</w:t>
            </w:r>
          </w:p>
        </w:tc>
        <w:tc>
          <w:tcPr>
            <w:tcW w:w="1420" w:type="dxa"/>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 xml:space="preserve">　</w:t>
            </w:r>
          </w:p>
        </w:tc>
      </w:tr>
      <w:tr w:rsidR="00000000">
        <w:trPr>
          <w:trHeight w:val="300"/>
        </w:trPr>
        <w:tc>
          <w:tcPr>
            <w:tcW w:w="0" w:type="auto"/>
            <w:vMerge/>
            <w:tcBorders>
              <w:top w:val="nil"/>
              <w:left w:val="single" w:sz="4" w:space="0" w:color="auto"/>
              <w:bottom w:val="single" w:sz="4" w:space="0" w:color="auto"/>
              <w:right w:val="single" w:sz="4" w:space="0" w:color="auto"/>
            </w:tcBorders>
            <w:vAlign w:val="center"/>
            <w:hideMark/>
          </w:tcPr>
          <w:p w:rsidR="00000000" w:rsidRDefault="00EE4D28">
            <w:pPr>
              <w:rPr>
                <w:color w:val="000000"/>
                <w:sz w:val="20"/>
                <w:szCs w:val="20"/>
              </w:rPr>
            </w:pPr>
          </w:p>
        </w:tc>
        <w:tc>
          <w:tcPr>
            <w:tcW w:w="740" w:type="dxa"/>
            <w:vMerge w:val="restart"/>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sz w:val="20"/>
                <w:szCs w:val="20"/>
              </w:rPr>
            </w:pPr>
            <w:r>
              <w:rPr>
                <w:rFonts w:hint="eastAsia"/>
                <w:sz w:val="20"/>
                <w:szCs w:val="20"/>
              </w:rPr>
              <w:t>满意度指标</w:t>
            </w:r>
          </w:p>
        </w:tc>
        <w:tc>
          <w:tcPr>
            <w:tcW w:w="1120" w:type="dxa"/>
            <w:vMerge w:val="restart"/>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sz w:val="20"/>
                <w:szCs w:val="20"/>
              </w:rPr>
            </w:pPr>
            <w:r>
              <w:rPr>
                <w:rFonts w:hint="eastAsia"/>
                <w:sz w:val="20"/>
                <w:szCs w:val="20"/>
              </w:rPr>
              <w:t>服务对象</w:t>
            </w:r>
            <w:r>
              <w:rPr>
                <w:rFonts w:hint="eastAsia"/>
                <w:sz w:val="20"/>
                <w:szCs w:val="20"/>
              </w:rPr>
              <w:br/>
            </w:r>
            <w:r>
              <w:rPr>
                <w:rFonts w:hint="eastAsia"/>
                <w:sz w:val="20"/>
                <w:szCs w:val="20"/>
              </w:rPr>
              <w:t>满意度指标</w:t>
            </w:r>
          </w:p>
        </w:tc>
        <w:tc>
          <w:tcPr>
            <w:tcW w:w="2240" w:type="dxa"/>
            <w:gridSpan w:val="2"/>
            <w:tcBorders>
              <w:top w:val="single" w:sz="4" w:space="0" w:color="auto"/>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受益群众满意度</w:t>
            </w:r>
          </w:p>
        </w:tc>
        <w:tc>
          <w:tcPr>
            <w:tcW w:w="1840" w:type="dxa"/>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w:t>
            </w:r>
            <w:r>
              <w:rPr>
                <w:rFonts w:hint="eastAsia"/>
                <w:color w:val="000000"/>
                <w:sz w:val="20"/>
                <w:szCs w:val="20"/>
              </w:rPr>
              <w:t>95%</w:t>
            </w:r>
          </w:p>
        </w:tc>
        <w:tc>
          <w:tcPr>
            <w:tcW w:w="1660" w:type="dxa"/>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w:t>
            </w:r>
            <w:r>
              <w:rPr>
                <w:rFonts w:hint="eastAsia"/>
                <w:color w:val="000000"/>
                <w:sz w:val="20"/>
                <w:szCs w:val="20"/>
              </w:rPr>
              <w:t>95%</w:t>
            </w:r>
          </w:p>
        </w:tc>
        <w:tc>
          <w:tcPr>
            <w:tcW w:w="1420" w:type="dxa"/>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 xml:space="preserve">　</w:t>
            </w:r>
          </w:p>
        </w:tc>
      </w:tr>
      <w:tr w:rsidR="00000000">
        <w:trPr>
          <w:trHeight w:val="300"/>
        </w:trPr>
        <w:tc>
          <w:tcPr>
            <w:tcW w:w="0" w:type="auto"/>
            <w:vMerge/>
            <w:tcBorders>
              <w:top w:val="nil"/>
              <w:left w:val="single" w:sz="4" w:space="0" w:color="auto"/>
              <w:bottom w:val="single" w:sz="4" w:space="0" w:color="auto"/>
              <w:right w:val="single" w:sz="4" w:space="0" w:color="auto"/>
            </w:tcBorders>
            <w:vAlign w:val="center"/>
            <w:hideMark/>
          </w:tcPr>
          <w:p w:rsidR="00000000" w:rsidRDefault="00EE4D28">
            <w:pPr>
              <w:rPr>
                <w:color w:val="000000"/>
                <w:sz w:val="20"/>
                <w:szCs w:val="20"/>
              </w:rPr>
            </w:pPr>
          </w:p>
        </w:tc>
        <w:tc>
          <w:tcPr>
            <w:tcW w:w="0" w:type="auto"/>
            <w:vMerge/>
            <w:tcBorders>
              <w:top w:val="nil"/>
              <w:left w:val="nil"/>
              <w:bottom w:val="single" w:sz="4" w:space="0" w:color="auto"/>
              <w:right w:val="single" w:sz="4" w:space="0" w:color="auto"/>
            </w:tcBorders>
            <w:vAlign w:val="center"/>
            <w:hideMark/>
          </w:tcPr>
          <w:p w:rsidR="00000000" w:rsidRDefault="00EE4D28">
            <w:pPr>
              <w:rPr>
                <w:sz w:val="20"/>
                <w:szCs w:val="20"/>
              </w:rPr>
            </w:pPr>
          </w:p>
        </w:tc>
        <w:tc>
          <w:tcPr>
            <w:tcW w:w="0" w:type="auto"/>
            <w:vMerge/>
            <w:tcBorders>
              <w:top w:val="nil"/>
              <w:left w:val="nil"/>
              <w:bottom w:val="single" w:sz="4" w:space="0" w:color="auto"/>
              <w:right w:val="single" w:sz="4" w:space="0" w:color="auto"/>
            </w:tcBorders>
            <w:vAlign w:val="center"/>
            <w:hideMark/>
          </w:tcPr>
          <w:p w:rsidR="00000000" w:rsidRDefault="00EE4D28">
            <w:pPr>
              <w:rPr>
                <w:sz w:val="20"/>
                <w:szCs w:val="20"/>
              </w:rPr>
            </w:pPr>
          </w:p>
        </w:tc>
        <w:tc>
          <w:tcPr>
            <w:tcW w:w="2240" w:type="dxa"/>
            <w:gridSpan w:val="2"/>
            <w:tcBorders>
              <w:top w:val="single" w:sz="4" w:space="0" w:color="auto"/>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主管部门满意度</w:t>
            </w:r>
          </w:p>
        </w:tc>
        <w:tc>
          <w:tcPr>
            <w:tcW w:w="1840" w:type="dxa"/>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w:t>
            </w:r>
            <w:r>
              <w:rPr>
                <w:rFonts w:hint="eastAsia"/>
                <w:color w:val="000000"/>
                <w:sz w:val="20"/>
                <w:szCs w:val="20"/>
              </w:rPr>
              <w:t>95%</w:t>
            </w:r>
          </w:p>
        </w:tc>
        <w:tc>
          <w:tcPr>
            <w:tcW w:w="1660" w:type="dxa"/>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w:t>
            </w:r>
            <w:r>
              <w:rPr>
                <w:rFonts w:hint="eastAsia"/>
                <w:color w:val="000000"/>
                <w:sz w:val="20"/>
                <w:szCs w:val="20"/>
              </w:rPr>
              <w:t>95%</w:t>
            </w:r>
          </w:p>
        </w:tc>
        <w:tc>
          <w:tcPr>
            <w:tcW w:w="1420" w:type="dxa"/>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 xml:space="preserve">　</w:t>
            </w:r>
          </w:p>
        </w:tc>
      </w:tr>
      <w:tr w:rsidR="00000000">
        <w:trPr>
          <w:trHeight w:val="300"/>
        </w:trPr>
        <w:tc>
          <w:tcPr>
            <w:tcW w:w="0" w:type="auto"/>
            <w:vMerge/>
            <w:tcBorders>
              <w:top w:val="nil"/>
              <w:left w:val="single" w:sz="4" w:space="0" w:color="auto"/>
              <w:bottom w:val="single" w:sz="4" w:space="0" w:color="auto"/>
              <w:right w:val="single" w:sz="4" w:space="0" w:color="auto"/>
            </w:tcBorders>
            <w:vAlign w:val="center"/>
            <w:hideMark/>
          </w:tcPr>
          <w:p w:rsidR="00000000" w:rsidRDefault="00EE4D28">
            <w:pPr>
              <w:rPr>
                <w:color w:val="000000"/>
                <w:sz w:val="20"/>
                <w:szCs w:val="20"/>
              </w:rPr>
            </w:pPr>
          </w:p>
        </w:tc>
        <w:tc>
          <w:tcPr>
            <w:tcW w:w="0" w:type="auto"/>
            <w:vMerge/>
            <w:tcBorders>
              <w:top w:val="nil"/>
              <w:left w:val="nil"/>
              <w:bottom w:val="single" w:sz="4" w:space="0" w:color="auto"/>
              <w:right w:val="single" w:sz="4" w:space="0" w:color="auto"/>
            </w:tcBorders>
            <w:vAlign w:val="center"/>
            <w:hideMark/>
          </w:tcPr>
          <w:p w:rsidR="00000000" w:rsidRDefault="00EE4D28">
            <w:pPr>
              <w:rPr>
                <w:sz w:val="20"/>
                <w:szCs w:val="20"/>
              </w:rPr>
            </w:pPr>
          </w:p>
        </w:tc>
        <w:tc>
          <w:tcPr>
            <w:tcW w:w="0" w:type="auto"/>
            <w:vMerge/>
            <w:tcBorders>
              <w:top w:val="nil"/>
              <w:left w:val="nil"/>
              <w:bottom w:val="single" w:sz="4" w:space="0" w:color="auto"/>
              <w:right w:val="single" w:sz="4" w:space="0" w:color="auto"/>
            </w:tcBorders>
            <w:vAlign w:val="center"/>
            <w:hideMark/>
          </w:tcPr>
          <w:p w:rsidR="00000000" w:rsidRDefault="00EE4D28">
            <w:pPr>
              <w:rPr>
                <w:sz w:val="20"/>
                <w:szCs w:val="20"/>
              </w:rPr>
            </w:pPr>
          </w:p>
        </w:tc>
        <w:tc>
          <w:tcPr>
            <w:tcW w:w="2240" w:type="dxa"/>
            <w:gridSpan w:val="2"/>
            <w:tcBorders>
              <w:top w:val="single" w:sz="4" w:space="0" w:color="auto"/>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 xml:space="preserve">　</w:t>
            </w:r>
          </w:p>
        </w:tc>
        <w:tc>
          <w:tcPr>
            <w:tcW w:w="1840" w:type="dxa"/>
            <w:tcBorders>
              <w:top w:val="nil"/>
              <w:left w:val="nil"/>
              <w:bottom w:val="single" w:sz="4" w:space="0" w:color="auto"/>
              <w:right w:val="single" w:sz="4" w:space="0" w:color="auto"/>
            </w:tcBorders>
            <w:shd w:val="clear" w:color="auto" w:fill="FFFFFF"/>
            <w:vAlign w:val="center"/>
            <w:hideMark/>
          </w:tcPr>
          <w:p w:rsidR="00000000" w:rsidRDefault="00EE4D28">
            <w:pPr>
              <w:textAlignment w:val="center"/>
              <w:rPr>
                <w:color w:val="000000"/>
                <w:sz w:val="20"/>
                <w:szCs w:val="20"/>
              </w:rPr>
            </w:pPr>
            <w:r>
              <w:rPr>
                <w:rFonts w:hint="eastAsia"/>
                <w:color w:val="000000"/>
                <w:sz w:val="20"/>
                <w:szCs w:val="20"/>
              </w:rPr>
              <w:t xml:space="preserve">　</w:t>
            </w:r>
          </w:p>
        </w:tc>
        <w:tc>
          <w:tcPr>
            <w:tcW w:w="1660" w:type="dxa"/>
            <w:tcBorders>
              <w:top w:val="nil"/>
              <w:left w:val="nil"/>
              <w:bottom w:val="single" w:sz="4" w:space="0" w:color="auto"/>
              <w:right w:val="single" w:sz="4" w:space="0" w:color="auto"/>
            </w:tcBorders>
            <w:shd w:val="clear" w:color="auto" w:fill="FFFFFF"/>
            <w:vAlign w:val="center"/>
            <w:hideMark/>
          </w:tcPr>
          <w:p w:rsidR="00000000" w:rsidRDefault="00EE4D28">
            <w:pPr>
              <w:textAlignment w:val="center"/>
              <w:rPr>
                <w:color w:val="000000"/>
                <w:sz w:val="20"/>
                <w:szCs w:val="20"/>
              </w:rPr>
            </w:pPr>
            <w:r>
              <w:rPr>
                <w:rFonts w:hint="eastAsia"/>
                <w:color w:val="000000"/>
                <w:sz w:val="20"/>
                <w:szCs w:val="20"/>
              </w:rPr>
              <w:t xml:space="preserve">　</w:t>
            </w:r>
          </w:p>
        </w:tc>
        <w:tc>
          <w:tcPr>
            <w:tcW w:w="1420" w:type="dxa"/>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 xml:space="preserve">　</w:t>
            </w:r>
          </w:p>
        </w:tc>
      </w:tr>
      <w:tr w:rsidR="00000000">
        <w:trPr>
          <w:trHeight w:val="300"/>
        </w:trPr>
        <w:tc>
          <w:tcPr>
            <w:tcW w:w="0" w:type="auto"/>
            <w:vMerge/>
            <w:tcBorders>
              <w:top w:val="nil"/>
              <w:left w:val="single" w:sz="4" w:space="0" w:color="auto"/>
              <w:bottom w:val="single" w:sz="4" w:space="0" w:color="auto"/>
              <w:right w:val="single" w:sz="4" w:space="0" w:color="auto"/>
            </w:tcBorders>
            <w:vAlign w:val="center"/>
            <w:hideMark/>
          </w:tcPr>
          <w:p w:rsidR="00000000" w:rsidRDefault="00EE4D28">
            <w:pPr>
              <w:rPr>
                <w:color w:val="000000"/>
                <w:sz w:val="20"/>
                <w:szCs w:val="20"/>
              </w:rPr>
            </w:pPr>
          </w:p>
        </w:tc>
        <w:tc>
          <w:tcPr>
            <w:tcW w:w="0" w:type="auto"/>
            <w:vMerge/>
            <w:tcBorders>
              <w:top w:val="nil"/>
              <w:left w:val="nil"/>
              <w:bottom w:val="single" w:sz="4" w:space="0" w:color="auto"/>
              <w:right w:val="single" w:sz="4" w:space="0" w:color="auto"/>
            </w:tcBorders>
            <w:vAlign w:val="center"/>
            <w:hideMark/>
          </w:tcPr>
          <w:p w:rsidR="00000000" w:rsidRDefault="00EE4D28">
            <w:pPr>
              <w:rPr>
                <w:sz w:val="20"/>
                <w:szCs w:val="20"/>
              </w:rPr>
            </w:pPr>
          </w:p>
        </w:tc>
        <w:tc>
          <w:tcPr>
            <w:tcW w:w="1120" w:type="dxa"/>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sz w:val="20"/>
                <w:szCs w:val="20"/>
              </w:rPr>
            </w:pPr>
            <w:r>
              <w:rPr>
                <w:rFonts w:hint="eastAsia"/>
                <w:sz w:val="20"/>
                <w:szCs w:val="20"/>
              </w:rPr>
              <w:t>……</w:t>
            </w:r>
          </w:p>
        </w:tc>
        <w:tc>
          <w:tcPr>
            <w:tcW w:w="2240" w:type="dxa"/>
            <w:gridSpan w:val="2"/>
            <w:tcBorders>
              <w:top w:val="single" w:sz="4" w:space="0" w:color="auto"/>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 xml:space="preserve">　</w:t>
            </w:r>
          </w:p>
        </w:tc>
        <w:tc>
          <w:tcPr>
            <w:tcW w:w="1840" w:type="dxa"/>
            <w:tcBorders>
              <w:top w:val="nil"/>
              <w:left w:val="nil"/>
              <w:bottom w:val="single" w:sz="4" w:space="0" w:color="auto"/>
              <w:right w:val="single" w:sz="4" w:space="0" w:color="auto"/>
            </w:tcBorders>
            <w:shd w:val="clear" w:color="auto" w:fill="FFFFFF"/>
            <w:vAlign w:val="center"/>
            <w:hideMark/>
          </w:tcPr>
          <w:p w:rsidR="00000000" w:rsidRDefault="00EE4D28">
            <w:pPr>
              <w:textAlignment w:val="center"/>
              <w:rPr>
                <w:color w:val="000000"/>
                <w:sz w:val="20"/>
                <w:szCs w:val="20"/>
              </w:rPr>
            </w:pPr>
            <w:r>
              <w:rPr>
                <w:rFonts w:hint="eastAsia"/>
                <w:color w:val="000000"/>
                <w:sz w:val="20"/>
                <w:szCs w:val="20"/>
              </w:rPr>
              <w:t xml:space="preserve">　</w:t>
            </w:r>
          </w:p>
        </w:tc>
        <w:tc>
          <w:tcPr>
            <w:tcW w:w="1660" w:type="dxa"/>
            <w:tcBorders>
              <w:top w:val="nil"/>
              <w:left w:val="nil"/>
              <w:bottom w:val="single" w:sz="4" w:space="0" w:color="auto"/>
              <w:right w:val="single" w:sz="4" w:space="0" w:color="auto"/>
            </w:tcBorders>
            <w:shd w:val="clear" w:color="auto" w:fill="FFFFFF"/>
            <w:vAlign w:val="center"/>
            <w:hideMark/>
          </w:tcPr>
          <w:p w:rsidR="00000000" w:rsidRDefault="00EE4D28">
            <w:pPr>
              <w:textAlignment w:val="center"/>
              <w:rPr>
                <w:color w:val="000000"/>
                <w:sz w:val="20"/>
                <w:szCs w:val="20"/>
              </w:rPr>
            </w:pPr>
            <w:r>
              <w:rPr>
                <w:rFonts w:hint="eastAsia"/>
                <w:color w:val="000000"/>
                <w:sz w:val="20"/>
                <w:szCs w:val="20"/>
              </w:rPr>
              <w:t xml:space="preserve">　</w:t>
            </w:r>
          </w:p>
        </w:tc>
        <w:tc>
          <w:tcPr>
            <w:tcW w:w="1420" w:type="dxa"/>
            <w:tcBorders>
              <w:top w:val="nil"/>
              <w:left w:val="nil"/>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 xml:space="preserve">　</w:t>
            </w:r>
          </w:p>
        </w:tc>
      </w:tr>
      <w:tr w:rsidR="00000000">
        <w:trPr>
          <w:trHeight w:val="405"/>
        </w:trPr>
        <w:tc>
          <w:tcPr>
            <w:tcW w:w="600" w:type="dxa"/>
            <w:tcBorders>
              <w:top w:val="nil"/>
              <w:left w:val="single" w:sz="4" w:space="0" w:color="auto"/>
              <w:bottom w:val="single" w:sz="4" w:space="0" w:color="auto"/>
              <w:right w:val="single" w:sz="4" w:space="0" w:color="auto"/>
            </w:tcBorders>
            <w:shd w:val="clear" w:color="auto" w:fill="FFFFFF"/>
            <w:vAlign w:val="center"/>
            <w:hideMark/>
          </w:tcPr>
          <w:p w:rsidR="00000000" w:rsidRDefault="00EE4D28">
            <w:pPr>
              <w:jc w:val="center"/>
              <w:textAlignment w:val="center"/>
              <w:rPr>
                <w:color w:val="000000"/>
                <w:sz w:val="20"/>
                <w:szCs w:val="20"/>
              </w:rPr>
            </w:pPr>
            <w:r>
              <w:rPr>
                <w:rFonts w:hint="eastAsia"/>
                <w:color w:val="000000"/>
                <w:sz w:val="20"/>
                <w:szCs w:val="20"/>
              </w:rPr>
              <w:t>说明</w:t>
            </w:r>
          </w:p>
        </w:tc>
        <w:tc>
          <w:tcPr>
            <w:tcW w:w="9020" w:type="dxa"/>
            <w:gridSpan w:val="7"/>
            <w:tcBorders>
              <w:top w:val="single" w:sz="4" w:space="0" w:color="auto"/>
              <w:left w:val="nil"/>
              <w:bottom w:val="single" w:sz="4" w:space="0" w:color="auto"/>
              <w:right w:val="single" w:sz="4" w:space="0" w:color="auto"/>
            </w:tcBorders>
            <w:shd w:val="clear" w:color="auto" w:fill="FFFFFF"/>
            <w:vAlign w:val="center"/>
            <w:hideMark/>
          </w:tcPr>
          <w:p w:rsidR="00000000" w:rsidRDefault="00EE4D28">
            <w:pPr>
              <w:textAlignment w:val="center"/>
              <w:rPr>
                <w:color w:val="000000"/>
                <w:sz w:val="20"/>
                <w:szCs w:val="20"/>
              </w:rPr>
            </w:pPr>
            <w:r>
              <w:rPr>
                <w:rFonts w:hint="eastAsia"/>
                <w:color w:val="000000"/>
                <w:sz w:val="20"/>
                <w:szCs w:val="20"/>
              </w:rPr>
              <w:t>无</w:t>
            </w:r>
          </w:p>
        </w:tc>
      </w:tr>
    </w:tbl>
    <w:p w:rsidR="00000000" w:rsidRDefault="00EE4D28">
      <w:pPr>
        <w:pStyle w:val="Char1"/>
        <w:shd w:val="clear" w:color="auto" w:fill="FFFFFF"/>
        <w:wordWrap w:val="0"/>
        <w:spacing w:before="0" w:beforeAutospacing="0" w:after="0" w:afterAutospacing="0" w:line="600" w:lineRule="atLeast"/>
        <w:ind w:firstLine="420"/>
        <w:rPr>
          <w:rFonts w:ascii="方正仿宋_GBK" w:eastAsia="方正仿宋_GBK" w:hint="eastAsia"/>
          <w:color w:val="333333"/>
          <w:sz w:val="32"/>
          <w:szCs w:val="32"/>
          <w:shd w:val="clear" w:color="auto" w:fill="FFFFFF"/>
        </w:rPr>
      </w:pPr>
      <w:r>
        <w:rPr>
          <w:rFonts w:ascii="方正仿宋_GBK" w:eastAsia="方正仿宋_GBK" w:hint="eastAsia"/>
          <w:color w:val="333333"/>
          <w:sz w:val="32"/>
          <w:szCs w:val="32"/>
          <w:shd w:val="clear" w:color="auto" w:fill="FFFFFF"/>
        </w:rPr>
        <w:t>2.</w:t>
      </w:r>
      <w:r>
        <w:rPr>
          <w:rFonts w:ascii="方正仿宋_GBK" w:eastAsia="方正仿宋_GBK" w:hint="eastAsia"/>
          <w:color w:val="333333"/>
          <w:sz w:val="32"/>
          <w:szCs w:val="32"/>
          <w:shd w:val="clear" w:color="auto" w:fill="FFFFFF"/>
        </w:rPr>
        <w:t>绩效自评报告或案例。</w:t>
      </w:r>
    </w:p>
    <w:p w:rsidR="00000000" w:rsidRDefault="00EE4D28">
      <w:pPr>
        <w:pStyle w:val="Char1"/>
        <w:shd w:val="clear" w:color="auto" w:fill="FFFFFF"/>
        <w:wordWrap w:val="0"/>
        <w:spacing w:before="0" w:beforeAutospacing="0" w:after="0" w:afterAutospacing="0" w:line="600" w:lineRule="atLeast"/>
        <w:ind w:firstLine="420"/>
        <w:rPr>
          <w:rFonts w:ascii="方正仿宋_GBK" w:eastAsia="方正仿宋_GBK" w:hint="eastAsia"/>
          <w:color w:val="333333"/>
          <w:sz w:val="32"/>
          <w:szCs w:val="32"/>
          <w:shd w:val="clear" w:color="auto" w:fill="FFFFFF"/>
        </w:rPr>
      </w:pPr>
      <w:r>
        <w:rPr>
          <w:rFonts w:ascii="方正仿宋_GBK" w:eastAsia="方正仿宋_GBK" w:hint="eastAsia"/>
          <w:color w:val="333333"/>
          <w:sz w:val="32"/>
          <w:szCs w:val="32"/>
          <w:shd w:val="clear" w:color="auto" w:fill="FFFFFF"/>
        </w:rPr>
        <w:t>我单位未委托第三方开展绩效自评。</w:t>
      </w:r>
    </w:p>
    <w:p w:rsidR="00000000" w:rsidRDefault="00EE4D28">
      <w:pPr>
        <w:pStyle w:val="Char1"/>
        <w:shd w:val="clear" w:color="auto" w:fill="FFFFFF"/>
        <w:wordWrap w:val="0"/>
        <w:spacing w:before="0" w:beforeAutospacing="0" w:after="0" w:afterAutospacing="0" w:line="600" w:lineRule="atLeast"/>
        <w:ind w:firstLine="420"/>
        <w:rPr>
          <w:rFonts w:ascii="方正仿宋_GBK" w:eastAsia="方正仿宋_GBK" w:hint="eastAsia"/>
          <w:color w:val="333333"/>
          <w:sz w:val="32"/>
          <w:szCs w:val="32"/>
          <w:shd w:val="clear" w:color="auto" w:fill="FFFFFF"/>
        </w:rPr>
      </w:pPr>
      <w:r>
        <w:rPr>
          <w:rFonts w:ascii="方正仿宋_GBK" w:eastAsia="方正仿宋_GBK" w:hint="eastAsia"/>
          <w:color w:val="333333"/>
          <w:sz w:val="32"/>
          <w:szCs w:val="32"/>
          <w:shd w:val="clear" w:color="auto" w:fill="FFFFFF"/>
        </w:rPr>
        <w:t>3.</w:t>
      </w:r>
      <w:r>
        <w:rPr>
          <w:rFonts w:ascii="方正仿宋_GBK" w:eastAsia="方正仿宋_GBK" w:hint="eastAsia"/>
          <w:color w:val="333333"/>
          <w:sz w:val="32"/>
          <w:szCs w:val="32"/>
          <w:shd w:val="clear" w:color="auto" w:fill="FFFFFF"/>
        </w:rPr>
        <w:t>关于绩效自评结果的说明。</w:t>
      </w:r>
    </w:p>
    <w:p w:rsidR="00000000" w:rsidRDefault="00EE4D28">
      <w:pPr>
        <w:pStyle w:val="Char1"/>
        <w:shd w:val="clear" w:color="auto" w:fill="FFFFFF"/>
        <w:wordWrap w:val="0"/>
        <w:spacing w:before="0" w:beforeAutospacing="0" w:after="0" w:afterAutospacing="0" w:line="600" w:lineRule="atLeast"/>
        <w:ind w:firstLine="420"/>
        <w:rPr>
          <w:rFonts w:ascii="方正仿宋_GBK" w:eastAsia="方正仿宋_GBK" w:hint="eastAsia"/>
          <w:color w:val="333333"/>
          <w:sz w:val="32"/>
          <w:szCs w:val="32"/>
          <w:shd w:val="clear" w:color="auto" w:fill="FFFFFF"/>
        </w:rPr>
      </w:pPr>
      <w:r>
        <w:rPr>
          <w:rFonts w:ascii="方正仿宋_GBK" w:eastAsia="方正仿宋_GBK" w:hint="eastAsia"/>
          <w:color w:val="333333"/>
          <w:sz w:val="32"/>
          <w:szCs w:val="32"/>
          <w:shd w:val="clear" w:color="auto" w:fill="FFFFFF"/>
        </w:rPr>
        <w:t>我单位绩效自评均已完成年度绩效目标</w:t>
      </w:r>
    </w:p>
    <w:p w:rsidR="00000000" w:rsidRDefault="00EE4D28">
      <w:pPr>
        <w:pStyle w:val="Char1"/>
        <w:shd w:val="clear" w:color="auto" w:fill="FFFFFF"/>
        <w:wordWrap w:val="0"/>
        <w:spacing w:before="0" w:beforeAutospacing="0" w:after="0" w:afterAutospacing="0" w:line="600" w:lineRule="atLeast"/>
        <w:ind w:firstLine="420"/>
        <w:rPr>
          <w:rFonts w:ascii="Times New Roman" w:eastAsia="方正楷体_GBK" w:hAnsi="Times New Roman" w:cs="Times New Roman" w:hint="eastAsia"/>
          <w:kern w:val="2"/>
          <w:sz w:val="32"/>
          <w:szCs w:val="32"/>
          <w:shd w:val="clear" w:color="auto" w:fill="FFFFFF"/>
        </w:rPr>
      </w:pPr>
      <w:r>
        <w:rPr>
          <w:rFonts w:ascii="方正楷体_GBK" w:eastAsia="方正楷体_GBK" w:hint="eastAsia"/>
          <w:kern w:val="2"/>
          <w:sz w:val="32"/>
          <w:szCs w:val="32"/>
          <w:shd w:val="clear" w:color="auto" w:fill="FFFFFF"/>
        </w:rPr>
        <w:t>（三）重点绩效评价结果。</w:t>
      </w:r>
    </w:p>
    <w:p w:rsidR="00000000" w:rsidRDefault="00EE4D28">
      <w:pPr>
        <w:pStyle w:val="Char1"/>
        <w:shd w:val="clear" w:color="auto" w:fill="FFFFFF"/>
        <w:wordWrap w:val="0"/>
        <w:spacing w:before="0" w:beforeAutospacing="0" w:after="0" w:afterAutospacing="0" w:line="600" w:lineRule="atLeast"/>
        <w:ind w:firstLine="420"/>
        <w:rPr>
          <w:sz w:val="32"/>
          <w:szCs w:val="32"/>
          <w:shd w:val="clear" w:color="auto" w:fill="FFFFFF"/>
        </w:rPr>
      </w:pPr>
      <w:r>
        <w:rPr>
          <w:rFonts w:ascii="方正仿宋_GBK" w:eastAsia="方正仿宋_GBK" w:hint="eastAsia"/>
          <w:color w:val="333333"/>
          <w:sz w:val="32"/>
          <w:szCs w:val="32"/>
          <w:shd w:val="clear" w:color="auto" w:fill="FFFFFF"/>
        </w:rPr>
        <w:t>我单位未委托第三方开展重点绩效评价。</w:t>
      </w:r>
    </w:p>
    <w:p w:rsidR="00000000" w:rsidRDefault="00EE4D28">
      <w:pPr>
        <w:rPr>
          <w:rFonts w:hint="eastAsia"/>
          <w:sz w:val="32"/>
          <w:szCs w:val="32"/>
        </w:rPr>
      </w:pPr>
      <w:r>
        <w:rPr>
          <w:rFonts w:hint="eastAsia"/>
          <w:sz w:val="32"/>
          <w:szCs w:val="32"/>
        </w:rPr>
        <w:t xml:space="preserve">  </w:t>
      </w:r>
      <w:r>
        <w:rPr>
          <w:rFonts w:hint="eastAsia"/>
          <w:sz w:val="32"/>
          <w:szCs w:val="32"/>
        </w:rPr>
        <w:t>六、专业名词解释</w:t>
      </w:r>
    </w:p>
    <w:p w:rsidR="00000000" w:rsidRDefault="00EE4D28">
      <w:pPr>
        <w:rPr>
          <w:rFonts w:hint="eastAsia"/>
          <w:sz w:val="32"/>
          <w:szCs w:val="32"/>
        </w:rPr>
      </w:pPr>
      <w:r>
        <w:rPr>
          <w:rFonts w:hint="eastAsia"/>
          <w:sz w:val="32"/>
          <w:szCs w:val="32"/>
        </w:rPr>
        <w:t xml:space="preserve">   </w:t>
      </w:r>
      <w:r>
        <w:rPr>
          <w:rFonts w:hint="eastAsia"/>
          <w:sz w:val="32"/>
          <w:szCs w:val="32"/>
        </w:rPr>
        <w:t>（一）财政拨款收入：指本年度从本级财政部门取得的财政拨款，包括一般公共预算财政拨款和政府性基金预算财政拨款。</w:t>
      </w:r>
    </w:p>
    <w:p w:rsidR="00000000" w:rsidRDefault="00EE4D28">
      <w:pPr>
        <w:rPr>
          <w:rFonts w:hint="eastAsia"/>
          <w:sz w:val="32"/>
          <w:szCs w:val="32"/>
        </w:rPr>
      </w:pPr>
      <w:r>
        <w:rPr>
          <w:rFonts w:hint="eastAsia"/>
          <w:sz w:val="32"/>
          <w:szCs w:val="32"/>
        </w:rPr>
        <w:t xml:space="preserve">  </w:t>
      </w:r>
      <w:r>
        <w:rPr>
          <w:rFonts w:hint="eastAsia"/>
          <w:sz w:val="32"/>
          <w:szCs w:val="32"/>
        </w:rPr>
        <w:t>（二）事业收入：指事业单位开展专业业务活动及其辅助活动取得的现金流入；事业单位收到的财政专户实际核拨的教育收费等资金在此反映。</w:t>
      </w:r>
    </w:p>
    <w:p w:rsidR="00000000" w:rsidRDefault="00EE4D28">
      <w:pPr>
        <w:rPr>
          <w:rFonts w:hint="eastAsia"/>
          <w:sz w:val="32"/>
          <w:szCs w:val="32"/>
        </w:rPr>
      </w:pPr>
      <w:r>
        <w:rPr>
          <w:rFonts w:hint="eastAsia"/>
          <w:sz w:val="32"/>
          <w:szCs w:val="32"/>
        </w:rPr>
        <w:t xml:space="preserve">  </w:t>
      </w:r>
      <w:r>
        <w:rPr>
          <w:rFonts w:hint="eastAsia"/>
          <w:sz w:val="32"/>
          <w:szCs w:val="32"/>
        </w:rPr>
        <w:t>（三）经营收入：指事业单位在专业业务活动及其</w:t>
      </w:r>
      <w:r>
        <w:rPr>
          <w:rFonts w:hint="eastAsia"/>
          <w:sz w:val="32"/>
          <w:szCs w:val="32"/>
        </w:rPr>
        <w:t>辅助活动之外开展非独立核算经营活动取得的现金流入。</w:t>
      </w:r>
    </w:p>
    <w:p w:rsidR="00000000" w:rsidRDefault="00EE4D28">
      <w:pPr>
        <w:rPr>
          <w:rFonts w:hint="eastAsia"/>
          <w:sz w:val="32"/>
          <w:szCs w:val="32"/>
        </w:rPr>
      </w:pPr>
      <w:r>
        <w:rPr>
          <w:rFonts w:hint="eastAsia"/>
          <w:sz w:val="32"/>
          <w:szCs w:val="32"/>
        </w:rPr>
        <w:t xml:space="preserve">  </w:t>
      </w:r>
      <w:r>
        <w:rPr>
          <w:rFonts w:hint="eastAsia"/>
          <w:sz w:val="32"/>
          <w:szCs w:val="32"/>
        </w:rPr>
        <w:t>（四）其他收入：指单位取得的除“财政拨款收入”、“事业收入”、“经营收入”等以外的收入，包括未纳入</w:t>
      </w:r>
      <w:r>
        <w:rPr>
          <w:rFonts w:hint="eastAsia"/>
          <w:sz w:val="32"/>
          <w:szCs w:val="32"/>
        </w:rPr>
        <w:lastRenderedPageBreak/>
        <w:t>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000000" w:rsidRDefault="00EE4D28">
      <w:pPr>
        <w:rPr>
          <w:rFonts w:hint="eastAsia"/>
          <w:sz w:val="32"/>
          <w:szCs w:val="32"/>
        </w:rPr>
      </w:pPr>
      <w:r>
        <w:rPr>
          <w:rFonts w:hint="eastAsia"/>
          <w:sz w:val="32"/>
          <w:szCs w:val="32"/>
        </w:rPr>
        <w:t xml:space="preserve">  </w:t>
      </w:r>
      <w:r>
        <w:rPr>
          <w:rFonts w:hint="eastAsia"/>
          <w:sz w:val="32"/>
          <w:szCs w:val="32"/>
        </w:rPr>
        <w:t>（五）使用非财政拨款结余：指单位在当年的“财政拨款收入”、“事业收入”、“</w:t>
      </w:r>
      <w:r>
        <w:rPr>
          <w:rFonts w:hint="eastAsia"/>
          <w:sz w:val="32"/>
          <w:szCs w:val="32"/>
        </w:rPr>
        <w:t>经营收入”、“其他收入”等不足以安排当年支出的情况下，使用以前年度积累的非财政拨款结余弥补本年度收支缺口的资金。</w:t>
      </w:r>
    </w:p>
    <w:p w:rsidR="00000000" w:rsidRDefault="00EE4D28">
      <w:pPr>
        <w:rPr>
          <w:rFonts w:hint="eastAsia"/>
          <w:sz w:val="32"/>
          <w:szCs w:val="32"/>
        </w:rPr>
      </w:pPr>
      <w:r>
        <w:rPr>
          <w:rFonts w:hint="eastAsia"/>
          <w:sz w:val="32"/>
          <w:szCs w:val="32"/>
        </w:rPr>
        <w:t xml:space="preserve">  </w:t>
      </w:r>
      <w:r>
        <w:rPr>
          <w:rFonts w:hint="eastAsia"/>
          <w:sz w:val="32"/>
          <w:szCs w:val="32"/>
        </w:rPr>
        <w:t>（六）年初结转和结余：指单位上年结转本年使用的基本支出结转、项目支出结转和结余、经营结余。</w:t>
      </w:r>
    </w:p>
    <w:p w:rsidR="00000000" w:rsidRDefault="00EE4D28">
      <w:pPr>
        <w:rPr>
          <w:rFonts w:hint="eastAsia"/>
          <w:sz w:val="32"/>
          <w:szCs w:val="32"/>
        </w:rPr>
      </w:pPr>
      <w:r>
        <w:rPr>
          <w:rFonts w:hint="eastAsia"/>
          <w:sz w:val="32"/>
          <w:szCs w:val="32"/>
        </w:rPr>
        <w:t xml:space="preserve">  </w:t>
      </w:r>
      <w:r>
        <w:rPr>
          <w:rFonts w:hint="eastAsia"/>
          <w:sz w:val="32"/>
          <w:szCs w:val="32"/>
        </w:rPr>
        <w:t>（七）结余分配：指单位按照国家有关规定，缴纳所得税、提取专用基金、转入非财政拨款结余等当年结余的分配情况。</w:t>
      </w:r>
    </w:p>
    <w:p w:rsidR="00000000" w:rsidRDefault="00EE4D28">
      <w:pPr>
        <w:rPr>
          <w:rFonts w:hint="eastAsia"/>
          <w:sz w:val="32"/>
          <w:szCs w:val="32"/>
        </w:rPr>
      </w:pPr>
      <w:r>
        <w:rPr>
          <w:rFonts w:hint="eastAsia"/>
          <w:sz w:val="32"/>
          <w:szCs w:val="32"/>
        </w:rPr>
        <w:t xml:space="preserve">  </w:t>
      </w:r>
      <w:r>
        <w:rPr>
          <w:rFonts w:hint="eastAsia"/>
          <w:sz w:val="32"/>
          <w:szCs w:val="32"/>
        </w:rPr>
        <w:t>（八）年末结转和结余：指单位结转下年的基本支出结转、项目支出结转和结余、经营结余。</w:t>
      </w:r>
    </w:p>
    <w:p w:rsidR="00000000" w:rsidRDefault="00EE4D28">
      <w:pPr>
        <w:rPr>
          <w:rFonts w:hint="eastAsia"/>
          <w:sz w:val="32"/>
          <w:szCs w:val="32"/>
        </w:rPr>
      </w:pPr>
      <w:r>
        <w:rPr>
          <w:rFonts w:hint="eastAsia"/>
          <w:sz w:val="32"/>
          <w:szCs w:val="32"/>
        </w:rPr>
        <w:t xml:space="preserve">  </w:t>
      </w:r>
      <w:r>
        <w:rPr>
          <w:rFonts w:hint="eastAsia"/>
          <w:sz w:val="32"/>
          <w:szCs w:val="32"/>
        </w:rPr>
        <w:t>（九）基本支出：指为保障机构正常运转、完成日常工作任务而发生的人员经费和公用经费。其中：人员经费指</w:t>
      </w:r>
      <w:r>
        <w:rPr>
          <w:rFonts w:hint="eastAsia"/>
          <w:sz w:val="32"/>
          <w:szCs w:val="32"/>
        </w:rPr>
        <w:t>政府收支分类经济科目中的“工资福利支出”和“对个人和家庭的补助”；公用经费指政府收支分类经济科目中除</w:t>
      </w:r>
      <w:r>
        <w:rPr>
          <w:rFonts w:hint="eastAsia"/>
          <w:sz w:val="32"/>
          <w:szCs w:val="32"/>
        </w:rPr>
        <w:lastRenderedPageBreak/>
        <w:t>“工资福利支出”和“对个人和家庭的补助”外的其他支出。</w:t>
      </w:r>
    </w:p>
    <w:p w:rsidR="00000000" w:rsidRDefault="00EE4D28">
      <w:pPr>
        <w:rPr>
          <w:rFonts w:hint="eastAsia"/>
          <w:sz w:val="32"/>
          <w:szCs w:val="32"/>
        </w:rPr>
      </w:pPr>
      <w:r>
        <w:rPr>
          <w:rFonts w:hint="eastAsia"/>
          <w:sz w:val="32"/>
          <w:szCs w:val="32"/>
        </w:rPr>
        <w:t xml:space="preserve">  </w:t>
      </w:r>
      <w:r>
        <w:rPr>
          <w:rFonts w:hint="eastAsia"/>
          <w:sz w:val="32"/>
          <w:szCs w:val="32"/>
        </w:rPr>
        <w:t>（十）项目支出：指在基本支出之外为完成特定行政任务和事业发展目标所发生的支出。</w:t>
      </w:r>
    </w:p>
    <w:p w:rsidR="00000000" w:rsidRDefault="00EE4D28">
      <w:pPr>
        <w:rPr>
          <w:rFonts w:hint="eastAsia"/>
          <w:sz w:val="32"/>
          <w:szCs w:val="32"/>
        </w:rPr>
      </w:pPr>
      <w:r>
        <w:rPr>
          <w:rFonts w:hint="eastAsia"/>
          <w:sz w:val="32"/>
          <w:szCs w:val="32"/>
        </w:rPr>
        <w:t xml:space="preserve">  </w:t>
      </w:r>
      <w:r>
        <w:rPr>
          <w:rFonts w:hint="eastAsia"/>
          <w:sz w:val="32"/>
          <w:szCs w:val="32"/>
        </w:rPr>
        <w:t>（十一）经营支出：指事业单位在专业业务活动及其辅助活动之外开展非独立核算经营活动发生的支出。</w:t>
      </w:r>
    </w:p>
    <w:p w:rsidR="00000000" w:rsidRDefault="00EE4D28">
      <w:pPr>
        <w:rPr>
          <w:rFonts w:hint="eastAsia"/>
          <w:sz w:val="32"/>
          <w:szCs w:val="32"/>
        </w:rPr>
      </w:pPr>
      <w:r>
        <w:rPr>
          <w:rFonts w:hint="eastAsia"/>
          <w:sz w:val="32"/>
          <w:szCs w:val="32"/>
        </w:rPr>
        <w:t xml:space="preserve">  </w:t>
      </w:r>
      <w:r>
        <w:rPr>
          <w:rFonts w:hint="eastAsia"/>
          <w:sz w:val="32"/>
          <w:szCs w:val="32"/>
        </w:rPr>
        <w:t>（十二）“三公”经费：指用一般公共预算财政拨款安排的因公出国（境）费、公务用车购置及运行维护费、公务接待费。其中，因公出国（境）费反映单位公务出国（境）的国际旅费、国外城</w:t>
      </w:r>
      <w:r>
        <w:rPr>
          <w:rFonts w:hint="eastAsia"/>
          <w:sz w:val="32"/>
          <w:szCs w:val="32"/>
        </w:rPr>
        <w:t>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000000" w:rsidRDefault="00EE4D28">
      <w:pPr>
        <w:rPr>
          <w:rFonts w:hint="eastAsia"/>
          <w:sz w:val="32"/>
          <w:szCs w:val="32"/>
        </w:rPr>
      </w:pPr>
      <w:r>
        <w:rPr>
          <w:rFonts w:hint="eastAsia"/>
          <w:sz w:val="32"/>
          <w:szCs w:val="32"/>
        </w:rPr>
        <w:t xml:space="preserve">  </w:t>
      </w:r>
      <w:r>
        <w:rPr>
          <w:rFonts w:hint="eastAsia"/>
          <w:sz w:val="32"/>
          <w:szCs w:val="32"/>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w:t>
      </w:r>
      <w:r>
        <w:rPr>
          <w:rFonts w:hint="eastAsia"/>
          <w:sz w:val="32"/>
          <w:szCs w:val="32"/>
        </w:rPr>
        <w:t>物业管理费、公务用车运行维护费以及其他费用。</w:t>
      </w:r>
    </w:p>
    <w:p w:rsidR="00000000" w:rsidRDefault="00EE4D28">
      <w:pPr>
        <w:rPr>
          <w:rFonts w:hint="eastAsia"/>
          <w:sz w:val="32"/>
          <w:szCs w:val="32"/>
        </w:rPr>
      </w:pPr>
      <w:r>
        <w:rPr>
          <w:rFonts w:hint="eastAsia"/>
          <w:sz w:val="32"/>
          <w:szCs w:val="32"/>
        </w:rPr>
        <w:lastRenderedPageBreak/>
        <w:t xml:space="preserve">  </w:t>
      </w:r>
      <w:r>
        <w:rPr>
          <w:rFonts w:hint="eastAsia"/>
          <w:sz w:val="32"/>
          <w:szCs w:val="32"/>
        </w:rPr>
        <w:t>（十四）工资福利支出（支出经济分类科目类级）：反映单位开支的在职职工和编制外长期聘用人员的各类劳动报酬，以及为上述人员缴纳的各项社会保险费等。</w:t>
      </w:r>
    </w:p>
    <w:p w:rsidR="00000000" w:rsidRDefault="00EE4D28">
      <w:pPr>
        <w:rPr>
          <w:rFonts w:hint="eastAsia"/>
          <w:sz w:val="32"/>
          <w:szCs w:val="32"/>
        </w:rPr>
      </w:pPr>
      <w:r>
        <w:rPr>
          <w:rFonts w:hint="eastAsia"/>
          <w:sz w:val="32"/>
          <w:szCs w:val="32"/>
        </w:rPr>
        <w:t xml:space="preserve">  </w:t>
      </w:r>
      <w:r>
        <w:rPr>
          <w:rFonts w:hint="eastAsia"/>
          <w:sz w:val="32"/>
          <w:szCs w:val="32"/>
        </w:rPr>
        <w:t>（十五）商品和服务支出（支出经济分类科目类级）：反映单位购买商品和服务的支出（不包括用于购置固定资产的支出、战略性和应急储备支出）。</w:t>
      </w:r>
    </w:p>
    <w:p w:rsidR="00000000" w:rsidRDefault="00EE4D28">
      <w:pPr>
        <w:rPr>
          <w:rFonts w:hint="eastAsia"/>
          <w:sz w:val="32"/>
          <w:szCs w:val="32"/>
        </w:rPr>
      </w:pPr>
      <w:r>
        <w:rPr>
          <w:rFonts w:hint="eastAsia"/>
          <w:sz w:val="32"/>
          <w:szCs w:val="32"/>
        </w:rPr>
        <w:t xml:space="preserve">  </w:t>
      </w:r>
      <w:r>
        <w:rPr>
          <w:rFonts w:hint="eastAsia"/>
          <w:sz w:val="32"/>
          <w:szCs w:val="32"/>
        </w:rPr>
        <w:t>（十六）对个人和家庭的补助（支出经济分类科目类级）：反映用于对个人和家庭的补助支出。</w:t>
      </w:r>
    </w:p>
    <w:p w:rsidR="00000000" w:rsidRDefault="00EE4D28">
      <w:pPr>
        <w:rPr>
          <w:rFonts w:hint="eastAsia"/>
          <w:sz w:val="32"/>
          <w:szCs w:val="32"/>
        </w:rPr>
      </w:pPr>
      <w:r>
        <w:rPr>
          <w:rFonts w:hint="eastAsia"/>
          <w:sz w:val="32"/>
          <w:szCs w:val="32"/>
        </w:rPr>
        <w:t xml:space="preserve">  </w:t>
      </w:r>
      <w:r>
        <w:rPr>
          <w:rFonts w:hint="eastAsia"/>
          <w:sz w:val="32"/>
          <w:szCs w:val="32"/>
        </w:rPr>
        <w:t>（十七）其他资本性支出（支出经济分类科目类级）：反映非各级发展与改革部门集中安排的用于</w:t>
      </w:r>
      <w:r>
        <w:rPr>
          <w:rFonts w:hint="eastAsia"/>
          <w:sz w:val="32"/>
          <w:szCs w:val="32"/>
        </w:rPr>
        <w:t>购置固定资产、战略性和应急性储备、土地和无形资产，以及构建基础设施、大型修缮和财政支持企业更新改造所发生的支出。</w:t>
      </w:r>
    </w:p>
    <w:p w:rsidR="00000000" w:rsidRDefault="00EE4D28">
      <w:pPr>
        <w:rPr>
          <w:rFonts w:hint="eastAsia"/>
          <w:sz w:val="32"/>
          <w:szCs w:val="32"/>
        </w:rPr>
      </w:pPr>
      <w:r>
        <w:rPr>
          <w:rFonts w:hint="eastAsia"/>
          <w:sz w:val="32"/>
          <w:szCs w:val="32"/>
        </w:rPr>
        <w:t xml:space="preserve">  </w:t>
      </w:r>
      <w:r>
        <w:rPr>
          <w:rFonts w:hint="eastAsia"/>
          <w:sz w:val="32"/>
          <w:szCs w:val="32"/>
        </w:rPr>
        <w:t>七、决算公开联系方式及信息反馈渠道</w:t>
      </w:r>
    </w:p>
    <w:p w:rsidR="00000000" w:rsidRDefault="00EE4D28">
      <w:pPr>
        <w:pStyle w:val="Char1"/>
        <w:shd w:val="clear" w:color="auto" w:fill="FFFFFF"/>
        <w:wordWrap w:val="0"/>
        <w:spacing w:before="0" w:beforeAutospacing="0" w:after="0" w:afterAutospacing="0" w:line="600" w:lineRule="atLeast"/>
        <w:ind w:firstLine="420"/>
        <w:rPr>
          <w:rFonts w:ascii="方正仿宋_GBK" w:eastAsia="方正仿宋_GBK" w:hint="eastAsia"/>
          <w:color w:val="333333"/>
          <w:sz w:val="32"/>
          <w:szCs w:val="32"/>
          <w:shd w:val="clear" w:color="auto" w:fill="FFFFFF"/>
        </w:rPr>
      </w:pPr>
      <w:r>
        <w:rPr>
          <w:rFonts w:hint="eastAsia"/>
          <w:sz w:val="32"/>
          <w:szCs w:val="32"/>
          <w:shd w:val="clear" w:color="auto" w:fill="FFFFFF"/>
        </w:rPr>
        <w:t xml:space="preserve">  </w:t>
      </w:r>
      <w:r>
        <w:rPr>
          <w:rFonts w:ascii="方正仿宋_GBK" w:eastAsia="方正仿宋_GBK" w:hint="eastAsia"/>
          <w:color w:val="333333"/>
          <w:sz w:val="32"/>
          <w:szCs w:val="32"/>
          <w:shd w:val="clear" w:color="auto" w:fill="FFFFFF"/>
        </w:rPr>
        <w:t>本单位决算公开信息反馈和联系方式：</w:t>
      </w:r>
    </w:p>
    <w:p w:rsidR="00000000" w:rsidRDefault="00EE4D28">
      <w:pPr>
        <w:pStyle w:val="Char1"/>
        <w:shd w:val="clear" w:color="auto" w:fill="FFFFFF"/>
        <w:wordWrap w:val="0"/>
        <w:spacing w:before="0" w:beforeAutospacing="0" w:after="0" w:afterAutospacing="0" w:line="600" w:lineRule="atLeast"/>
        <w:ind w:firstLineChars="275" w:firstLine="880"/>
        <w:rPr>
          <w:rFonts w:ascii="方正仿宋_GBK" w:eastAsia="方正仿宋_GBK" w:hint="eastAsia"/>
          <w:color w:val="333333"/>
          <w:sz w:val="32"/>
          <w:szCs w:val="32"/>
          <w:shd w:val="clear" w:color="auto" w:fill="FFFFFF"/>
        </w:rPr>
      </w:pPr>
      <w:r>
        <w:rPr>
          <w:rFonts w:ascii="方正仿宋_GBK" w:eastAsia="方正仿宋_GBK" w:hint="eastAsia"/>
          <w:color w:val="333333"/>
          <w:sz w:val="32"/>
          <w:szCs w:val="32"/>
          <w:shd w:val="clear" w:color="auto" w:fill="FFFFFF"/>
        </w:rPr>
        <w:t>冉华荣</w:t>
      </w:r>
      <w:r>
        <w:rPr>
          <w:rFonts w:ascii="方正仿宋_GBK" w:eastAsia="方正仿宋_GBK" w:hint="eastAsia"/>
          <w:color w:val="333333"/>
          <w:sz w:val="32"/>
          <w:szCs w:val="32"/>
          <w:shd w:val="clear" w:color="auto" w:fill="FFFFFF"/>
        </w:rPr>
        <w:t xml:space="preserve">   023-70646020</w:t>
      </w:r>
    </w:p>
    <w:sectPr w:rsidR="00000000">
      <w:pgSz w:w="11915" w:h="16851"/>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EE4D28">
      <w:pPr>
        <w:rPr>
          <w:rFonts w:hint="eastAsia"/>
        </w:rPr>
      </w:pPr>
      <w:r>
        <w:separator/>
      </w:r>
    </w:p>
  </w:endnote>
  <w:endnote w:type="continuationSeparator" w:id="1">
    <w:p w:rsidR="00000000" w:rsidRDefault="00EE4D28">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EE4D28">
      <w:r>
        <w:separator/>
      </w:r>
    </w:p>
  </w:footnote>
  <w:footnote w:type="continuationSeparator" w:id="1">
    <w:p w:rsidR="00000000" w:rsidRDefault="00EE4D28">
      <w:pPr>
        <w:rPr>
          <w:rFonts w:hint="eastAsia"/>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ttachedTemplate r:id="rId1"/>
  <w:defaultTabStop w:val="420"/>
  <w:drawingGridVerticalSpacing w:val="156"/>
  <w:displayHorizontalDrawingGridEvery w:val="0"/>
  <w:displayVerticalDrawingGridEvery w:val="2"/>
  <w:noPunctuationKerning/>
  <w:characterSpacingControl w:val="doNotCompress"/>
  <w:hdrShapeDefaults>
    <o:shapedefaults v:ext="edit" spidmax="3073"/>
  </w:hdrShapeDefaults>
  <w:footnotePr>
    <w:footnote w:id="0"/>
    <w:footnote w:id="1"/>
  </w:footnotePr>
  <w:endnotePr>
    <w:endnote w:id="0"/>
    <w:endnote w:id="1"/>
  </w:endnotePr>
  <w:compat>
    <w:useFELayout/>
  </w:compat>
  <w:rsids>
    <w:rsidRoot w:val="00EE4D28"/>
    <w:rsid w:val="00EE4D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1" w:defQFormat="0" w:count="267">
    <w:lsdException w:name="Normal"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semiHidden="1" w:uiPriority="0" w:qFormat="1"/>
    <w:lsdException w:name="heading 8" w:semiHidden="1" w:uiPriority="0" w:qFormat="1"/>
    <w:lsdException w:name="heading 9" w:semiHidden="1" w:uiPriority="0" w:qFormat="1"/>
    <w:lsdException w:name="index 1" w:uiPriority="0" w:unhideWhenUsed="0"/>
    <w:lsdException w:name="index 2" w:uiPriority="0" w:unhideWhenUsed="0"/>
    <w:lsdException w:name="index 3" w:uiPriority="0" w:unhideWhenUsed="0"/>
    <w:lsdException w:name="index 4" w:uiPriority="0" w:unhideWhenUsed="0"/>
    <w:lsdException w:name="index 5" w:uiPriority="0" w:unhideWhenUsed="0"/>
    <w:lsdException w:name="index 6" w:uiPriority="0" w:unhideWhenUsed="0"/>
    <w:lsdException w:name="index 7" w:uiPriority="0" w:unhideWhenUsed="0"/>
    <w:lsdException w:name="index 8" w:uiPriority="0" w:unhideWhenUsed="0"/>
    <w:lsdException w:name="index 9" w:uiPriority="0" w:unhideWhenUsed="0"/>
    <w:lsdException w:name="toc 1" w:uiPriority="0" w:unhideWhenUsed="0"/>
    <w:lsdException w:name="toc 2" w:uiPriority="0" w:unhideWhenUsed="0"/>
    <w:lsdException w:name="toc 3" w:uiPriority="0" w:unhideWhenUsed="0"/>
    <w:lsdException w:name="toc 4" w:uiPriority="0" w:unhideWhenUsed="0"/>
    <w:lsdException w:name="toc 5" w:uiPriority="0" w:unhideWhenUsed="0"/>
    <w:lsdException w:name="toc 6" w:uiPriority="0" w:unhideWhenUsed="0"/>
    <w:lsdException w:name="toc 7" w:uiPriority="0" w:unhideWhenUsed="0"/>
    <w:lsdException w:name="toc 8" w:uiPriority="0" w:unhideWhenUsed="0"/>
    <w:lsdException w:name="toc 9" w:uiPriority="0" w:unhideWhenUsed="0"/>
    <w:lsdException w:name="Normal Indent" w:uiPriority="0" w:unhideWhenUsed="0"/>
    <w:lsdException w:name="footnote text" w:uiPriority="0" w:unhideWhenUsed="0"/>
    <w:lsdException w:name="annotation text" w:uiPriority="0" w:unhideWhenUsed="0"/>
    <w:lsdException w:name="header" w:uiPriority="0" w:unhideWhenUsed="0"/>
    <w:lsdException w:name="footer" w:uiPriority="0" w:unhideWhenUsed="0"/>
    <w:lsdException w:name="index heading" w:uiPriority="0" w:unhideWhenUsed="0"/>
    <w:lsdException w:name="caption" w:semiHidden="1" w:uiPriority="0" w:qFormat="1"/>
    <w:lsdException w:name="table of figures" w:uiPriority="0" w:unhideWhenUsed="0"/>
    <w:lsdException w:name="envelope address" w:uiPriority="0" w:unhideWhenUsed="0"/>
    <w:lsdException w:name="envelope return" w:uiPriority="0" w:unhideWhenUsed="0"/>
    <w:lsdException w:name="footnote reference" w:uiPriority="0" w:unhideWhenUsed="0"/>
    <w:lsdException w:name="annotation reference" w:uiPriority="0" w:unhideWhenUsed="0"/>
    <w:lsdException w:name="line number" w:uiPriority="0" w:unhideWhenUsed="0"/>
    <w:lsdException w:name="page number" w:uiPriority="0" w:unhideWhenUsed="0"/>
    <w:lsdException w:name="endnote reference" w:uiPriority="0" w:unhideWhenUsed="0"/>
    <w:lsdException w:name="endnote text" w:uiPriority="0" w:unhideWhenUsed="0"/>
    <w:lsdException w:name="table of authorities" w:uiPriority="0" w:unhideWhenUsed="0"/>
    <w:lsdException w:name="macro" w:uiPriority="0" w:unhideWhenUsed="0"/>
    <w:lsdException w:name="toa heading" w:uiPriority="0" w:unhideWhenUsed="0"/>
    <w:lsdException w:name="List" w:uiPriority="0" w:unhideWhenUsed="0"/>
    <w:lsdException w:name="List Bullet" w:uiPriority="0" w:unhideWhenUsed="0"/>
    <w:lsdException w:name="List Number" w:uiPriority="0" w:unhideWhenUsed="0"/>
    <w:lsdException w:name="List 2" w:uiPriority="0" w:unhideWhenUsed="0"/>
    <w:lsdException w:name="List 3" w:uiPriority="0" w:unhideWhenUsed="0"/>
    <w:lsdException w:name="List 4" w:uiPriority="0" w:unhideWhenUsed="0"/>
    <w:lsdException w:name="List 5" w:uiPriority="0" w:unhideWhenUsed="0"/>
    <w:lsdException w:name="List Bullet 2" w:uiPriority="0" w:unhideWhenUsed="0"/>
    <w:lsdException w:name="List Bullet 3" w:uiPriority="0" w:unhideWhenUsed="0"/>
    <w:lsdException w:name="List Bullet 4" w:uiPriority="0" w:unhideWhenUsed="0"/>
    <w:lsdException w:name="List Bullet 5" w:uiPriority="0" w:unhideWhenUsed="0"/>
    <w:lsdException w:name="List Number 2" w:uiPriority="0" w:unhideWhenUsed="0"/>
    <w:lsdException w:name="List Number 3" w:uiPriority="0" w:unhideWhenUsed="0"/>
    <w:lsdException w:name="List Number 4" w:uiPriority="0" w:unhideWhenUsed="0"/>
    <w:lsdException w:name="List Number 5" w:uiPriority="0" w:unhideWhenUsed="0"/>
    <w:lsdException w:name="Title" w:uiPriority="0" w:unhideWhenUsed="0" w:qFormat="1"/>
    <w:lsdException w:name="Closing" w:uiPriority="0" w:unhideWhenUsed="0"/>
    <w:lsdException w:name="Signature" w:uiPriority="0" w:unhideWhenUsed="0"/>
    <w:lsdException w:name="Default Paragraph Font" w:uiPriority="1"/>
    <w:lsdException w:name="Body Text" w:uiPriority="0" w:unhideWhenUsed="0"/>
    <w:lsdException w:name="Body Text Indent" w:uiPriority="0" w:unhideWhenUsed="0"/>
    <w:lsdException w:name="List Continue" w:uiPriority="0" w:unhideWhenUsed="0"/>
    <w:lsdException w:name="List Continue 2" w:uiPriority="0" w:unhideWhenUsed="0"/>
    <w:lsdException w:name="List Continue 3" w:uiPriority="0" w:unhideWhenUsed="0"/>
    <w:lsdException w:name="List Continue 4" w:uiPriority="0" w:unhideWhenUsed="0"/>
    <w:lsdException w:name="List Continue 5" w:uiPriority="0" w:unhideWhenUsed="0"/>
    <w:lsdException w:name="Message Header" w:uiPriority="0" w:unhideWhenUsed="0"/>
    <w:lsdException w:name="Subtitle" w:uiPriority="0" w:unhideWhenUsed="0" w:qFormat="1"/>
    <w:lsdException w:name="Salutation" w:uiPriority="0" w:unhideWhenUsed="0"/>
    <w:lsdException w:name="Date" w:uiPriority="0" w:unhideWhenUsed="0"/>
    <w:lsdException w:name="Body Text First Indent" w:uiPriority="0" w:unhideWhenUsed="0"/>
    <w:lsdException w:name="Body Text First Indent 2" w:uiPriority="0" w:unhideWhenUsed="0"/>
    <w:lsdException w:name="Note Heading" w:uiPriority="0" w:unhideWhenUsed="0"/>
    <w:lsdException w:name="Body Text 2" w:uiPriority="0" w:unhideWhenUsed="0"/>
    <w:lsdException w:name="Body Text 3" w:uiPriority="0" w:unhideWhenUsed="0"/>
    <w:lsdException w:name="Body Text Indent 2" w:uiPriority="0" w:unhideWhenUsed="0"/>
    <w:lsdException w:name="Body Text Indent 3" w:uiPriority="0" w:unhideWhenUsed="0"/>
    <w:lsdException w:name="Block Text" w:uiPriority="0" w:unhideWhenUsed="0"/>
    <w:lsdException w:name="Hyperlink" w:uiPriority="0" w:unhideWhenUsed="0"/>
    <w:lsdException w:name="FollowedHyperlink" w:uiPriority="0" w:unhideWhenUsed="0"/>
    <w:lsdException w:name="Strong" w:uiPriority="0" w:unhideWhenUsed="0" w:qFormat="1"/>
    <w:lsdException w:name="Emphasis" w:uiPriority="0" w:unhideWhenUsed="0" w:qFormat="1"/>
    <w:lsdException w:name="Document Map" w:uiPriority="0" w:unhideWhenUsed="0"/>
    <w:lsdException w:name="Plain Text" w:uiPriority="0" w:unhideWhenUsed="0"/>
    <w:lsdException w:name="E-mail Signature" w:uiPriority="0" w:unhideWhenUsed="0"/>
    <w:lsdException w:name="HTML Top of Form" w:semiHidden="1"/>
    <w:lsdException w:name="HTML Bottom of Form" w:semiHidden="1"/>
    <w:lsdException w:name="Normal (Web)" w:uiPriority="0" w:unhideWhenUsed="0"/>
    <w:lsdException w:name="HTML Acronym" w:uiPriority="0" w:unhideWhenUsed="0"/>
    <w:lsdException w:name="HTML Address" w:uiPriority="0" w:unhideWhenUsed="0"/>
    <w:lsdException w:name="HTML Cite" w:uiPriority="0" w:unhideWhenUsed="0"/>
    <w:lsdException w:name="HTML Code" w:uiPriority="0" w:unhideWhenUsed="0"/>
    <w:lsdException w:name="HTML Definition" w:uiPriority="0" w:unhideWhenUsed="0"/>
    <w:lsdException w:name="HTML Keyboard" w:uiPriority="0" w:unhideWhenUsed="0"/>
    <w:lsdException w:name="HTML Preformatted" w:uiPriority="0" w:unhideWhenUsed="0"/>
    <w:lsdException w:name="HTML Sample" w:uiPriority="0" w:unhideWhenUsed="0"/>
    <w:lsdException w:name="HTML Typewriter" w:uiPriority="0" w:unhideWhenUsed="0"/>
    <w:lsdException w:name="HTML Variable" w:uiPriority="0" w:unhideWhenUsed="0"/>
    <w:lsdException w:name="annotation subject" w:uiPriority="0" w:unhideWhenUsed="0"/>
    <w:lsdException w:name="Outline List 1" w:semiHidden="1"/>
    <w:lsdException w:name="Outline List 2" w:semiHidden="1"/>
    <w:lsdException w:name="Outline List 3" w:semiHidden="1"/>
    <w:lsdException w:name="Balloon Text" w:uiPriority="0" w:unhideWhenUsed="0"/>
    <w:lsdException w:name="No Spacing" w:unhideWhenUsed="0" w:qFormat="1"/>
    <w:lsdException w:name="Revision" w:semiHidden="1"/>
    <w:lsdException w:name="List Paragraph" w:unhideWhenUsed="0" w:qFormat="1"/>
    <w:lsdException w:name="Quote" w:unhideWhenUsed="0" w:qFormat="1"/>
    <w:lsdException w:name="Intense Quote" w:unhideWhenUsed="0" w:qFormat="1"/>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Pr>
      <w:rFonts w:ascii="宋体" w:eastAsia="宋体" w:hAnsi="宋体" w:cs="宋体"/>
      <w:sz w:val="24"/>
      <w:szCs w:val="24"/>
    </w:rPr>
  </w:style>
  <w:style w:type="paragraph" w:styleId="1">
    <w:name w:val="heading 1"/>
    <w:basedOn w:val="a"/>
    <w:next w:val="a"/>
    <w:link w:val="1Char"/>
    <w:qFormat/>
    <w:pPr>
      <w:spacing w:before="100" w:beforeAutospacing="1" w:after="100" w:afterAutospacing="1"/>
      <w:outlineLvl w:val="0"/>
    </w:pPr>
    <w:rPr>
      <w:b/>
      <w:bCs/>
      <w:kern w:val="44"/>
      <w:sz w:val="48"/>
      <w:szCs w:val="48"/>
    </w:rPr>
  </w:style>
  <w:style w:type="paragraph" w:styleId="2">
    <w:name w:val="heading 2"/>
    <w:basedOn w:val="a"/>
    <w:next w:val="a"/>
    <w:link w:val="2Char"/>
    <w:qFormat/>
    <w:pPr>
      <w:spacing w:before="100" w:beforeAutospacing="1" w:after="100" w:afterAutospacing="1"/>
      <w:outlineLvl w:val="1"/>
    </w:pPr>
    <w:rPr>
      <w:b/>
      <w:bCs/>
      <w:sz w:val="36"/>
      <w:szCs w:val="36"/>
    </w:rPr>
  </w:style>
  <w:style w:type="paragraph" w:styleId="3">
    <w:name w:val="heading 3"/>
    <w:basedOn w:val="a"/>
    <w:next w:val="a"/>
    <w:link w:val="3Char"/>
    <w:qFormat/>
    <w:pPr>
      <w:spacing w:before="100" w:beforeAutospacing="1" w:after="100" w:afterAutospacing="1"/>
      <w:outlineLvl w:val="2"/>
    </w:pPr>
    <w:rPr>
      <w:b/>
      <w:bCs/>
      <w:sz w:val="27"/>
      <w:szCs w:val="27"/>
    </w:rPr>
  </w:style>
  <w:style w:type="paragraph" w:styleId="4">
    <w:name w:val="heading 4"/>
    <w:basedOn w:val="a"/>
    <w:next w:val="a"/>
    <w:link w:val="4Char"/>
    <w:qFormat/>
    <w:pPr>
      <w:spacing w:before="100" w:beforeAutospacing="1" w:after="100" w:afterAutospacing="1"/>
      <w:outlineLvl w:val="3"/>
    </w:pPr>
    <w:rPr>
      <w:b/>
      <w:bCs/>
    </w:rPr>
  </w:style>
  <w:style w:type="paragraph" w:styleId="5">
    <w:name w:val="heading 5"/>
    <w:basedOn w:val="a"/>
    <w:next w:val="a"/>
    <w:link w:val="5Char"/>
    <w:qFormat/>
    <w:pPr>
      <w:spacing w:before="100" w:beforeAutospacing="1" w:after="100" w:afterAutospacing="1"/>
      <w:outlineLvl w:val="4"/>
    </w:pPr>
    <w:rPr>
      <w:b/>
      <w:bCs/>
      <w:sz w:val="20"/>
      <w:szCs w:val="20"/>
    </w:rPr>
  </w:style>
  <w:style w:type="paragraph" w:styleId="6">
    <w:name w:val="heading 6"/>
    <w:basedOn w:val="a"/>
    <w:next w:val="a"/>
    <w:link w:val="6Char"/>
    <w:qFormat/>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locked/>
    <w:rPr>
      <w:rFonts w:ascii="宋体" w:eastAsia="宋体" w:hAnsi="宋体" w:cs="宋体" w:hint="eastAsia"/>
      <w:b/>
      <w:bCs/>
      <w:kern w:val="44"/>
      <w:sz w:val="44"/>
      <w:szCs w:val="44"/>
    </w:rPr>
  </w:style>
  <w:style w:type="character" w:customStyle="1" w:styleId="2Char">
    <w:name w:val="标题 2 Char"/>
    <w:basedOn w:val="a0"/>
    <w:link w:val="2"/>
    <w:locked/>
    <w:rPr>
      <w:rFonts w:asciiTheme="majorHAnsi" w:eastAsiaTheme="majorEastAsia" w:hAnsiTheme="majorHAnsi" w:cstheme="majorBidi" w:hint="default"/>
      <w:b/>
      <w:bCs/>
      <w:sz w:val="32"/>
      <w:szCs w:val="32"/>
    </w:rPr>
  </w:style>
  <w:style w:type="character" w:customStyle="1" w:styleId="3Char">
    <w:name w:val="标题 3 Char"/>
    <w:basedOn w:val="a0"/>
    <w:link w:val="3"/>
    <w:locked/>
    <w:rPr>
      <w:rFonts w:ascii="宋体" w:eastAsia="宋体" w:hAnsi="宋体" w:cs="宋体" w:hint="eastAsia"/>
      <w:b/>
      <w:bCs/>
      <w:sz w:val="32"/>
      <w:szCs w:val="32"/>
    </w:rPr>
  </w:style>
  <w:style w:type="character" w:customStyle="1" w:styleId="4Char">
    <w:name w:val="标题 4 Char"/>
    <w:basedOn w:val="a0"/>
    <w:link w:val="4"/>
    <w:locked/>
    <w:rPr>
      <w:rFonts w:asciiTheme="majorHAnsi" w:eastAsiaTheme="majorEastAsia" w:hAnsiTheme="majorHAnsi" w:cstheme="majorBidi" w:hint="default"/>
      <w:b/>
      <w:bCs/>
      <w:sz w:val="28"/>
      <w:szCs w:val="28"/>
    </w:rPr>
  </w:style>
  <w:style w:type="character" w:customStyle="1" w:styleId="5Char">
    <w:name w:val="标题 5 Char"/>
    <w:basedOn w:val="a0"/>
    <w:link w:val="5"/>
    <w:locked/>
    <w:rPr>
      <w:rFonts w:ascii="宋体" w:eastAsia="宋体" w:hAnsi="宋体" w:cs="宋体" w:hint="eastAsia"/>
      <w:b/>
      <w:bCs/>
      <w:sz w:val="28"/>
      <w:szCs w:val="28"/>
    </w:rPr>
  </w:style>
  <w:style w:type="character" w:customStyle="1" w:styleId="6Char">
    <w:name w:val="标题 6 Char"/>
    <w:basedOn w:val="a0"/>
    <w:link w:val="6"/>
    <w:locked/>
    <w:rPr>
      <w:rFonts w:asciiTheme="majorHAnsi" w:eastAsiaTheme="majorEastAsia" w:hAnsiTheme="majorHAnsi" w:cstheme="majorBidi" w:hint="default"/>
      <w:b/>
      <w:bCs/>
      <w:sz w:val="24"/>
      <w:szCs w:val="24"/>
    </w:rPr>
  </w:style>
  <w:style w:type="paragraph" w:styleId="HTML">
    <w:name w:val="HTML Preformatted"/>
    <w:basedOn w:val="a"/>
    <w:link w:val="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Char">
    <w:name w:val="HTML 预设格式 Char"/>
    <w:basedOn w:val="a0"/>
    <w:link w:val="HTML"/>
    <w:locked/>
    <w:rPr>
      <w:rFonts w:ascii="Courier New" w:eastAsia="宋体" w:hAnsi="Courier New" w:cs="Courier New" w:hint="default"/>
    </w:rPr>
  </w:style>
  <w:style w:type="paragraph" w:styleId="a3">
    <w:name w:val="Normal (Web)"/>
    <w:basedOn w:val="a"/>
    <w:pPr>
      <w:spacing w:before="100" w:beforeAutospacing="1" w:after="100" w:afterAutospacing="1"/>
    </w:pPr>
  </w:style>
  <w:style w:type="paragraph" w:styleId="a4">
    <w:name w:val="header"/>
    <w:basedOn w:val="a"/>
    <w:link w:val="Char"/>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locked/>
    <w:rPr>
      <w:rFonts w:ascii="宋体" w:eastAsia="宋体" w:hAnsi="宋体" w:cs="宋体" w:hint="eastAsia"/>
      <w:sz w:val="18"/>
      <w:szCs w:val="18"/>
    </w:rPr>
  </w:style>
  <w:style w:type="paragraph" w:styleId="a5">
    <w:name w:val="footer"/>
    <w:basedOn w:val="a"/>
    <w:link w:val="Char0"/>
    <w:pPr>
      <w:tabs>
        <w:tab w:val="center" w:pos="4153"/>
        <w:tab w:val="right" w:pos="8306"/>
      </w:tabs>
      <w:snapToGrid w:val="0"/>
    </w:pPr>
    <w:rPr>
      <w:sz w:val="18"/>
      <w:szCs w:val="18"/>
    </w:rPr>
  </w:style>
  <w:style w:type="character" w:customStyle="1" w:styleId="Char0">
    <w:name w:val="页脚 Char"/>
    <w:basedOn w:val="a0"/>
    <w:link w:val="a5"/>
    <w:locked/>
    <w:rPr>
      <w:rFonts w:ascii="宋体" w:eastAsia="宋体" w:hAnsi="宋体" w:cs="宋体" w:hint="eastAsia"/>
      <w:sz w:val="18"/>
      <w:szCs w:val="18"/>
    </w:rPr>
  </w:style>
  <w:style w:type="paragraph" w:customStyle="1" w:styleId="CharChar">
    <w:name w:val="普通(网站) Char Char"/>
    <w:basedOn w:val="a"/>
    <w:pPr>
      <w:spacing w:before="100" w:beforeAutospacing="1" w:after="100" w:afterAutospacing="1"/>
    </w:pPr>
  </w:style>
  <w:style w:type="paragraph" w:customStyle="1" w:styleId="Char1">
    <w:name w:val="普通(网站) Char"/>
    <w:basedOn w:val="a"/>
    <w:pPr>
      <w:spacing w:before="100" w:beforeAutospacing="1" w:after="100" w:afterAutospacing="1"/>
    </w:pPr>
  </w:style>
  <w:style w:type="paragraph" w:customStyle="1" w:styleId="CharCharChar">
    <w:name w:val="普通(网站) Char Char Char"/>
    <w:basedOn w:val="a"/>
    <w:pPr>
      <w:spacing w:before="100" w:beforeAutospacing="1" w:after="100" w:afterAutospacing="1"/>
    </w:pPr>
  </w:style>
  <w:style w:type="paragraph" w:customStyle="1" w:styleId="HTMLChar1">
    <w:name w:val="HTML 预设格式 Char1"/>
    <w:basedOn w:val="a"/>
  </w:style>
  <w:style w:type="paragraph" w:customStyle="1" w:styleId="preChar">
    <w:name w:val="pre Char"/>
    <w:basedOn w:val="a"/>
  </w:style>
  <w:style w:type="character" w:customStyle="1" w:styleId="10">
    <w:name w:val="10"/>
    <w:basedOn w:val="a0"/>
    <w:rPr>
      <w:rFonts w:ascii="Times New Roman" w:hAnsi="Times New Roman" w:cs="Times New Roman" w:hint="default"/>
    </w:rPr>
  </w:style>
  <w:style w:type="character" w:customStyle="1" w:styleId="15">
    <w:name w:val="15"/>
    <w:basedOn w:val="a0"/>
    <w:rPr>
      <w:rFonts w:ascii="Times New Roman" w:hAnsi="Times New Roman" w:cs="Times New Roman" w:hint="default"/>
      <w:b/>
      <w:bCs w:val="0"/>
    </w:rPr>
  </w:style>
  <w:style w:type="character" w:customStyle="1" w:styleId="16">
    <w:name w:val="16"/>
    <w:basedOn w:val="a0"/>
    <w:rPr>
      <w:rFonts w:ascii="Times New Roman" w:hAnsi="Times New Roman" w:cs="Times New Roman" w:hint="default"/>
    </w:rPr>
  </w:style>
  <w:style w:type="character" w:customStyle="1" w:styleId="17">
    <w:name w:val="17"/>
    <w:basedOn w:val="a0"/>
    <w:rPr>
      <w:rFonts w:ascii="Times New Roman" w:hAnsi="Times New Roman" w:cs="Times New Roman" w:hint="default"/>
    </w:rPr>
  </w:style>
  <w:style w:type="character" w:customStyle="1" w:styleId="18">
    <w:name w:val="18"/>
    <w:basedOn w:val="a0"/>
    <w:rPr>
      <w:rFonts w:ascii="Times New Roman" w:hAnsi="Times New Roman" w:cs="Times New Roman" w:hint="default"/>
    </w:rPr>
  </w:style>
  <w:style w:type="character" w:customStyle="1" w:styleId="19">
    <w:name w:val="19"/>
    <w:basedOn w:val="a0"/>
    <w:rPr>
      <w:rFonts w:ascii="宋体" w:eastAsia="宋体" w:hAnsi="宋体" w:hint="eastAsia"/>
      <w:color w:val="000000"/>
      <w:sz w:val="22"/>
      <w:szCs w:val="22"/>
    </w:rPr>
  </w:style>
  <w:style w:type="character" w:customStyle="1" w:styleId="20">
    <w:name w:val="20"/>
    <w:basedOn w:val="a0"/>
    <w:rPr>
      <w:rFonts w:ascii="Times New Roman" w:hAnsi="Times New Roman" w:cs="Times New Roman" w:hint="default"/>
      <w:b/>
      <w:bCs w:val="0"/>
    </w:rPr>
  </w:style>
  <w:style w:type="character" w:customStyle="1" w:styleId="21">
    <w:name w:val="21"/>
    <w:basedOn w:val="a0"/>
    <w:rPr>
      <w:rFonts w:ascii="宋体" w:eastAsia="宋体" w:hAnsi="宋体" w:hint="eastAsia"/>
      <w:color w:val="000000"/>
      <w:sz w:val="20"/>
      <w:szCs w:val="20"/>
    </w:rPr>
  </w:style>
  <w:style w:type="character" w:customStyle="1" w:styleId="22">
    <w:name w:val="22"/>
    <w:basedOn w:val="a0"/>
    <w:rPr>
      <w:rFonts w:ascii="Times New Roman" w:hAnsi="Times New Roman" w:cs="Times New Roman" w:hint="default"/>
    </w:rPr>
  </w:style>
  <w:style w:type="character" w:customStyle="1" w:styleId="23">
    <w:name w:val="23"/>
    <w:basedOn w:val="a0"/>
    <w:rPr>
      <w:rFonts w:ascii="Times New Roman" w:hAnsi="Times New Roman" w:cs="Times New Roman" w:hint="default"/>
    </w:rPr>
  </w:style>
  <w:style w:type="character" w:customStyle="1" w:styleId="24">
    <w:name w:val="24"/>
    <w:basedOn w:val="a0"/>
    <w:rPr>
      <w:rFonts w:ascii="宋体" w:eastAsia="宋体" w:hAnsi="宋体" w:hint="eastAsia"/>
      <w:color w:val="000000"/>
      <w:sz w:val="32"/>
      <w:szCs w:val="32"/>
    </w:rPr>
  </w:style>
</w:styles>
</file>

<file path=word/webSettings.xml><?xml version="1.0" encoding="utf-8"?>
<w:webSettings xmlns:r="http://schemas.openxmlformats.org/officeDocument/2006/relationships" xmlns:w="http://schemas.openxmlformats.org/wordprocessingml/2006/main">
  <w:encoding w:val="us-ascii"/>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5696</Words>
  <Characters>1573</Characters>
  <Application>Microsoft Office Word</Application>
  <DocSecurity>0</DocSecurity>
  <Lines>13</Lines>
  <Paragraphs>14</Paragraphs>
  <ScaleCrop>false</ScaleCrop>
  <Company>Microsoft</Company>
  <LinksUpToDate>false</LinksUpToDate>
  <CharactersWithSpaces>7255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cp:revision>
  <dcterms:created xsi:type="dcterms:W3CDTF">2025-06-25T07:55:00Z</dcterms:created>
  <dcterms:modified xsi:type="dcterms:W3CDTF">2025-06-25T07:55:00Z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0FC638D97F15446B88EEDDD20DE203C0_12</vt:lpwstr>
  </property>
</Properties>
</file>