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ED014"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一、202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年财政预算执行情况</w:t>
      </w:r>
    </w:p>
    <w:p w14:paraId="3813CE9B">
      <w:pPr>
        <w:pStyle w:val="4"/>
        <w:widowControl/>
        <w:shd w:val="clear" w:color="auto" w:fill="FFFFFF"/>
        <w:spacing w:beforeAutospacing="0" w:after="180" w:afterAutospacing="0" w:line="600" w:lineRule="atLeas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过去一年，镇财政在镇党委、镇政府及上级财政部门的正确领导下，在镇人大的监督支持下，紧紧围绕全年工作总目标，以习近平新时代中国特色社会主义思想为指导，以全面深化财政改革为动力，深入学习贯彻党的二十大和二十届二中、三中全会精神，统筹谋划，重点突破，聚焦组织财政收入、优化支出结构、加强财政监督，全力稳经济、促发展、保运转、惠民生，财政运行总体平稳有序，全镇经济社会持续健康发展。</w:t>
      </w:r>
    </w:p>
    <w:p w14:paraId="7205277A"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</w:rPr>
        <w:t>（一）一般公共预算</w:t>
      </w:r>
    </w:p>
    <w:p w14:paraId="73A52C4B">
      <w:pPr>
        <w:spacing w:line="570" w:lineRule="exact"/>
        <w:ind w:firstLine="643" w:firstLineChars="200"/>
        <w:rPr>
          <w:rFonts w:ascii="方正仿宋_GBK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收入情况。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龙孔镇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一般公共预算收入总计为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2904.74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万元，为年度预算数的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，同比增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118.15万元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9AD5D0A">
      <w:pPr>
        <w:spacing w:line="570" w:lineRule="exact"/>
        <w:ind w:firstLine="643" w:firstLineChars="200"/>
        <w:rPr>
          <w:rFonts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2. </w:t>
      </w:r>
      <w:r>
        <w:rPr>
          <w:rFonts w:hint="eastAsia" w:ascii="方正仿宋_GBK" w:eastAsia="方正仿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支出情况。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龙孔镇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一般公共预算支出总计为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2904.74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万元,为年度预算数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，同比增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118.15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。支出分项情况如下：</w:t>
      </w:r>
    </w:p>
    <w:p w14:paraId="2660C7FA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（1）一般公共服务支出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760.50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人大、政府办公室及相关机构、行政运行、统计信息、组织、市场监督管理、信访等事务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489E664E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）文化旅游体育与传媒支出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57.49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群众文化、公共文化服务、农家书屋、其他文化和旅游等事务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262F48C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549.24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万元，主要用于人力资源和社会保障管理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、民政管理、行政事业单位养老、就业补助、社会福利、残疾人事业等事务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79B38784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76.59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7D440D1A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）城乡社区支出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81.76万元，主要用于城乡社区管理事务支出；</w:t>
      </w:r>
    </w:p>
    <w:p w14:paraId="475DF178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1076.85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万元，主要用于农业农村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事业运行、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防灾救灾、农业生产发展、森林资源管理、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水利、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巩固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拓展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脱贫攻坚成果衔接乡村振兴、农村综合改革等事务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05B71556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）交通运输支出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162.70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万元，主要用于公路建设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、公路养护、公路和运输安全等事务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2B7C9921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）自然资源海洋气象等支出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18.50万元，主要用于自然资源利用与保护事务支出；</w:t>
      </w:r>
    </w:p>
    <w:p w14:paraId="685B03C2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79.3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住房公积金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支出；</w:t>
      </w:r>
    </w:p>
    <w:p w14:paraId="19B7889B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）灾害防治及应急管理支出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41.82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万元，主要用于应急管理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、地质灾害防治、森林草原防灾减灾、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自然灾害救灾补助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 w14:paraId="40DE6012"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  <w:t>（二）政府性基金预算</w:t>
      </w:r>
    </w:p>
    <w:p w14:paraId="0FAC763F">
      <w:pPr>
        <w:spacing w:line="570" w:lineRule="exact"/>
        <w:ind w:firstLine="643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方正仿宋_GBK" w:hAnsi="Times New Roman" w:eastAsia="方正仿宋_GBK" w:cs="Times New Roman"/>
          <w:b/>
          <w:bCs/>
          <w:kern w:val="0"/>
          <w:sz w:val="32"/>
          <w:szCs w:val="32"/>
          <w:highlight w:val="none"/>
        </w:rPr>
        <w:t>收入情况。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龙孔镇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政府性基金预算收入总计为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5.60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万元，为年度预算数的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94.43万元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 w14:paraId="546A39E3">
      <w:pPr>
        <w:spacing w:line="570" w:lineRule="exact"/>
        <w:ind w:firstLine="643" w:firstLineChars="200"/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ascii="方正仿宋_GBK" w:eastAsia="方正仿宋_GBK"/>
          <w:b/>
          <w:bCs/>
          <w:kern w:val="0"/>
          <w:sz w:val="32"/>
          <w:szCs w:val="32"/>
          <w:highlight w:val="none"/>
        </w:rPr>
        <w:t>2. </w:t>
      </w:r>
      <w:r>
        <w:rPr>
          <w:rFonts w:hint="eastAsia" w:ascii="方正仿宋_GBK" w:eastAsia="方正仿宋_GBK"/>
          <w:b/>
          <w:bCs/>
          <w:kern w:val="0"/>
          <w:sz w:val="32"/>
          <w:szCs w:val="32"/>
          <w:highlight w:val="none"/>
        </w:rPr>
        <w:t>支出情况。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龙孔镇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政府性基金预算支出总计为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5.60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万元,为年度预算数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94.43万元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社会福利的彩票公益金、体育事业的彩票公益金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等支出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。</w:t>
      </w:r>
    </w:p>
    <w:p w14:paraId="39FE699E">
      <w:pPr>
        <w:spacing w:line="570" w:lineRule="exact"/>
        <w:ind w:firstLine="643" w:firstLineChars="200"/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  <w:t>（三）</w:t>
      </w: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  <w:t>年重点财政工作</w:t>
      </w:r>
    </w:p>
    <w:p w14:paraId="61F97940">
      <w:p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积极培育税源，全力挖掘新增财力。</w:t>
      </w:r>
    </w:p>
    <w:p w14:paraId="713AE1C6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面对外部环境的不确定性、经济下行等压力，我们积极拓展财源建设，依法依规加强收入征管，提高税源管理水平。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推进税源跟踪分析。通过与税务部门的协调配合，强化税收收入协同共治，建立健全高效衔接的涉税数据共享机制，分析研判重点行业、重点税源企业税收增减变动原因，防止税源外流，实现挖潜增收。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拓宽非税收入渠道。围绕全年财政收入目标，深度挖掘非税收入潜力，努力盘活镇级国有资产，增加财政收入。</w:t>
      </w:r>
    </w:p>
    <w:p w14:paraId="3423E126">
      <w:p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聚焦民生导向，助力重点领域资金保障。</w:t>
      </w:r>
    </w:p>
    <w:p w14:paraId="5E85AED9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坚持为民办实事，以人为本的工作思想，统筹财政资金，聚焦解决群众急难愁盼问题，全镇民生支出占一般公共预算支出比重达80%。坚持“尽力而为，量力而行”，科学调度资金。牢固树立过“紧日子”思想，进一步严控“三公”经费和各类非刚性、非必要支出，兜牢民生底线，保障重点领域资金需求。统筹整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衔接资金152.89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万元，推进乡村振兴、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改善人居环境、提升新农人培育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等重大项目顺利实施。</w:t>
      </w:r>
    </w:p>
    <w:p w14:paraId="38C9EC86">
      <w:p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3.规范资金使用，提升财政绩效管理效能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 w14:paraId="5A944D39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贯彻落实党中央关于“全面实施预算绩效管理”的决策部署，探索财政科学监管方式路径，以加快建立现代财政制度为目标，深入推进财政管理改革，提升财政管理效能。增强预算刚性约束，严格预算执行。按照过紧日子要求，严控“三公”经费支出，2024年“三公”经费实际支出16.53万元，同比减少3%。严格做好项目绩效审核，严把项目筛选、入库关，通过规范财政资金使用和审核，最大限度地节约资金。并充分利用财政承受能力论证工具，不断提高财政管理水平，增强镇级财政的公共服务水平和统筹发展能力。</w:t>
      </w:r>
    </w:p>
    <w:p w14:paraId="17E55EFD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各位代表、同志们！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2024年龙孔镇财政运行态势总体平稳，这离不开镇党委和镇政府的统筹决策，离不开镇人大的监督指导，同时也是各部门以及全镇人民共同努力的结果。但在财政运行中仍然存在着一些困难和问题，如：收入增长缓慢，收支矛盾突出，资金兑付压力大。针对这些问题镇财政将在今后的工作中认真研判，采取有效措施逐步予以克服和解决。</w:t>
      </w:r>
    </w:p>
    <w:p w14:paraId="65F55A84"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二、202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年财政预算（草案）</w:t>
      </w:r>
    </w:p>
    <w:p w14:paraId="789788AB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2025年是“十四五”规划的收官之年，也是现代化新重庆建设纵深推进的关键之年，实施更加积极的财政政策，做好预算编制和财政工作意义重大，镇财政将全面贯彻党中央、国务院和市委、市政府以及县委、县政府决策部署，严格落实镇党委、镇政府的工作要求，认真执行镇人大决议，科学研判财政收支形势，积极发挥财政职能作用，努力为全镇经济社会发展提供财力支撑。</w:t>
      </w:r>
    </w:p>
    <w:p w14:paraId="680AEEEB"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</w:rPr>
        <w:t>（一）一般公共预算</w:t>
      </w:r>
    </w:p>
    <w:p w14:paraId="51B80641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年一般公共预算收入预期总计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2620.11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2620.11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 w14:paraId="2AC1FD98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一般公共服务支出754.4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政府办公室及相关机构、组织、社会工作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等行政运行管理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75F99B74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文化旅游体育与传媒支出48.82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主要用于群众文化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 w14:paraId="28416104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.社会保障和就业支出311.27万元，主要用于人力资源和社会保障管理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、民政管理、行政单位离退休、机关事业单位基本养老保险缴费、机关事业单位职业年金缴费、其他行政事业单位养老等事务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5AD31ABF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.卫生健康支出72.88万元，主要用于行政事业单位医疗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5BB5E6AC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.城乡社区支出95.12万元，主要用于城乡社区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支出；</w:t>
      </w:r>
    </w:p>
    <w:p w14:paraId="3FB96A1D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781.06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万元，主要用于农业农村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事业运行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、农村综合改革对村民委员会和村党支部的补助等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 w14:paraId="717ADBDD"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交通运输支出453.75万元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主要用于公路建设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、公路养护、公路和运输安全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等支出；</w:t>
      </w:r>
    </w:p>
    <w:p w14:paraId="29570F6B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自然资源海洋气象等支出4.5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主要用于自然资源利用与保护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支出；</w:t>
      </w:r>
    </w:p>
    <w:p w14:paraId="47C3850D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住房保障支出71.31万元，主要用于住房公积金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缴费支出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 w14:paraId="171E00E4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灾害防治及应急管理支出6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主要用于自然灾害救灾补助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支出；</w:t>
      </w:r>
    </w:p>
    <w:p w14:paraId="37BCF516">
      <w:pPr>
        <w:numPr>
          <w:ilvl w:val="0"/>
          <w:numId w:val="0"/>
        </w:num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11.预备费21万元，主要用于自然灾害等突发事件处置及其他难以预见的支出。</w:t>
      </w:r>
    </w:p>
    <w:p w14:paraId="0F0003BD"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</w:rPr>
        <w:t>（二）政府性基金预算</w:t>
      </w:r>
    </w:p>
    <w:p w14:paraId="7DE5B13A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年政府性基金预算资金收入预期总计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57.01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57.01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 w14:paraId="0F6AA30A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1.城乡社区支出20.51万元，主要用于其他国有土地使用权出让收入安排的支出；</w:t>
      </w:r>
    </w:p>
    <w:p w14:paraId="12E9B637">
      <w:pPr>
        <w:numPr>
          <w:ilvl w:val="0"/>
          <w:numId w:val="0"/>
        </w:num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其他支出36.5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0万元，主要用于社会福利的彩票公益金、其他社会公益事业的彩票公益金支出。</w:t>
      </w:r>
    </w:p>
    <w:p w14:paraId="792568D6"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</w:rPr>
        <w:t>三、2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</w:rPr>
        <w:t>年财政工作主要任务</w:t>
      </w:r>
    </w:p>
    <w:p w14:paraId="047EB317"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围绕2025年财政收支预算目标任务，我们将重点抓好以下几个方面的工作。</w:t>
      </w:r>
    </w:p>
    <w:p w14:paraId="3DB1B429">
      <w:pPr>
        <w:numPr>
          <w:ilvl w:val="0"/>
          <w:numId w:val="1"/>
        </w:num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加强财源建设，提高财政收入质量。</w:t>
      </w:r>
    </w:p>
    <w:p w14:paraId="6C88D2B3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一方面，严格落实国家税费优惠、财政补助、政府采购等财税扶持政策，用好用活惠企信贷产品，帮助市场主体纾困解难，持续打造最优营商环境，在减轻企业负担的同时，培育新的经济增长点。另一方面，加强财政收入组织工作，盘活国有闲置资产、资源，从存量资产中挖掘增收潜力。强化国有资本收益管理，增加镇级财政收入。加强税收征管，确保应收尽收，积极向上争取更多项目落地龙孔。</w:t>
      </w:r>
    </w:p>
    <w:p w14:paraId="6355AFC5">
      <w:pPr>
        <w:numPr>
          <w:ilvl w:val="0"/>
          <w:numId w:val="1"/>
        </w:numPr>
        <w:spacing w:line="57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优化支出结构，保障重点领域支出。</w:t>
      </w:r>
    </w:p>
    <w:p w14:paraId="2F9564A7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优先保障“三保”支出、市县重点考核支出及镇党委重大决策支出，注重惠民生、促消费、增后劲，持续落实“党政机关要坚持过紧日子”，强化“三公”经费预算管理，严控行政事业单位编外聘用人员规模和政府购买服务事项。</w:t>
      </w:r>
    </w:p>
    <w:p w14:paraId="7DA6595F">
      <w:pPr>
        <w:numPr>
          <w:ilvl w:val="0"/>
          <w:numId w:val="1"/>
        </w:numPr>
        <w:spacing w:line="57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深化财政改革，提高财政治理效能。</w:t>
      </w:r>
    </w:p>
    <w:p w14:paraId="0C3C19F8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持续深化零基预算改革，提高预算管理规范性、精准性。进一步推进预算绩效管理，持续完善“全方位、全过程、全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覆盖”管理体系，严格落实预算绩效管理机制。把好财政投资项目预算入口和结算出口，规范政府采购行为，推进数字财政建设，加强财政数据分析应用。</w:t>
      </w:r>
    </w:p>
    <w:p w14:paraId="4094217F">
      <w:pPr>
        <w:numPr>
          <w:ilvl w:val="0"/>
          <w:numId w:val="1"/>
        </w:numPr>
        <w:spacing w:line="57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加强风险管控，筑牢运行安全屏障。</w:t>
      </w:r>
    </w:p>
    <w:p w14:paraId="47EB0B26"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坚持财政运行风险监测，完善库款保障措施，合理调度使用资金，优化预算执行动态监控体系，加强国库集中支付资金监管，不断防范支付风险。加大财会监督力度，推动财会监督与纪检监察、审计监督等各类监督贯通协调，构建全方位立体化监督体系。</w:t>
      </w:r>
    </w:p>
    <w:p w14:paraId="224803E6">
      <w:pPr>
        <w:numPr>
          <w:ilvl w:val="0"/>
          <w:numId w:val="0"/>
        </w:numPr>
        <w:spacing w:line="570" w:lineRule="exact"/>
        <w:ind w:firstLine="640" w:firstLineChars="200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各位代表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、同志们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！2025年既是“十四五”规划收官之年，也是“十五五”规划谋篇布局之年。做好2025年财政工作意义重大、责任重大，镇财政将在镇党委、镇政府的正确领导和镇人大的监督支持下，埋头苦干，勇毅前行，为全镇经济社会事业持续健康发展作出新的贡献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建“橙意龙孔”、享“橙香生活”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彰显财政担当、贡献财政力量！</w:t>
      </w:r>
    </w:p>
    <w:p w14:paraId="4DB6789C">
      <w:pPr>
        <w:spacing w:line="570" w:lineRule="exact"/>
        <w:ind w:firstLine="640" w:firstLineChars="200"/>
        <w:rPr>
          <w:rFonts w:hint="default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四、相关事项说明</w:t>
      </w:r>
    </w:p>
    <w:p w14:paraId="53DBE872">
      <w:pPr>
        <w:spacing w:line="570" w:lineRule="exact"/>
        <w:ind w:firstLine="643" w:firstLineChars="200"/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  <w:t>一、</w:t>
      </w: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  <w:t>年预备费使用情况</w:t>
      </w:r>
    </w:p>
    <w:p w14:paraId="426742BD">
      <w:pPr>
        <w:spacing w:line="570" w:lineRule="exact"/>
        <w:ind w:firstLine="640" w:firstLineChars="200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预备费全年预算21万元，主要用于灾害防治及应急管理事务支出。其中，应急管理事务支出20.99万元。</w:t>
      </w:r>
    </w:p>
    <w:p w14:paraId="4D52DF76">
      <w:pPr>
        <w:spacing w:line="570" w:lineRule="exact"/>
        <w:ind w:firstLine="643" w:firstLineChars="200"/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  <w:t>二、“三公”经费相关情况</w:t>
      </w:r>
    </w:p>
    <w:p w14:paraId="6715AC7D"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2024年“三公”经费预算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年增加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万元。其中：公务接待费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与上年持平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，主要原因是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严格落实中央八项规定，持续压缩公务接待开支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；公务用车运行维护费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年增加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万元，主要原因是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本镇公务用车编制4个，2023年实有车辆3辆，2024年新添置1辆，相关费用随之增加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50ADCD61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4E8134AD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451671E5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1824B529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72DC741E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35A656E7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1772D9F6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192F95F0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55572ABC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480B2121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3FA682A6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4C08756C">
      <w:pPr>
        <w:spacing w:line="570" w:lineRule="exact"/>
        <w:jc w:val="both"/>
        <w:rPr>
          <w:rFonts w:eastAsia="方正小标宋_GBK"/>
          <w:sz w:val="44"/>
          <w:szCs w:val="44"/>
        </w:rPr>
      </w:pPr>
    </w:p>
    <w:p w14:paraId="3F548FE2"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名词解释</w:t>
      </w:r>
    </w:p>
    <w:p w14:paraId="3D59E250"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 w14:paraId="2EEA26A7"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一般公共预算：</w:t>
      </w:r>
      <w:r>
        <w:rPr>
          <w:rFonts w:eastAsia="方正仿宋_GBK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 w14:paraId="6737FD87"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政府性基金预算：</w:t>
      </w:r>
      <w:r>
        <w:rPr>
          <w:rFonts w:eastAsia="方正仿宋_GBK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 w14:paraId="39D8B408"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国有资本经营预算：</w:t>
      </w:r>
      <w:r>
        <w:rPr>
          <w:rFonts w:eastAsia="方正仿宋_GBK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 w14:paraId="34BA2364"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社保基金预算：</w:t>
      </w:r>
      <w:r>
        <w:rPr>
          <w:rFonts w:eastAsia="方正仿宋_GBK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 w14:paraId="51127CB7"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债券资金：</w:t>
      </w:r>
      <w:r>
        <w:rPr>
          <w:rFonts w:eastAsia="方正仿宋_GBK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 w14:paraId="529C6391"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三公经费</w:t>
      </w:r>
      <w:r>
        <w:rPr>
          <w:rFonts w:eastAsia="方正仿宋_GBK"/>
          <w:kern w:val="0"/>
          <w:sz w:val="32"/>
          <w:szCs w:val="32"/>
        </w:rPr>
        <w:t>：指政府部门公务出国（境）经费、公务车购置及运行费、公务接待费。</w:t>
      </w:r>
    </w:p>
    <w:p w14:paraId="347528EF">
      <w:pPr>
        <w:spacing w:line="57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3EB1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-91440</wp:posOffset>
              </wp:positionV>
              <wp:extent cx="421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804A64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2pt;height:144pt;width:33.2pt;mso-position-horizontal:right;mso-position-horizontal-relative:margin;z-index:251659264;mso-width-relative:page;mso-height-relative:page;" filled="f" stroked="f" coordsize="21600,21600" o:gfxdata="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i8/lrXAAAABwEAAA8AAAAAAAAAAQAgAAAAIgAAAGRycy9kb3ducmV2&#10;LnhtbFBLAQIUABQAAAAIAIdO4kB27G8V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804A64"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5665B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D37F3"/>
    <w:multiLevelType w:val="singleLevel"/>
    <w:tmpl w:val="CFAD37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3C5D59"/>
    <w:rsid w:val="00323BF6"/>
    <w:rsid w:val="00325422"/>
    <w:rsid w:val="003C5D59"/>
    <w:rsid w:val="005C716D"/>
    <w:rsid w:val="00776BF3"/>
    <w:rsid w:val="00866A66"/>
    <w:rsid w:val="00941616"/>
    <w:rsid w:val="00953237"/>
    <w:rsid w:val="00991ADF"/>
    <w:rsid w:val="00B90839"/>
    <w:rsid w:val="00D662AB"/>
    <w:rsid w:val="00D7749F"/>
    <w:rsid w:val="00F9294A"/>
    <w:rsid w:val="00FA0688"/>
    <w:rsid w:val="01655E65"/>
    <w:rsid w:val="01814321"/>
    <w:rsid w:val="02E5725D"/>
    <w:rsid w:val="033329F4"/>
    <w:rsid w:val="03C3194F"/>
    <w:rsid w:val="04FB279B"/>
    <w:rsid w:val="057B7A05"/>
    <w:rsid w:val="06C61153"/>
    <w:rsid w:val="0899356D"/>
    <w:rsid w:val="09156036"/>
    <w:rsid w:val="0A6767AA"/>
    <w:rsid w:val="0A700256"/>
    <w:rsid w:val="0AAA48E8"/>
    <w:rsid w:val="0BA15CEB"/>
    <w:rsid w:val="0DE46306"/>
    <w:rsid w:val="0DE545B5"/>
    <w:rsid w:val="0E104377"/>
    <w:rsid w:val="0E99714E"/>
    <w:rsid w:val="101E5DCD"/>
    <w:rsid w:val="10484987"/>
    <w:rsid w:val="112453F4"/>
    <w:rsid w:val="11A46535"/>
    <w:rsid w:val="13201BEB"/>
    <w:rsid w:val="13E64BE3"/>
    <w:rsid w:val="144C4480"/>
    <w:rsid w:val="147217C8"/>
    <w:rsid w:val="14AD4BB6"/>
    <w:rsid w:val="17836BED"/>
    <w:rsid w:val="178564C1"/>
    <w:rsid w:val="178F7340"/>
    <w:rsid w:val="184243B2"/>
    <w:rsid w:val="18EB4A4A"/>
    <w:rsid w:val="1917583F"/>
    <w:rsid w:val="1A8B286B"/>
    <w:rsid w:val="1AF67AD2"/>
    <w:rsid w:val="1D047E88"/>
    <w:rsid w:val="1D936104"/>
    <w:rsid w:val="1DDE2DCF"/>
    <w:rsid w:val="1FC849FE"/>
    <w:rsid w:val="204D7D98"/>
    <w:rsid w:val="22632191"/>
    <w:rsid w:val="230F5DD4"/>
    <w:rsid w:val="2465729D"/>
    <w:rsid w:val="259C15A5"/>
    <w:rsid w:val="29153918"/>
    <w:rsid w:val="293735B7"/>
    <w:rsid w:val="2C517B80"/>
    <w:rsid w:val="2C7867B7"/>
    <w:rsid w:val="2CDA0C05"/>
    <w:rsid w:val="2E284AC7"/>
    <w:rsid w:val="2F8F5CD7"/>
    <w:rsid w:val="30FD7358"/>
    <w:rsid w:val="3216448E"/>
    <w:rsid w:val="32D560F7"/>
    <w:rsid w:val="34050BF1"/>
    <w:rsid w:val="373A6E70"/>
    <w:rsid w:val="39013E0A"/>
    <w:rsid w:val="3A4E0628"/>
    <w:rsid w:val="3BE41159"/>
    <w:rsid w:val="3D6819C4"/>
    <w:rsid w:val="3E38578C"/>
    <w:rsid w:val="3E7959E8"/>
    <w:rsid w:val="3ED402CB"/>
    <w:rsid w:val="3FD322A2"/>
    <w:rsid w:val="3FFA53EF"/>
    <w:rsid w:val="40C36228"/>
    <w:rsid w:val="41097DCA"/>
    <w:rsid w:val="43F03A7C"/>
    <w:rsid w:val="47394A4E"/>
    <w:rsid w:val="4BEE392E"/>
    <w:rsid w:val="4C465592"/>
    <w:rsid w:val="4F732AC8"/>
    <w:rsid w:val="4FCF1AE6"/>
    <w:rsid w:val="50A30AB6"/>
    <w:rsid w:val="50CA4969"/>
    <w:rsid w:val="50E517A3"/>
    <w:rsid w:val="5122044E"/>
    <w:rsid w:val="523F4EE3"/>
    <w:rsid w:val="529C2335"/>
    <w:rsid w:val="53885615"/>
    <w:rsid w:val="53A30B5C"/>
    <w:rsid w:val="544D19A0"/>
    <w:rsid w:val="54686973"/>
    <w:rsid w:val="55540CA5"/>
    <w:rsid w:val="56793877"/>
    <w:rsid w:val="56C1680E"/>
    <w:rsid w:val="57A2219C"/>
    <w:rsid w:val="59561490"/>
    <w:rsid w:val="5B3A26EB"/>
    <w:rsid w:val="5D3E1BE0"/>
    <w:rsid w:val="5DBF6416"/>
    <w:rsid w:val="5F15001E"/>
    <w:rsid w:val="5F677827"/>
    <w:rsid w:val="5F7563E8"/>
    <w:rsid w:val="5FED5F7E"/>
    <w:rsid w:val="5FEE1F6D"/>
    <w:rsid w:val="604A33D1"/>
    <w:rsid w:val="60F5158E"/>
    <w:rsid w:val="61972646"/>
    <w:rsid w:val="627806C9"/>
    <w:rsid w:val="628C1A7E"/>
    <w:rsid w:val="629B7ECB"/>
    <w:rsid w:val="62C51434"/>
    <w:rsid w:val="638D28C0"/>
    <w:rsid w:val="66BC48FC"/>
    <w:rsid w:val="679D028A"/>
    <w:rsid w:val="682B37F2"/>
    <w:rsid w:val="6A3D5D54"/>
    <w:rsid w:val="6B144D07"/>
    <w:rsid w:val="6C164AAF"/>
    <w:rsid w:val="6C3A69EF"/>
    <w:rsid w:val="6C855839"/>
    <w:rsid w:val="6D1F1741"/>
    <w:rsid w:val="6D5B66F6"/>
    <w:rsid w:val="6D6B0BCD"/>
    <w:rsid w:val="6DB4457F"/>
    <w:rsid w:val="6E6B2E90"/>
    <w:rsid w:val="6FAC19B2"/>
    <w:rsid w:val="6FCA12D5"/>
    <w:rsid w:val="70CD6084"/>
    <w:rsid w:val="716360A0"/>
    <w:rsid w:val="71BF6877"/>
    <w:rsid w:val="71C24A02"/>
    <w:rsid w:val="73F97190"/>
    <w:rsid w:val="750D2B24"/>
    <w:rsid w:val="757765BE"/>
    <w:rsid w:val="76BB24DB"/>
    <w:rsid w:val="772406D8"/>
    <w:rsid w:val="777F18E0"/>
    <w:rsid w:val="795445DD"/>
    <w:rsid w:val="7A4D67CE"/>
    <w:rsid w:val="7AB94F83"/>
    <w:rsid w:val="7AF17BB8"/>
    <w:rsid w:val="7B5C195C"/>
    <w:rsid w:val="7BEB3862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3961</Words>
  <Characters>4231</Characters>
  <Lines>11</Lines>
  <Paragraphs>3</Paragraphs>
  <TotalTime>13</TotalTime>
  <ScaleCrop>false</ScaleCrop>
  <LinksUpToDate>false</LinksUpToDate>
  <CharactersWithSpaces>4231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2024-02-19T03:43:00Z</dcterms:created>
  <dc:creator>Administrator</dc:creator>
  <cp:lastModifiedBy>温星星</cp:lastModifiedBy>
  <dcterms:modified xsi:type="dcterms:W3CDTF">2025-04-18T01:47:21Z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3DEC6E0AF3244E399F83F1FFBB6A9553_12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