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overflowPunct/>
        <w:topLinePunct w:val="0"/>
        <w:autoSpaceDN/>
        <w:bidi w:val="0"/>
        <w:adjustRightInd/>
        <w:spacing w:before="0" w:beforeAutospacing="0" w:after="0" w:afterAutospacing="0" w:line="560"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丰都县栗子乡人民政府</w:t>
      </w:r>
    </w:p>
    <w:p>
      <w:pPr>
        <w:pStyle w:val="9"/>
        <w:keepNext w:val="0"/>
        <w:keepLines w:val="0"/>
        <w:pageBreakBefore w:val="0"/>
        <w:widowControl w:val="0"/>
        <w:kinsoku/>
        <w:overflowPunct/>
        <w:topLinePunct w:val="0"/>
        <w:autoSpaceDN/>
        <w:bidi w:val="0"/>
        <w:adjustRightInd/>
        <w:spacing w:before="0" w:beforeAutospacing="0" w:after="0" w:afterAutospacing="0" w:line="560"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sz w:val="27"/>
          <w:szCs w:val="27"/>
          <w:shd w:val="clear" w:color="auto" w:fill="FFFF00"/>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部门</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乡党委政府围绕贯彻落实党和政府各项方针政策</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其主要职责是</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制定和组织实施经济、科技和社会发展计划</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制定资源开发技术改造和产业结构调整方案</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组织指导好各业生产</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搞好商品流通</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协调好本乡与外地区的经济交流与合作</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抓好招商引资、项目开发</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不断培育市场体系</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组织经济运行</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促进经济发展</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制定并组织实施村镇建设规划</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部署重点工程建设</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地方道路建设及公共设施</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水利设施的管理</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负责土地、林木、水等自然资源和生态环境的保护</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做好护林防火工作</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负责本行政区域内的民政、计划生育、文化教育、卫生、体育等社会公益事业的综合性工作</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维护一切经济</w:t>
      </w:r>
      <w:r>
        <w:rPr>
          <w:rFonts w:hint="eastAsia" w:ascii="Times New Roman" w:hAnsi="Times New Roman" w:eastAsia="方正仿宋_GBK" w:cs="Times New Roman"/>
          <w:kern w:val="0"/>
          <w:sz w:val="32"/>
          <w:szCs w:val="32"/>
          <w:lang w:eastAsia="zh-CN"/>
        </w:rPr>
        <w:t>部门</w:t>
      </w:r>
      <w:r>
        <w:rPr>
          <w:rFonts w:hint="default" w:ascii="Times New Roman" w:hAnsi="Times New Roman" w:eastAsia="方正仿宋_GBK" w:cs="Times New Roman"/>
          <w:kern w:val="0"/>
          <w:sz w:val="32"/>
          <w:szCs w:val="32"/>
        </w:rPr>
        <w:t>和个人的正当经济权益</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取缔非法经济活动</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调解和处理民事纠纷</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打击刑事犯罪维护社会稳定</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按计划组织本级财政收入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完成国家财政计划</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不断培植税源</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管好财政资金</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增强财政实力</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抓好精神文明建设</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丰富群众文化生活</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提倡移风易俗</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反对封建迷信</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破除陈规陋习</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树立社会主义新风尚</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进一步强化城镇管理和社区服务工作。</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rPr>
        <w:t>（二）</w:t>
      </w:r>
      <w:r>
        <w:rPr>
          <w:rStyle w:val="13"/>
          <w:rFonts w:hint="eastAsia" w:ascii="方正楷体_GBK" w:hAnsi="方正楷体_GBK" w:eastAsia="方正楷体_GBK" w:cs="方正楷体_GBK"/>
          <w:b w:val="0"/>
          <w:bCs/>
          <w:sz w:val="32"/>
          <w:szCs w:val="32"/>
          <w:shd w:val="clear" w:color="auto" w:fill="FFFFFF"/>
        </w:rPr>
        <w:t>机构设置</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丰都县栗子乡人民政府内设综合办事机构10个</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党政办公室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党群工作办公室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经济发展办公室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民政和社会事务办公室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平安建设办公室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规划建设管理环保办公室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财政办公室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应急管理办公室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zh-CN"/>
          <w:woUserID w:val="1"/>
        </w:rPr>
        <w:t>乡</w:t>
      </w:r>
      <w:r>
        <w:rPr>
          <w:rFonts w:hint="default" w:ascii="Times New Roman" w:hAnsi="Times New Roman" w:eastAsia="方正仿宋_GBK" w:cs="Times New Roman"/>
          <w:kern w:val="0"/>
          <w:sz w:val="32"/>
          <w:szCs w:val="32"/>
        </w:rPr>
        <w:t>人大</w:t>
      </w:r>
      <w:r>
        <w:rPr>
          <w:rFonts w:hint="default" w:ascii="Times New Roman" w:hAnsi="Times New Roman" w:eastAsia="方正仿宋_GBK" w:cs="Times New Roman"/>
          <w:kern w:val="0"/>
          <w:sz w:val="32"/>
          <w:szCs w:val="32"/>
          <w:woUserID w:val="1"/>
        </w:rPr>
        <w:t>代表</w:t>
      </w:r>
      <w:r>
        <w:rPr>
          <w:rFonts w:hint="default" w:ascii="Times New Roman" w:hAnsi="Times New Roman" w:eastAsia="方正仿宋_GBK" w:cs="Times New Roman"/>
          <w:kern w:val="0"/>
          <w:sz w:val="32"/>
          <w:szCs w:val="32"/>
        </w:rPr>
        <w:t>办公室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综合行政执法办公室。丰都县栗子乡人民政府下属事业机构5个</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产业发展服务中心</w:t>
      </w: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新时代文明实践服务中心</w:t>
      </w: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便民服务中心</w:t>
      </w: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村镇建设服务中心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综合行政执法大队</w:t>
      </w:r>
      <w:r>
        <w:rPr>
          <w:rFonts w:hint="default" w:ascii="Times New Roman" w:hAnsi="Times New Roman" w:eastAsia="方正仿宋_GBK" w:cs="Times New Roman"/>
          <w:kern w:val="0"/>
          <w:sz w:val="32"/>
          <w:szCs w:val="32"/>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丰都县栗子乡人民政府核定编制数46名</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其中行政编制22名</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事业编制24名。</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部门</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pPr>
        <w:pStyle w:val="9"/>
        <w:keepNext w:val="0"/>
        <w:keepLines w:val="0"/>
        <w:pageBreakBefore w:val="0"/>
        <w:widowControl w:val="0"/>
        <w:shd w:val="clear" w:color="auto" w:fill="FFFFFF"/>
        <w:kinsoku/>
        <w:overflowPunct/>
        <w:topLinePunct w:val="0"/>
        <w:autoSpaceDN/>
        <w:bidi w:val="0"/>
        <w:adjustRightInd/>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2491.92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收、支与2023年度相比，减少1373.04万元，下降35.5%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财政资金收紧，导致本年收支减少。</w:t>
      </w:r>
    </w:p>
    <w:p>
      <w:pPr>
        <w:pStyle w:val="9"/>
        <w:keepNext w:val="0"/>
        <w:keepLines w:val="0"/>
        <w:pageBreakBefore w:val="0"/>
        <w:widowControl w:val="0"/>
        <w:shd w:val="clear" w:color="auto" w:fill="FFFFFF"/>
        <w:kinsoku/>
        <w:overflowPunct/>
        <w:topLinePunct w:val="0"/>
        <w:autoSpaceDN/>
        <w:bidi w:val="0"/>
        <w:adjustRightInd/>
        <w:spacing w:before="0" w:beforeAutospacing="0" w:after="0" w:afterAutospacing="0" w:line="560" w:lineRule="exact"/>
        <w:ind w:firstLine="641"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color w:val="auto"/>
          <w:sz w:val="32"/>
          <w:szCs w:val="32"/>
          <w:shd w:val="clear" w:color="auto" w:fill="FFFFFF"/>
          <w:lang w:val="en-US" w:eastAsia="zh-CN"/>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2429.04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与2023年度相比，减少917.50万元，下降27.4%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财政资金收紧，导致本年收入减少。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2429.04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62.88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1"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2484.99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与2023年度相比，减少1377.15万元，下降35.7%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本年度工程项目等支出减少。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1317.30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1167.69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1" w:firstLineChars="200"/>
        <w:jc w:val="both"/>
        <w:rPr>
          <w:rFonts w:hint="eastAsia" w:ascii="方正仿宋_GBK" w:hAnsi="方正仿宋_GBK" w:eastAsia="方正仿宋_GBK" w:cs="方正仿宋_GBK"/>
          <w:sz w:val="32"/>
          <w:szCs w:val="32"/>
          <w:lang w:val="en-US"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6.93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与2023年度相比，增加4.10万元，增长144.9%</w:t>
      </w:r>
      <w:r>
        <w:rPr>
          <w:rFonts w:ascii="方正仿宋_GBK" w:hAnsi="方正仿宋_GBK" w:eastAsia="方正仿宋_GBK" w:cs="方正仿宋_GBK"/>
          <w:sz w:val="32"/>
          <w:szCs w:val="32"/>
          <w:shd w:val="clear" w:color="auto" w:fill="FFFFFF"/>
        </w:rPr>
        <w:t>，主要原因是项目经费尾款未支付有结余</w:t>
      </w:r>
      <w:r>
        <w:rPr>
          <w:rFonts w:hint="eastAsia" w:ascii="方正仿宋_GBK" w:hAnsi="方正仿宋_GBK" w:eastAsia="方正仿宋_GBK" w:cs="方正仿宋_GBK"/>
          <w:sz w:val="32"/>
          <w:szCs w:val="32"/>
          <w:shd w:val="clear" w:color="auto" w:fill="FFFFFF"/>
          <w:lang w:val="en-US"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keepNext w:val="0"/>
        <w:keepLines w:val="0"/>
        <w:pageBreakBefore w:val="0"/>
        <w:widowControl w:val="0"/>
        <w:shd w:val="clear" w:color="auto" w:fill="FFFFFF"/>
        <w:kinsoku/>
        <w:overflowPunct/>
        <w:topLinePunct w:val="0"/>
        <w:autoSpaceDN/>
        <w:bidi w:val="0"/>
        <w:adjustRightInd/>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2491.92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财政拨款收、支总计各减少1373.04万元，下降35.5%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是财政资金收紧，导致本年收支减少</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1"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2332.98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与2023年度相比，减少436.67万元，下降15.8%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财政收紧，导致本年收入减少。</w:t>
      </w:r>
      <w:r>
        <w:rPr>
          <w:rFonts w:hint="default" w:ascii="Times New Roman" w:hAnsi="Times New Roman" w:eastAsia="方正仿宋_GBK"/>
          <w:sz w:val="32"/>
          <w:szCs w:val="32"/>
          <w:shd w:val="clear" w:color="auto" w:fill="FFFFFF"/>
        </w:rPr>
        <w:t>较年初预算数增加916.58万元，增长64.7%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年中新增政法转移支付资金、交通安全劝导站人员等工作经费，且本年度人员增加导致人员及公用经费等资金。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61.30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1"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2388.92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与2023年度相比，减少892.91万元，下降27.2%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本年度工程项目等支出减少。</w:t>
      </w:r>
      <w:r>
        <w:rPr>
          <w:rFonts w:hint="default" w:ascii="Times New Roman" w:hAnsi="Times New Roman" w:eastAsia="方正仿宋_GBK"/>
          <w:sz w:val="32"/>
          <w:szCs w:val="32"/>
          <w:shd w:val="clear" w:color="auto" w:fill="FFFFFF"/>
        </w:rPr>
        <w:t>较年初预算数增加972.52万元，增长68.7%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年中新增政法转移支付资金、交通安全劝导站人员等工作经费，且本年度人员增加导致人员及公用经费等资金。</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val="0"/>
        <w:numPr>
          <w:ilvl w:val="0"/>
          <w:numId w:val="0"/>
        </w:numPr>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509.99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较年初预算数减少3.84万元，下降0.8%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人员增减变动及压减非必要的开支。</w:t>
      </w:r>
    </w:p>
    <w:p>
      <w:pPr>
        <w:pStyle w:val="9"/>
        <w:keepNext w:val="0"/>
        <w:keepLines w:val="0"/>
        <w:pageBreakBefore w:val="0"/>
        <w:widowControl w:val="0"/>
        <w:numPr>
          <w:ilvl w:val="0"/>
          <w:numId w:val="0"/>
        </w:numPr>
        <w:kinsoku/>
        <w:overflowPunct/>
        <w:topLinePunct w:val="0"/>
        <w:autoSpaceDN/>
        <w:bidi w:val="0"/>
        <w:adjustRightInd/>
        <w:snapToGrid w:val="0"/>
        <w:spacing w:before="0" w:beforeAutospacing="0" w:after="0" w:afterAutospacing="0" w:line="560" w:lineRule="exact"/>
        <w:ind w:left="0" w:leftChars="0"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fill="FFFFFF"/>
          <w:lang w:val="en-US" w:eastAsia="zh-CN" w:bidi="ar-SA"/>
        </w:rPr>
        <w:t>（2）</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18.96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较年初预算数减少81.04万元，下降81.0%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政法转移支付资金100万，项目暂未实施完毕。</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83.37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较年初预算数增加44.24万元，增长113.1%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专项工作经费增加，如“建龙村文化服务中心配套设施项目”、“免费开放资金”、“栗子社区综合文化服务中心工程”。</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502.10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较年初预算数增加215.98万元，增长75.5%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专项工作经费增加，如“栗子乡栗子社区养老服务站建设补助资金”、“栗子社区公共服务中心办公条件改造项目”、“栗子乡社区居家养老服务中心建设补助资金”、“涉农公益性岗位资金”等支出。</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51.41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较年初预算数增加1.76万元，增长3.5%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年中人员增减变动，导致医疗保障等支出增加。</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用于节水型部门创建。</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62.62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较年初预算数增加18.62万元，增长42.3%</w:t>
      </w:r>
      <w:r>
        <w:rPr>
          <w:rFonts w:ascii="方正仿宋_GBK" w:hAnsi="方正仿宋_GBK" w:eastAsia="方正仿宋_GBK" w:cs="方正仿宋_GBK"/>
          <w:sz w:val="32"/>
          <w:szCs w:val="32"/>
          <w:shd w:val="clear" w:color="auto" w:fill="FFFFFF"/>
        </w:rPr>
        <w:t>，主要原因是中途增加人员及补发职工以前年度绩效增加支出。</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1046.91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较年初预算数增加747.83万元，增长250.0%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栗子乡人行便道项目”、“林业有害生物防治”、“栗子乡森林生态效益补偿”、“乡村治理示范创建项目”“栗子乡南江村人居环境整治”、“栗子乡南江村边坡整治项目”、“栗子乡有机农业应用示范基地配套建设项目”、“脱贫人口到户产业奖补资金”、“栗子乡蕉芋加工厂污水处理设施项目”、“栗子乡2024年新农人培育提升工程”等。</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23.80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较年初预算数增加11.60万元，增长95.1%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专项工作经费增加，如“栗子乡乡村公路增设错车道工程”、“栗子乡公路养护资金”。</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17.00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专项工作经费增加，如“林业有害生物防治项目”。</w:t>
      </w:r>
    </w:p>
    <w:p>
      <w:pPr>
        <w:keepNext w:val="0"/>
        <w:keepLines w:val="0"/>
        <w:pageBreakBefore w:val="0"/>
        <w:widowControl w:val="0"/>
        <w:kinsoku/>
        <w:overflowPunct/>
        <w:topLinePunct w:val="0"/>
        <w:autoSpaceDN/>
        <w:bidi w:val="0"/>
        <w:adjustRightInd/>
        <w:spacing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50.07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较年初预算数增加1.99万元，增长4.1%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年中人员增减变动，住房公积金支出增加。</w:t>
      </w:r>
    </w:p>
    <w:p>
      <w:pPr>
        <w:keepNext w:val="0"/>
        <w:keepLines w:val="0"/>
        <w:pageBreakBefore w:val="0"/>
        <w:widowControl w:val="0"/>
        <w:kinsoku/>
        <w:overflowPunct/>
        <w:topLinePunct w:val="0"/>
        <w:autoSpaceDN/>
        <w:bidi w:val="0"/>
        <w:adjustRightInd/>
        <w:spacing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21.71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较年初预算数增加11.71万元，增长117.1%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专项工作经费增加，如“中央自然灾害救灾资金”、“市级自然灾害救灾补助资金”、“森林防灭火物资采购项目”等支出。</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1"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5.35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与2023年度相比，增加4.10万元，增长328.0%</w:t>
      </w:r>
      <w:r>
        <w:rPr>
          <w:rFonts w:ascii="方正仿宋_GBK" w:hAnsi="方正仿宋_GBK" w:eastAsia="方正仿宋_GBK" w:cs="方正仿宋_GBK"/>
          <w:sz w:val="32"/>
          <w:szCs w:val="32"/>
          <w:shd w:val="clear" w:color="auto" w:fill="FFFFFF"/>
        </w:rPr>
        <w:t>，主要原因是项目经费尾款未支付有结余</w:t>
      </w:r>
      <w:r>
        <w:rPr>
          <w:rFonts w:hint="eastAsia" w:ascii="方正仿宋_GBK" w:hAnsi="方正仿宋_GBK" w:eastAsia="方正仿宋_GBK" w:cs="方正仿宋_GBK"/>
          <w:sz w:val="32"/>
          <w:szCs w:val="32"/>
          <w:shd w:val="clear" w:color="auto" w:fill="FFFFFF"/>
          <w:lang w:val="en-US"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1317.30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1137.61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与2023年度相比，增加46.99万元，增长4.3%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本年人员增减变化。</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基本工资、津贴补贴、社会保障缴费、其他工资福利待遇、对个人和家庭的补助等费用</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179.69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与2023年度相比，减少96.56万元，下降35.0%</w:t>
      </w:r>
      <w:r>
        <w:rPr>
          <w:rFonts w:ascii="方正仿宋_GBK" w:hAnsi="方正仿宋_GBK" w:eastAsia="方正仿宋_GBK" w:cs="方正仿宋_GBK"/>
          <w:sz w:val="32"/>
          <w:szCs w:val="32"/>
          <w:shd w:val="clear" w:color="auto" w:fill="FFFFFF"/>
        </w:rPr>
        <w:t>，主要原因是</w:t>
      </w:r>
      <w:bookmarkStart w:id="0" w:name="_Hlk145462689"/>
      <w:r>
        <w:rPr>
          <w:rFonts w:hint="eastAsia" w:ascii="方正仿宋_GBK" w:hAnsi="方正仿宋_GBK" w:eastAsia="方正仿宋_GBK" w:cs="方正仿宋_GBK"/>
          <w:sz w:val="32"/>
          <w:szCs w:val="32"/>
          <w:shd w:val="clear" w:color="auto" w:fill="FFFFFF"/>
        </w:rPr>
        <w:t>认真贯彻落实中央八项规定精神和厉行节约要求，按照只减不增的要求从严控制“三公”经费</w:t>
      </w:r>
      <w:bookmarkEnd w:id="0"/>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办公费、邮电费、差旅费、会议费、培训费、公务接待费、公务车辆运行维护费、其他商品和服务支出等费用。</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1.58</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1.58</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96.06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与2023年度相比，减少480.83万元，下降83.4%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财政收紧，导致本年政府性基金预算收入减少。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96.06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与2023年度相比，减少484.25万元，下降83.5%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财政收紧，导致本年政府性基金预算收入减少。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本部门</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（一）“三公”经费支出总体情况说明</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16.30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较年初预算数增加0.30万元，增长1.9%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年初未预算该科目，但本年实际存在开展招商引资等工作。</w:t>
      </w:r>
      <w:r>
        <w:rPr>
          <w:rFonts w:hint="default" w:ascii="Times New Roman" w:hAnsi="Times New Roman" w:eastAsia="方正仿宋_GBK"/>
          <w:sz w:val="32"/>
          <w:szCs w:val="32"/>
          <w:shd w:val="clear" w:color="auto" w:fill="FFFFFF"/>
        </w:rPr>
        <w:t>较上年支出数减少11.35万元，下降41.1%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认真贯彻落实中央八项规定精神和厉行节约要求，按照只减不增的要求从严控制“三公”经费。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rPr>
        <w:t>（二）“三公”经费分项支出情况</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2024年度本部门因公出国（境）费用</w:t>
      </w:r>
      <w:r>
        <w:rPr>
          <w:rFonts w:hint="eastAsia" w:ascii="Times New Roman" w:hAnsi="Times New Roman" w:eastAsia="方正仿宋_GBK"/>
          <w:sz w:val="32"/>
          <w:szCs w:val="32"/>
          <w:shd w:val="clear" w:color="auto" w:fill="FFFFFF"/>
          <w:lang w:val="en-US" w:eastAsia="zh-CN"/>
        </w:rPr>
        <w:t>0.00</w:t>
      </w:r>
      <w:r>
        <w:rPr>
          <w:rFonts w:hint="eastAsia" w:ascii="方正仿宋_GBK" w:hAnsi="方正仿宋_GBK" w:eastAsia="方正仿宋_GBK" w:cs="方正仿宋_GBK"/>
          <w:sz w:val="32"/>
          <w:szCs w:val="32"/>
          <w:shd w:val="clear" w:color="auto" w:fill="FFFFFF"/>
          <w:lang w:val="en-US" w:eastAsia="zh-CN"/>
        </w:rPr>
        <w:t>万元，费用支出较年初预算数无增减，较上年支出数无增减。</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公务用车购置费</w:t>
      </w:r>
      <w:r>
        <w:rPr>
          <w:rFonts w:hint="eastAsia" w:ascii="Times New Roman" w:hAnsi="Times New Roman" w:eastAsia="方正仿宋_GBK"/>
          <w:sz w:val="32"/>
          <w:szCs w:val="32"/>
          <w:shd w:val="clear" w:color="auto" w:fill="FFFFFF"/>
          <w:lang w:val="en-US" w:eastAsia="zh-CN"/>
        </w:rPr>
        <w:t>0.00</w:t>
      </w:r>
      <w:r>
        <w:rPr>
          <w:rFonts w:hint="eastAsia" w:ascii="方正仿宋_GBK" w:hAnsi="方正仿宋_GBK" w:eastAsia="方正仿宋_GBK" w:cs="方正仿宋_GBK"/>
          <w:sz w:val="32"/>
          <w:szCs w:val="32"/>
          <w:shd w:val="clear" w:color="auto" w:fill="FFFFFF"/>
          <w:lang w:val="en-US" w:eastAsia="zh-CN"/>
        </w:rPr>
        <w:t>万元，费用支出较年初预算数无增减，较上年支出数无增减。</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12.39</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rPr>
        <w:t>用于因公出行、项目检查等工作所需车辆的燃料费、维修费、过桥过路费、保险费等</w:t>
      </w:r>
      <w:r>
        <w:rPr>
          <w:rFonts w:hint="eastAsia" w:ascii="方正仿宋_GBK" w:hAnsi="方正仿宋_GBK" w:eastAsia="方正仿宋_GBK" w:cs="方正仿宋_GBK"/>
          <w:sz w:val="32"/>
          <w:szCs w:val="32"/>
          <w:shd w:val="clear" w:color="auto" w:fill="FFFFFF"/>
          <w:lang w:val="en-US" w:eastAsia="zh-CN"/>
        </w:rPr>
        <w:t>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较年初预算数减少3.61万元，下降22.6%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认真贯彻落实中央八项规定精神和厉行节约要求，按照只减不增的要求从严控制</w:t>
      </w:r>
      <w:r>
        <w:rPr>
          <w:rFonts w:hint="eastAsia" w:ascii="方正仿宋_GBK" w:hAnsi="方正仿宋_GBK" w:eastAsia="方正仿宋_GBK" w:cs="方正仿宋_GBK"/>
          <w:sz w:val="32"/>
          <w:szCs w:val="32"/>
          <w:shd w:val="clear" w:color="auto" w:fill="FFFFFF"/>
          <w:lang w:val="en-US" w:eastAsia="zh-CN"/>
        </w:rPr>
        <w:t>公务用车运行维护费</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较上年支出数减少10.99万元，下降47.0%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认真贯彻落实中央八项规定精神和厉行节约要求，按照只减不增的要求从严控制</w:t>
      </w:r>
      <w:r>
        <w:rPr>
          <w:rFonts w:hint="eastAsia" w:ascii="方正仿宋_GBK" w:hAnsi="方正仿宋_GBK" w:eastAsia="方正仿宋_GBK" w:cs="方正仿宋_GBK"/>
          <w:sz w:val="32"/>
          <w:szCs w:val="32"/>
          <w:shd w:val="clear" w:color="auto" w:fill="FFFFFF"/>
          <w:lang w:val="en-US" w:eastAsia="zh-CN"/>
        </w:rPr>
        <w:t>公务用车运行维护费</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3.91</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招商引资工作、接受相关部门检查项目，指导工作。</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较年初预算数增加3.91万元，增长100.0%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年初未预算该科目，但本年实际存在开展招商引资等工作。</w:t>
      </w:r>
      <w:r>
        <w:rPr>
          <w:rFonts w:hint="default" w:ascii="Times New Roman" w:hAnsi="Times New Roman" w:eastAsia="方正仿宋_GBK"/>
          <w:sz w:val="32"/>
          <w:szCs w:val="32"/>
          <w:shd w:val="clear" w:color="auto" w:fill="FFFFFF"/>
        </w:rPr>
        <w:t>较上年支出数减少0.36万元，下降8.4%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严格接待审批管理，接待批次减少。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180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540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72.35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4.13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上一年度未通过会议费经济科目核算，本年度的会议费主要用于开展</w:t>
      </w:r>
      <w:r>
        <w:rPr>
          <w:rFonts w:hint="default" w:ascii="方正仿宋_GBK" w:hAnsi="方正仿宋_GBK" w:eastAsia="方正仿宋_GBK" w:cs="方正仿宋_GBK"/>
          <w:sz w:val="32"/>
          <w:szCs w:val="32"/>
          <w:shd w:val="clear" w:color="auto" w:fill="FFFFFF"/>
          <w:lang w:eastAsia="zh-CN"/>
          <w:woUserID w:val="1"/>
        </w:rPr>
        <w:t>乡</w:t>
      </w:r>
      <w:r>
        <w:rPr>
          <w:rFonts w:hint="eastAsia" w:ascii="方正仿宋_GBK" w:hAnsi="方正仿宋_GBK" w:eastAsia="方正仿宋_GBK" w:cs="方正仿宋_GBK"/>
          <w:sz w:val="32"/>
          <w:szCs w:val="32"/>
          <w:shd w:val="clear" w:color="auto" w:fill="FFFFFF"/>
          <w:lang w:val="en-US" w:eastAsia="zh-CN"/>
        </w:rPr>
        <w:t>人</w:t>
      </w:r>
      <w:r>
        <w:rPr>
          <w:rFonts w:hint="default" w:ascii="方正仿宋_GBK" w:hAnsi="方正仿宋_GBK" w:eastAsia="方正仿宋_GBK" w:cs="方正仿宋_GBK"/>
          <w:sz w:val="32"/>
          <w:szCs w:val="32"/>
          <w:shd w:val="clear" w:color="auto" w:fill="FFFFFF"/>
          <w:lang w:eastAsia="zh-CN"/>
          <w:woUserID w:val="1"/>
        </w:rPr>
        <w:t>民代表大</w:t>
      </w:r>
      <w:r>
        <w:rPr>
          <w:rFonts w:hint="eastAsia" w:ascii="方正仿宋_GBK" w:hAnsi="方正仿宋_GBK" w:eastAsia="方正仿宋_GBK" w:cs="方正仿宋_GBK"/>
          <w:sz w:val="32"/>
          <w:szCs w:val="32"/>
          <w:shd w:val="clear" w:color="auto" w:fill="FFFFFF"/>
          <w:lang w:val="en-US" w:eastAsia="zh-CN"/>
        </w:rPr>
        <w:t>会的会议支出。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上一年度未通过培训费经济科目核算，本年度的培训费主要用于选调生培训、专技人员继续教育培训、农业农村部乡村振兴培训等产生的交通、住宿费等。</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10.55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与2023年度相比，减少15.10万元，下降58.9%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落实基层减负政策，有关会议、培训减少，出差次数减少。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pPr>
        <w:pStyle w:val="9"/>
        <w:keepNext w:val="0"/>
        <w:keepLines w:val="0"/>
        <w:pageBreakBefore w:val="0"/>
        <w:widowControl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60.22</w:t>
      </w:r>
      <w:r>
        <w:rPr>
          <w:rFonts w:ascii="方正仿宋_GBK" w:hAnsi="方正仿宋_GBK" w:eastAsia="方正仿宋_GBK" w:cs="方正仿宋_GBK"/>
          <w:sz w:val="32"/>
          <w:szCs w:val="32"/>
          <w:shd w:val="clear" w:color="auto" w:fill="FFFFFF"/>
        </w:rPr>
        <w:t>万元，机关运行经费主要用于开支</w:t>
      </w:r>
      <w:r>
        <w:rPr>
          <w:rFonts w:hint="eastAsia" w:ascii="宋体" w:hAnsi="宋体" w:eastAsia="宋体" w:cs="宋体"/>
          <w:i w:val="0"/>
          <w:iCs w:val="0"/>
          <w:caps w:val="0"/>
          <w:color w:val="333333"/>
          <w:spacing w:val="0"/>
          <w:sz w:val="28"/>
          <w:szCs w:val="28"/>
          <w:shd w:val="clear" w:fill="FFFFFF"/>
        </w:rPr>
        <w:t>用</w:t>
      </w:r>
      <w:r>
        <w:rPr>
          <w:rFonts w:hint="eastAsia" w:ascii="方正仿宋_GBK" w:hAnsi="方正仿宋_GBK" w:eastAsia="方正仿宋_GBK" w:cs="方正仿宋_GBK"/>
          <w:sz w:val="32"/>
          <w:szCs w:val="32"/>
          <w:shd w:val="clear" w:color="auto" w:fill="FFFFFF"/>
        </w:rPr>
        <w:t>办公费、印刷费、手续费、日常维护费、水电费、物管费、邮电费、差旅费、租赁费、公务用车运行维护等。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较上年支出数减少154.00万元，下降71.9%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未发生政府采购事项，无相关经费支出</w:t>
      </w:r>
      <w:r>
        <w:rPr>
          <w:rFonts w:hint="eastAsia" w:ascii="方正仿宋_GBK" w:hAnsi="方正仿宋_GBK" w:eastAsia="方正仿宋_GBK" w:cs="方正仿宋_GBK"/>
          <w:sz w:val="32"/>
          <w:szCs w:val="32"/>
          <w:shd w:val="clear" w:color="auto" w:fill="FFFFFF"/>
          <w:lang w:eastAsia="zh-CN"/>
        </w:rPr>
        <w:t>。</w:t>
      </w:r>
      <w:r>
        <w:rPr>
          <w:rStyle w:val="13"/>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w:t>
      </w:r>
      <w:r>
        <w:rPr>
          <w:rStyle w:val="13"/>
          <w:rFonts w:hint="eastAsia" w:ascii="方正楷体_GBK" w:hAnsi="方正楷体_GBK" w:eastAsia="方正楷体_GBK" w:cs="方正楷体_GBK"/>
          <w:b w:val="0"/>
          <w:bCs/>
          <w:sz w:val="32"/>
          <w:szCs w:val="32"/>
          <w:shd w:val="clear" w:color="auto" w:fill="FFFFFF"/>
          <w:lang w:eastAsia="zh-CN"/>
        </w:rPr>
        <w:t>部门</w:t>
      </w:r>
      <w:r>
        <w:rPr>
          <w:rStyle w:val="13"/>
          <w:rFonts w:hint="eastAsia" w:ascii="方正楷体_GBK" w:hAnsi="方正楷体_GBK" w:eastAsia="方正楷体_GBK" w:cs="方正楷体_GBK"/>
          <w:b w:val="0"/>
          <w:bCs/>
          <w:sz w:val="32"/>
          <w:szCs w:val="32"/>
          <w:shd w:val="clear" w:color="auto" w:fill="FFFFFF"/>
        </w:rPr>
        <w:t>自评情况</w:t>
      </w:r>
    </w:p>
    <w:p>
      <w:pPr>
        <w:pStyle w:val="15"/>
        <w:keepNext w:val="0"/>
        <w:keepLines w:val="0"/>
        <w:pageBreakBefore w:val="0"/>
        <w:widowControl w:val="0"/>
        <w:kinsoku/>
        <w:overflowPunct/>
        <w:topLinePunct w:val="0"/>
        <w:autoSpaceDN/>
        <w:bidi w:val="0"/>
        <w:adjustRightInd/>
        <w:spacing w:before="0" w:beforeAutospacing="0" w:after="0" w:afterAutospacing="0" w:line="560" w:lineRule="exact"/>
        <w:ind w:firstLine="640" w:firstLineChars="200"/>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w:t>
      </w:r>
      <w:r>
        <w:rPr>
          <w:rFonts w:hint="eastAsia" w:ascii="方正仿宋_GBK" w:hAnsi="方正仿宋_GBK" w:eastAsia="方正仿宋_GBK" w:cs="方正仿宋_GBK"/>
          <w:sz w:val="32"/>
          <w:szCs w:val="32"/>
          <w:shd w:val="clear" w:color="auto" w:fill="FFFFFF"/>
        </w:rPr>
        <w:t>我部门对部门整体</w:t>
      </w:r>
      <w:r>
        <w:rPr>
          <w:rFonts w:hint="eastAsia" w:ascii="方正仿宋_GBK" w:hAnsi="方正仿宋_GBK" w:eastAsia="方正仿宋_GBK" w:cs="方正仿宋_GBK"/>
          <w:kern w:val="0"/>
          <w:sz w:val="32"/>
          <w:szCs w:val="32"/>
          <w:shd w:val="clear" w:fill="FFFFFF"/>
          <w:lang w:val="en-US" w:eastAsia="zh-CN"/>
        </w:rPr>
        <w:t>和86</w:t>
      </w:r>
      <w:r>
        <w:rPr>
          <w:rFonts w:hint="eastAsia" w:ascii="方正仿宋_GBK" w:hAnsi="方正仿宋_GBK" w:eastAsia="方正仿宋_GBK" w:cs="方正仿宋_GBK"/>
          <w:kern w:val="0"/>
          <w:sz w:val="32"/>
          <w:szCs w:val="32"/>
          <w:shd w:val="clear" w:fill="FFFFFF"/>
        </w:rPr>
        <w:t>个项目开展了绩效自评，涉及财政拨款项目支出资金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1479.21</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tbl>
      <w:tblPr>
        <w:tblStyle w:val="10"/>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1"/>
        <w:gridCol w:w="1514"/>
        <w:gridCol w:w="487"/>
        <w:gridCol w:w="691"/>
        <w:gridCol w:w="555"/>
        <w:gridCol w:w="655"/>
        <w:gridCol w:w="657"/>
        <w:gridCol w:w="655"/>
        <w:gridCol w:w="487"/>
        <w:gridCol w:w="623"/>
        <w:gridCol w:w="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jc w:val="center"/>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丰都县栗子乡人民政府整体监控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50023000024P000084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96.97</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b/>
                <w:bCs/>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927-丰都县栗子乡人民政府</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罗斌辉</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19123984050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jc w:val="center"/>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3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48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6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16,401,026.04</w:t>
            </w:r>
          </w:p>
        </w:tc>
        <w:tc>
          <w:tcPr>
            <w:tcW w:w="5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6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40,381,217.97</w:t>
            </w:r>
          </w:p>
        </w:tc>
        <w:tc>
          <w:tcPr>
            <w:tcW w:w="65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28,153,292.22</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48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6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16,401,026.04</w:t>
            </w:r>
          </w:p>
        </w:tc>
        <w:tc>
          <w:tcPr>
            <w:tcW w:w="5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6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40,381,217.97</w:t>
            </w:r>
          </w:p>
        </w:tc>
        <w:tc>
          <w:tcPr>
            <w:tcW w:w="65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28,153,292.22</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69.72</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48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6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16,399,714.04</w:t>
            </w:r>
          </w:p>
        </w:tc>
        <w:tc>
          <w:tcPr>
            <w:tcW w:w="5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6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39,304,890.97</w:t>
            </w:r>
          </w:p>
        </w:tc>
        <w:tc>
          <w:tcPr>
            <w:tcW w:w="65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27,192,665.22</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69.18</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jc w:val="center"/>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43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0" w:hRule="atLeast"/>
          <w:jc w:val="center"/>
        </w:trPr>
        <w:tc>
          <w:tcPr>
            <w:tcW w:w="43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行好纪检、宣传、统战、法制、武装、编制、人事、民宗侨台、综合协调、文秘、基层党建、群团等职责;做好经济发展规划、农村经营管理、经济社会统计、扶贫开发、乡村振兴、民政、教育、文化、体育、社会救助、残疾人事业、劳动就业、社会保障、卫生、计生、老龄事业发展、统筹负责信访、社会治安综合治理、防范和处理邪教、村镇规划、村镇建设、市政公用、市容环卫、环境保护、河长制、财政收支、预决算、总会计、惠农资金兑付、财政资金监督检查、绩效评价、村级财务管理、安全生产综合监管、应急管理、消防管理、人大主席团、行使依法授权或委托的行政执法权等工作。</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行好纪检、宣传、统战、法制、武装、编制、人事、民宗侨台、综合协调、文秘、基层党建、群团等职责;做好经济发展规划、农村经营管理、经济社会统计、扶贫开发、乡村振兴、民政、教育、文化、体育、社会救助、残疾人事业、劳动就业、社会保障、卫生、计生、老龄事业发展、统筹负责信访、社会治安综合治理、防范和处理邪教、村镇规划、村镇建设、市政公用、市容环卫、环境保护、河长制、财政收支、预决算、总会计、惠农资金兑付、财政资金监督检查、绩效评价、村级财务管理、安全生产综合监管、应急管理、消防管理、人大主席团、行使依法授权或委托的行政执法权等工作。</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纪检、宣传、统战、法制、武装、编制、人事、民宗侨台、综合协调、文秘、基层党建、群团等职能职责;做好经济发展规划、农村经营管理、经济社会统计、扶贫开发、乡村振兴、民政、教育、文化、体育、社会救助、残疾人事业、劳动就业、社会保障、卫生、计生、老龄事业发展、统筹负责信访、社会治安综合治理、防范和处理邪教、村镇规划、村镇建设、市政公用、市容环卫、环境保护、河长制、财政收支、预决算、总会计、惠农资金兑付、财政资金监督检查、绩效评价、村级财务管理、安全生产综合监管、应急管理、消防管理、人大主席团、行使依法授权或委托的行政执法权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jc w:val="center"/>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安全生产综合监管、应急管理、消防管理、信访稳定、社会治安综合治理、村镇规划、村镇建设、市政公用、市容环卫、环境保护、河长制、财政工作等完成率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居民安全感指数</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民政、教育、文化、体育、社会救助、残疾人事业、劳动就业、社会保障，统筹负责卫生、计生、老龄事业发展等工作群众满意度</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人口、居民消费与社会服务、卫生与健康可持续发展</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基础组织建设满意度</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adjustRightInd/>
              <w:spacing w:line="560" w:lineRule="exact"/>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adjustRightInd/>
              <w:spacing w:line="560" w:lineRule="exact"/>
              <w:jc w:val="center"/>
              <w:rPr>
                <w:rFonts w:hint="eastAsia" w:ascii="宋体" w:hAnsi="宋体" w:eastAsia="宋体" w:cs="宋体"/>
                <w:i w:val="0"/>
                <w:iCs w:val="0"/>
                <w:color w:val="000000"/>
                <w:sz w:val="22"/>
                <w:szCs w:val="22"/>
                <w:u w:val="none"/>
              </w:rPr>
            </w:pPr>
          </w:p>
        </w:tc>
      </w:tr>
    </w:tbl>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rPr>
        <w:t>2024年度</w:t>
      </w:r>
      <w:r>
        <w:rPr>
          <w:rFonts w:hint="default" w:ascii="Times New Roman" w:hAnsi="Times New Roman" w:eastAsia="方正仿宋_GBK" w:cs="Times New Roman"/>
          <w:b w:val="0"/>
          <w:bCs w:val="0"/>
          <w:sz w:val="32"/>
          <w:szCs w:val="32"/>
          <w:shd w:val="clear" w:color="auto" w:fill="FFFFFF"/>
        </w:rPr>
        <w:t>项目支出绩效自评表见附件</w:t>
      </w:r>
      <w:r>
        <w:rPr>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（二）部门绩效评价情况</w:t>
      </w:r>
    </w:p>
    <w:p>
      <w:pPr>
        <w:pStyle w:val="1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我部门未开展部门绩效评价。</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（三）财政绩效评价情况</w:t>
      </w:r>
    </w:p>
    <w:p>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县财政局未委托第三方对我部门开展绩效评价。</w:t>
      </w:r>
    </w:p>
    <w:p>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六、专业名词解释</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开展专业业务活动及其辅助活动取得的现金流入；事业</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收到的财政专户实际核拨的教育收费等资金在此反映。</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Style w:val="13"/>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在专业业务活动及其辅助活动之外开展非独立核算经营活动取得的现金流入。</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从本级财政部门以外的同级</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取得的经费、从非本级财政部门取得的经费，以及行政</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收到的财政专户管理资金反映在本项内。</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上年结转本年使用的基本支出结转、项目支出结转和结余、经营结余。</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按照国家有关规定，</w:t>
      </w:r>
      <w:r>
        <w:rPr>
          <w:rFonts w:hint="default" w:ascii="方正仿宋_GBK" w:hAnsi="方正仿宋_GBK" w:eastAsia="方正仿宋_GBK" w:cs="方正仿宋_GBK"/>
          <w:kern w:val="0"/>
          <w:sz w:val="32"/>
          <w:szCs w:val="32"/>
          <w:shd w:val="clear" w:fill="FFFFFF"/>
          <w:woUserID w:val="1"/>
        </w:rPr>
        <w:t>交纳</w:t>
      </w:r>
      <w:bookmarkStart w:id="1" w:name="_GoBack"/>
      <w:bookmarkEnd w:id="1"/>
      <w:r>
        <w:rPr>
          <w:rFonts w:hint="eastAsia" w:ascii="方正仿宋_GBK" w:hAnsi="方正仿宋_GBK" w:eastAsia="方正仿宋_GBK" w:cs="方正仿宋_GBK"/>
          <w:kern w:val="0"/>
          <w:sz w:val="32"/>
          <w:szCs w:val="32"/>
          <w:shd w:val="clear" w:fill="FFFFFF"/>
        </w:rPr>
        <w:t>所得税、提取专用基金、转入非财政拨款结余等当年结余的分配情况。</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结转下年的基本支出结转、项目支出结转和结余、经营结余。</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在专业业务活动及其辅助活动之外开展非独立核算经营活动发生的支出。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公务出国（境）的国际旅费、国外城市间交通费、住宿费、伙食费、培训费、公杂费等支出；公务用车购置费反映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公务用车购置支出（含车辆购置税）；公务用车运行维护费反映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按规定保留的公务用车燃料费、维修费、过路过桥费、保险费、安全奖励费用等支出；公务接待费反映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按规定开支的各类公务接待（含外宾接待）支出。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（含参照公务员法管理的事业</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开支的在职职工和编制外长期聘用人员的各类劳动报酬，以及为上述人员缴纳的各项社会保险费等。</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购买商品和服务的支出（不包括用于购置固定资产的支出、战略性和应急储备支出）。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决算公开信息反馈和联系方式：</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lang w:val="en-US" w:eastAsia="zh-CN"/>
        </w:rPr>
        <w:t>罗梦杰</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70671001</w:t>
      </w:r>
    </w:p>
    <w:p>
      <w:pPr>
        <w:pStyle w:val="14"/>
        <w:keepNext w:val="0"/>
        <w:keepLines w:val="0"/>
        <w:pageBreakBefore w:val="0"/>
        <w:widowControl w:val="0"/>
        <w:kinsoku/>
        <w:overflowPunct/>
        <w:topLinePunct w:val="0"/>
        <w:autoSpaceDE w:val="0"/>
        <w:autoSpaceDN/>
        <w:bidi w:val="0"/>
        <w:adjustRightInd/>
        <w:spacing w:line="560"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Spec="center" w:tblpY="22"/>
        <w:tblOverlap w:val="never"/>
        <w:tblW w:w="14737" w:type="dxa"/>
        <w:jc w:val="center"/>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jc w:val="center"/>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jc w:val="center"/>
        </w:trPr>
        <w:tc>
          <w:tcPr>
            <w:tcW w:w="42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jc w:val="center"/>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丰都县栗子乡人民政府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243" w:hRule="atLeast"/>
          <w:jc w:val="center"/>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2,332.98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七、附属</w:t>
            </w:r>
            <w:r>
              <w:rPr>
                <w:rFonts w:hint="eastAsia" w:cs="宋体"/>
                <w:b/>
                <w:bCs/>
                <w:color w:val="000000"/>
                <w:sz w:val="20"/>
                <w:szCs w:val="20"/>
                <w:lang w:eastAsia="zh-CN"/>
              </w:rPr>
              <w:t>部门</w:t>
            </w:r>
            <w:r>
              <w:rPr>
                <w:rFonts w:cs="宋体"/>
                <w:b/>
                <w:bCs/>
                <w:color w:val="000000"/>
                <w:sz w:val="20"/>
                <w:szCs w:val="20"/>
              </w:rPr>
              <w:t>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2,429.04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2,484.99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2,491.92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2,491.92</w:t>
            </w:r>
            <w:r>
              <w:rPr>
                <w:rFonts w:ascii="Times New Roman" w:hAnsi="Times New Roman"/>
                <w:color w:val="000000"/>
                <w:sz w:val="20"/>
                <w:u w:color="auto"/>
              </w:rPr>
              <w:t xml:space="preserve"> </w:t>
            </w:r>
          </w:p>
        </w:tc>
      </w:tr>
    </w:tbl>
    <w:p>
      <w:pPr>
        <w:keepNext w:val="0"/>
        <w:keepLines w:val="0"/>
        <w:pageBreakBefore w:val="0"/>
        <w:widowControl w:val="0"/>
        <w:kinsoku/>
        <w:overflowPunct/>
        <w:topLinePunct w:val="0"/>
        <w:autoSpaceDN/>
        <w:bidi w:val="0"/>
        <w:adjustRightInd/>
        <w:spacing w:line="560" w:lineRule="exact"/>
        <w:rPr>
          <w:rFonts w:hint="default" w:cs="宋体"/>
          <w:sz w:val="21"/>
          <w:szCs w:val="21"/>
        </w:rPr>
      </w:pPr>
    </w:p>
    <w:p>
      <w:pPr>
        <w:keepNext w:val="0"/>
        <w:keepLines w:val="0"/>
        <w:pageBreakBefore w:val="0"/>
        <w:widowControl w:val="0"/>
        <w:kinsoku/>
        <w:overflowPunct/>
        <w:topLinePunct w:val="0"/>
        <w:autoSpaceDN/>
        <w:bidi w:val="0"/>
        <w:adjustRightInd/>
        <w:spacing w:line="56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tbl>
      <w:tblPr>
        <w:tblStyle w:val="10"/>
        <w:tblW w:w="15503" w:type="dxa"/>
        <w:jc w:val="center"/>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jc w:val="center"/>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jc w:val="center"/>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丰都县栗子乡人民政府</w:t>
            </w:r>
          </w:p>
        </w:tc>
        <w:tc>
          <w:tcPr>
            <w:tcW w:w="143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jc w:val="center"/>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431" w:hRule="atLeast"/>
          <w:jc w:val="center"/>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附属</w:t>
            </w:r>
            <w:r>
              <w:rPr>
                <w:rFonts w:hint="eastAsia" w:cs="宋体"/>
                <w:b/>
                <w:color w:val="000000"/>
                <w:sz w:val="20"/>
                <w:szCs w:val="20"/>
                <w:lang w:eastAsia="zh-CN"/>
              </w:rPr>
              <w:t>部门</w:t>
            </w:r>
            <w:r>
              <w:rPr>
                <w:rFonts w:cs="宋体"/>
                <w:b/>
                <w:color w:val="000000"/>
                <w:sz w:val="20"/>
                <w:szCs w:val="20"/>
              </w:rPr>
              <w:t>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jc w:val="center"/>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jc w:val="center"/>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jc w:val="center"/>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jc w:val="center"/>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jc w:val="center"/>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2,429.04</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2,429.04</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2013299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其他组织事务支出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2040299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其他公安支出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501.50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501.50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公益性岗位补贴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2120804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农业土地开发资金安排的支出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993.95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993.95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193.41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193.41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农村合作经济</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森林资源管理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2130209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森林生态效益补偿</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614.34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614.34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社会发展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168.82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168.82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公路和运输安全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森林草原防灾减灾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其他自然灾害防治支出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val="0"/>
        <w:kinsoku/>
        <w:overflowPunct/>
        <w:topLinePunct w:val="0"/>
        <w:autoSpaceDN/>
        <w:bidi w:val="0"/>
        <w:adjustRightInd/>
        <w:spacing w:line="560" w:lineRule="exact"/>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adjustRightInd/>
        <w:spacing w:line="560" w:lineRule="exact"/>
        <w:rPr>
          <w:rFonts w:hint="default" w:cs="宋体"/>
          <w:sz w:val="20"/>
          <w:szCs w:val="20"/>
        </w:rPr>
      </w:pPr>
      <w:r>
        <w:rPr>
          <w:rFonts w:cs="宋体"/>
          <w:sz w:val="20"/>
          <w:szCs w:val="20"/>
        </w:rPr>
        <w:br w:type="page"/>
      </w:r>
    </w:p>
    <w:tbl>
      <w:tblPr>
        <w:tblStyle w:val="10"/>
        <w:tblW w:w="15322" w:type="dxa"/>
        <w:jc w:val="center"/>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jc w:val="center"/>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jc w:val="center"/>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丰都县栗子乡人民政府 </w:t>
            </w:r>
          </w:p>
        </w:tc>
        <w:tc>
          <w:tcPr>
            <w:tcW w:w="17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jc w:val="center"/>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362" w:hRule="atLeast"/>
          <w:jc w:val="center"/>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对附属</w:t>
            </w:r>
            <w:r>
              <w:rPr>
                <w:rFonts w:hint="eastAsia" w:cs="宋体"/>
                <w:b/>
                <w:color w:val="000000"/>
                <w:sz w:val="20"/>
                <w:szCs w:val="20"/>
                <w:lang w:eastAsia="zh-CN"/>
              </w:rPr>
              <w:t>部门</w:t>
            </w:r>
            <w:r>
              <w:rPr>
                <w:rFonts w:cs="宋体"/>
                <w:b/>
                <w:color w:val="000000"/>
                <w:sz w:val="20"/>
                <w:szCs w:val="20"/>
              </w:rPr>
              <w:t>补助支出</w:t>
            </w:r>
          </w:p>
        </w:tc>
      </w:tr>
      <w:tr>
        <w:tblPrEx>
          <w:tblLayout w:type="fixed"/>
          <w:tblCellMar>
            <w:top w:w="0" w:type="dxa"/>
            <w:left w:w="0" w:type="dxa"/>
            <w:bottom w:w="0" w:type="dxa"/>
            <w:right w:w="0" w:type="dxa"/>
          </w:tblCellMar>
        </w:tblPrEx>
        <w:trPr>
          <w:trHeight w:val="338" w:hRule="atLeast"/>
          <w:jc w:val="center"/>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jc w:val="center"/>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jc w:val="center"/>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jc w:val="center"/>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jc w:val="center"/>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2,484.99</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1,317.30</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1,167.69</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509.99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473.47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人大会议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497.06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473.47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2013299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其他组织事务支出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2040299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其他公安支出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502.10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328.84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173.26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就业补助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公益性岗位补贴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2120804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农业土地开发资金安排的支出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1,046.91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734.59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193.41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病虫害控制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防灾救灾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农村合作经济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耕地建设与利用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森林资源管理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2130209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森林生态效益补偿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林业草原防灾减灾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社会发展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214.57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公路和运输安全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森林草原防灾减灾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其他自然灾害防治支出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val="0"/>
        <w:kinsoku/>
        <w:overflowPunct/>
        <w:topLinePunct w:val="0"/>
        <w:autoSpaceDN/>
        <w:bidi w:val="0"/>
        <w:adjustRightInd/>
        <w:spacing w:line="560" w:lineRule="exact"/>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adjustRightInd/>
        <w:spacing w:line="560" w:lineRule="exact"/>
        <w:rPr>
          <w:rFonts w:hint="default" w:cs="宋体"/>
          <w:sz w:val="21"/>
          <w:szCs w:val="21"/>
        </w:rPr>
      </w:pPr>
      <w:r>
        <w:rPr>
          <w:rFonts w:cs="宋体"/>
          <w:sz w:val="21"/>
          <w:szCs w:val="21"/>
        </w:rPr>
        <w:br w:type="page"/>
      </w:r>
    </w:p>
    <w:p>
      <w:pPr>
        <w:keepNext w:val="0"/>
        <w:keepLines w:val="0"/>
        <w:pageBreakBefore w:val="0"/>
        <w:widowControl w:val="0"/>
        <w:kinsoku/>
        <w:overflowPunct/>
        <w:topLinePunct w:val="0"/>
        <w:autoSpaceDN/>
        <w:bidi w:val="0"/>
        <w:adjustRightInd/>
        <w:spacing w:line="560" w:lineRule="exact"/>
        <w:rPr>
          <w:rFonts w:hint="default" w:cs="宋体"/>
          <w:sz w:val="21"/>
          <w:szCs w:val="21"/>
        </w:rPr>
      </w:pPr>
    </w:p>
    <w:tbl>
      <w:tblPr>
        <w:tblStyle w:val="10"/>
        <w:tblW w:w="14678" w:type="dxa"/>
        <w:jc w:val="center"/>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jc w:val="center"/>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jc w:val="center"/>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丰都县栗子乡人民政府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jc w:val="center"/>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90"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jc w:val="center"/>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jc w:val="center"/>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2,429.04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2,388.92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2,491.92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2,491.92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97.64</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val="0"/>
        <w:kinsoku/>
        <w:overflowPunct/>
        <w:topLinePunct w:val="0"/>
        <w:autoSpaceDN/>
        <w:bidi w:val="0"/>
        <w:adjustRightInd/>
        <w:spacing w:line="56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jc w:val="center"/>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jc w:val="center"/>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jc w:val="center"/>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丰都县栗子乡人民政府</w:t>
            </w:r>
          </w:p>
        </w:tc>
        <w:tc>
          <w:tcPr>
            <w:tcW w:w="32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jc w:val="center"/>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308" w:hRule="atLeast"/>
          <w:jc w:val="center"/>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jc w:val="center"/>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jc w:val="center"/>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2,388.92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1,317.30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1,071.62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509.99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497.06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2040299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其他公安支出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502.10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328.84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199.65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734.59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农村合作经济</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2130153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2130209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森林生态效益补偿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214.57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167.71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bl>
    <w:p>
      <w:pPr>
        <w:keepNext w:val="0"/>
        <w:keepLines w:val="0"/>
        <w:pageBreakBefore w:val="0"/>
        <w:widowControl w:val="0"/>
        <w:kinsoku/>
        <w:overflowPunct/>
        <w:topLinePunct w:val="0"/>
        <w:autoSpaceDN/>
        <w:bidi w:val="0"/>
        <w:adjustRightInd/>
        <w:spacing w:line="560" w:lineRule="exact"/>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adjustRightInd/>
        <w:spacing w:line="560" w:lineRule="exact"/>
        <w:ind w:firstLine="630" w:firstLineChars="300"/>
        <w:rPr>
          <w:rFonts w:hint="default" w:cs="宋体"/>
          <w:sz w:val="21"/>
          <w:szCs w:val="21"/>
        </w:rPr>
      </w:pPr>
      <w:r>
        <w:rPr>
          <w:rFonts w:cs="宋体"/>
          <w:sz w:val="21"/>
          <w:szCs w:val="21"/>
        </w:rPr>
        <w:br w:type="page"/>
      </w:r>
    </w:p>
    <w:tbl>
      <w:tblPr>
        <w:tblStyle w:val="10"/>
        <w:tblW w:w="15304" w:type="dxa"/>
        <w:jc w:val="center"/>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jc w:val="center"/>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jc w:val="center"/>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丰都县栗子乡人民政府</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jc w:val="center"/>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90" w:hRule="atLeast"/>
          <w:jc w:val="center"/>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jc w:val="center"/>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jc w:val="center"/>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758.90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155.33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185.68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机关事业</w:t>
            </w:r>
            <w:r>
              <w:rPr>
                <w:rFonts w:hint="eastAsia" w:cs="宋体"/>
                <w:color w:val="000000"/>
                <w:sz w:val="18"/>
                <w:szCs w:val="18"/>
                <w:lang w:eastAsia="zh-CN"/>
              </w:rPr>
              <w:t>部门</w:t>
            </w:r>
            <w:r>
              <w:rPr>
                <w:rFonts w:cs="宋体"/>
                <w:color w:val="000000"/>
                <w:sz w:val="18"/>
                <w:szCs w:val="18"/>
              </w:rPr>
              <w:t>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378.71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350.74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jc w:val="center"/>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1,137.61</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179.69</w:t>
            </w:r>
            <w:r>
              <w:rPr>
                <w:rFonts w:ascii="Times New Roman" w:hAnsi="Times New Roman"/>
                <w:color w:val="000000"/>
                <w:sz w:val="18"/>
                <w:u w:color="auto"/>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jc w:val="center"/>
        <w:tblInd w:w="0" w:type="dxa"/>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tblPrEx>
          <w:tblLayout w:type="fixed"/>
          <w:tblCellMar>
            <w:top w:w="0" w:type="dxa"/>
            <w:left w:w="0" w:type="dxa"/>
            <w:bottom w:w="0" w:type="dxa"/>
            <w:right w:w="0" w:type="dxa"/>
          </w:tblCellMar>
        </w:tblPrEx>
        <w:trPr>
          <w:trHeight w:val="644" w:hRule="atLeast"/>
          <w:jc w:val="center"/>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jc w:val="center"/>
        </w:trPr>
        <w:tc>
          <w:tcPr>
            <w:tcW w:w="6689"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丰都县栗子乡人民政府</w:t>
            </w: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jc w:val="center"/>
        </w:trPr>
        <w:tc>
          <w:tcPr>
            <w:tcW w:w="6689"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339" w:hRule="atLeast"/>
          <w:jc w:val="center"/>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jc w:val="center"/>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jc w:val="center"/>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jc w:val="center"/>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jc w:val="center"/>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96.06</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96.06</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96.06</w:t>
            </w:r>
            <w:r>
              <w:rPr>
                <w:rFonts w:ascii="Times New Roman" w:hAnsi="Times New Roman"/>
                <w:b/>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jc w:val="center"/>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both"/>
              <w:textAlignment w:val="center"/>
              <w:rPr>
                <w:rFonts w:hint="default" w:cs="宋体"/>
                <w:color w:val="000000"/>
                <w:sz w:val="20"/>
                <w:szCs w:val="20"/>
              </w:rPr>
            </w:pPr>
            <w:r>
              <w:rPr>
                <w:rFonts w:cs="宋体"/>
                <w:b/>
                <w:color w:val="000000"/>
                <w:sz w:val="20"/>
                <w:szCs w:val="20"/>
              </w:rPr>
              <w:t>城乡社区支出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96.06</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96.06</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96.06</w:t>
            </w:r>
            <w:r>
              <w:rPr>
                <w:rFonts w:ascii="Times New Roman" w:hAnsi="Times New Roman"/>
                <w:b/>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jc w:val="center"/>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80.86</w:t>
            </w:r>
            <w:r>
              <w:rPr>
                <w:rFonts w:ascii="Times New Roman" w:hAnsi="Times New Roman"/>
                <w:b/>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jc w:val="center"/>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both"/>
              <w:textAlignment w:val="center"/>
              <w:rPr>
                <w:rFonts w:hint="default" w:cs="宋体"/>
                <w:color w:val="000000"/>
                <w:sz w:val="20"/>
                <w:szCs w:val="20"/>
              </w:rPr>
            </w:pPr>
            <w:r>
              <w:rPr>
                <w:rFonts w:cs="宋体"/>
                <w:color w:val="000000"/>
                <w:sz w:val="20"/>
                <w:szCs w:val="20"/>
              </w:rPr>
              <w:t>2120804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both"/>
              <w:textAlignment w:val="center"/>
              <w:rPr>
                <w:rFonts w:hint="default" w:cs="宋体"/>
                <w:color w:val="000000"/>
                <w:sz w:val="20"/>
                <w:szCs w:val="20"/>
              </w:rPr>
            </w:pPr>
            <w:r>
              <w:rPr>
                <w:rFonts w:cs="宋体"/>
                <w:color w:val="000000"/>
                <w:sz w:val="20"/>
                <w:szCs w:val="20"/>
              </w:rPr>
              <w:t>农村基础设施建设支出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80.86</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jc w:val="center"/>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jc w:val="center"/>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both"/>
              <w:textAlignment w:val="center"/>
              <w:rPr>
                <w:rFonts w:hint="default" w:cs="宋体"/>
                <w:color w:val="000000"/>
                <w:sz w:val="20"/>
                <w:szCs w:val="20"/>
              </w:rPr>
            </w:pPr>
            <w:r>
              <w:rPr>
                <w:rFonts w:cs="宋体"/>
                <w:color w:val="000000"/>
                <w:sz w:val="20"/>
                <w:szCs w:val="20"/>
              </w:rPr>
              <w:t>21211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both"/>
              <w:textAlignment w:val="center"/>
              <w:rPr>
                <w:rFonts w:hint="default" w:cs="宋体"/>
                <w:color w:val="000000"/>
                <w:sz w:val="20"/>
                <w:szCs w:val="20"/>
              </w:rPr>
            </w:pPr>
            <w:r>
              <w:rPr>
                <w:rFonts w:cs="宋体"/>
                <w:color w:val="000000"/>
                <w:sz w:val="20"/>
                <w:szCs w:val="20"/>
              </w:rPr>
              <w:t>农业土地开发资金安排的支出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15.20</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val="0"/>
        <w:kinsoku/>
        <w:overflowPunct/>
        <w:topLinePunct w:val="0"/>
        <w:autoSpaceDN/>
        <w:bidi w:val="0"/>
        <w:adjustRightInd/>
        <w:spacing w:line="560" w:lineRule="exact"/>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adjustRightInd/>
        <w:spacing w:line="560" w:lineRule="exact"/>
        <w:rPr>
          <w:rFonts w:hint="default" w:cs="宋体"/>
          <w:sz w:val="21"/>
          <w:szCs w:val="21"/>
        </w:rPr>
      </w:pPr>
      <w:r>
        <w:rPr>
          <w:rFonts w:cs="宋体"/>
          <w:sz w:val="21"/>
          <w:szCs w:val="21"/>
        </w:rPr>
        <w:br w:type="page"/>
      </w:r>
    </w:p>
    <w:tbl>
      <w:tblPr>
        <w:tblStyle w:val="10"/>
        <w:tblW w:w="15322" w:type="dxa"/>
        <w:jc w:val="center"/>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jc w:val="center"/>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jc w:val="center"/>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丰都县栗子乡人民政府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jc w:val="center"/>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422" w:hRule="atLeast"/>
          <w:jc w:val="center"/>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jc w:val="center"/>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jc w:val="center"/>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jc w:val="center"/>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N/>
              <w:bidi w:val="0"/>
              <w:adjustRightInd/>
              <w:spacing w:line="560" w:lineRule="exact"/>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N/>
              <w:bidi w:val="0"/>
              <w:adjustRightInd/>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widowControl w:val="0"/>
        <w:kinsoku/>
        <w:overflowPunct/>
        <w:topLinePunct w:val="0"/>
        <w:autoSpaceDN/>
        <w:bidi w:val="0"/>
        <w:adjustRightInd/>
        <w:spacing w:line="560" w:lineRule="exact"/>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val="0"/>
        <w:kinsoku/>
        <w:overflowPunct/>
        <w:topLinePunct w:val="0"/>
        <w:autoSpaceDN/>
        <w:bidi w:val="0"/>
        <w:adjustRightInd/>
        <w:spacing w:line="560" w:lineRule="exact"/>
        <w:rPr>
          <w:rFonts w:hint="default" w:cs="宋体"/>
          <w:sz w:val="21"/>
          <w:szCs w:val="21"/>
        </w:rPr>
      </w:pPr>
      <w:r>
        <w:rPr>
          <w:rFonts w:hint="default" w:cs="宋体"/>
          <w:sz w:val="21"/>
          <w:szCs w:val="21"/>
        </w:rPr>
        <w:br w:type="page"/>
      </w:r>
    </w:p>
    <w:tbl>
      <w:tblPr>
        <w:tblStyle w:val="10"/>
        <w:tblW w:w="14130" w:type="dxa"/>
        <w:jc w:val="center"/>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jc w:val="center"/>
        </w:trPr>
        <w:tc>
          <w:tcPr>
            <w:tcW w:w="14130" w:type="dxa"/>
            <w:gridSpan w:val="5"/>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jc w:val="center"/>
        </w:trPr>
        <w:tc>
          <w:tcPr>
            <w:tcW w:w="3162" w:type="dxa"/>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jc w:val="center"/>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丰都县栗子乡人民政府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val="0"/>
              <w:kinsoku/>
              <w:overflowPunct/>
              <w:topLinePunct w:val="0"/>
              <w:autoSpaceDN/>
              <w:bidi w:val="0"/>
              <w:adjustRightInd/>
              <w:spacing w:line="560" w:lineRule="exact"/>
              <w:jc w:val="right"/>
              <w:textAlignment w:val="bottom"/>
              <w:rPr>
                <w:rFonts w:hint="default" w:cs="宋体"/>
                <w:color w:val="000000"/>
                <w:kern w:val="2"/>
                <w:sz w:val="20"/>
                <w:szCs w:val="20"/>
              </w:rPr>
            </w:pPr>
            <w:r>
              <w:rPr>
                <w:rFonts w:hint="eastAsia" w:cs="宋体"/>
                <w:color w:val="000000"/>
                <w:kern w:val="2"/>
                <w:sz w:val="20"/>
                <w:szCs w:val="20"/>
                <w:lang w:eastAsia="zh-CN"/>
              </w:rPr>
              <w:t>部门</w:t>
            </w:r>
            <w:r>
              <w:rPr>
                <w:rFonts w:cs="宋体"/>
                <w:color w:val="000000"/>
                <w:kern w:val="2"/>
                <w:sz w:val="20"/>
                <w:szCs w:val="20"/>
              </w:rPr>
              <w:t>：</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60.22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 xml:space="preserve">  （一）行政</w:t>
            </w:r>
            <w:r>
              <w:rPr>
                <w:rFonts w:hint="eastAsia" w:cs="宋体"/>
                <w:b/>
                <w:bCs/>
                <w:color w:val="000000"/>
                <w:kern w:val="2"/>
                <w:sz w:val="16"/>
                <w:szCs w:val="16"/>
                <w:lang w:eastAsia="zh-CN"/>
              </w:rPr>
              <w:t>部门</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60.22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 xml:space="preserve">  （二）参照公务员法管理事业</w:t>
            </w:r>
            <w:r>
              <w:rPr>
                <w:rFonts w:hint="eastAsia" w:cs="宋体"/>
                <w:b/>
                <w:bCs/>
                <w:color w:val="000000"/>
                <w:kern w:val="2"/>
                <w:sz w:val="16"/>
                <w:szCs w:val="16"/>
                <w:lang w:eastAsia="zh-CN"/>
              </w:rPr>
              <w:t>部门</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3.91</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560" w:lineRule="exact"/>
              <w:jc w:val="right"/>
              <w:rPr>
                <w:rFonts w:hint="default" w:cs="宋体"/>
                <w:color w:val="000000"/>
                <w:sz w:val="16"/>
                <w:szCs w:val="16"/>
              </w:rPr>
            </w:pPr>
          </w:p>
        </w:tc>
      </w:tr>
    </w:tbl>
    <w:p>
      <w:pPr>
        <w:keepNext w:val="0"/>
        <w:keepLines w:val="0"/>
        <w:pageBreakBefore w:val="0"/>
        <w:widowControl w:val="0"/>
        <w:kinsoku/>
        <w:overflowPunct/>
        <w:topLinePunct w:val="0"/>
        <w:autoSpaceDN/>
        <w:bidi w:val="0"/>
        <w:adjustRightInd/>
        <w:spacing w:line="560" w:lineRule="exact"/>
        <w:ind w:left="540" w:hanging="540" w:hangingChars="300"/>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 2.本套报表金额</w:t>
      </w:r>
      <w:r>
        <w:rPr>
          <w:rFonts w:hint="eastAsia" w:cs="宋体"/>
          <w:sz w:val="18"/>
          <w:szCs w:val="18"/>
          <w:lang w:eastAsia="zh-CN"/>
        </w:rPr>
        <w:t>部门</w:t>
      </w:r>
      <w:r>
        <w:rPr>
          <w:rFonts w:cs="宋体"/>
          <w:sz w:val="18"/>
          <w:szCs w:val="18"/>
        </w:rPr>
        <w:t>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方正楷体_GBK">
    <w:altName w:val="汉仪楷体KW"/>
    <w:panose1 w:val="03000509000000000000"/>
    <w:charset w:val="86"/>
    <w:family w:val="auto"/>
    <w:pitch w:val="default"/>
    <w:sig w:usb0="00000000" w:usb1="00000000" w:usb2="00000000" w:usb3="00000000" w:csb0="00040000" w:csb1="00000000"/>
  </w:font>
  <w:font w:name="方正仿宋_GBK">
    <w:altName w:val="汉仪仿宋KW"/>
    <w:panose1 w:val="03000509000000000000"/>
    <w:charset w:val="86"/>
    <w:family w:val="auto"/>
    <w:pitch w:val="default"/>
    <w:sig w:usb0="00000000" w:usb1="00000000" w:usb2="00000000" w:usb3="00000000" w:csb0="00040000" w:csb1="00000000"/>
  </w:font>
  <w:font w:name="微软雅黑">
    <w:altName w:val="汉仪旗黑KW 55S"/>
    <w:panose1 w:val="020B0503020204020204"/>
    <w:charset w:val="86"/>
    <w:family w:val="auto"/>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zSVju0AAAAAUBAAAPAAAAAAAAAAEAIAAAADgAAABkcnMvZG93bnJldi54bWxQSwECFAAUAAAA&#10;CACHTuJAK6jqchkCAAAhBAAADgAAAAAAAAABACAAAAA1AQAAZHJzL2Uyb0RvYy54bWxQSwUGAAAA&#10;AAYABgBZAQAAwA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s0lY7tAAAAAFAQAADwAAAAAAAAABACAAAAA4AAAAZHJzL2Rvd25yZXYueG1sUEsBAhQAFAAAAAgA&#10;h07iQLD4MYkXAgAAGQQAAA4AAAAAAAAAAQAgAAAANQEAAGRycy9lMm9Eb2MueG1sUEsFBgAAAAAG&#10;AAYAWQEAAL4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HgNVFTYAAAACgEAAA8AAAAAAAAAAQAgAAAAOAAAAGRycy9kb3ducmV2LnhtbFBL&#10;AQIUABQAAAAIAIdO4kBvM20dGQIAABgEAAAOAAAAAAAAAAEAIAAAAD0BAABkcnMvZTJvRG9jLnht&#10;bFBLBQYAAAAABgAGAFkBAADI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1210C"/>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A64046"/>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E9188B"/>
    <w:rsid w:val="2FF06E00"/>
    <w:rsid w:val="30562E26"/>
    <w:rsid w:val="30586FEC"/>
    <w:rsid w:val="30601FF7"/>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4C405F"/>
    <w:rsid w:val="36C9128A"/>
    <w:rsid w:val="372E3953"/>
    <w:rsid w:val="37841E99"/>
    <w:rsid w:val="37BF1123"/>
    <w:rsid w:val="383C3F15"/>
    <w:rsid w:val="38BE4696"/>
    <w:rsid w:val="3902212D"/>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CB70FB"/>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173DD"/>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DF4923"/>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880972"/>
    <w:rsid w:val="728E7235"/>
    <w:rsid w:val="72DB435C"/>
    <w:rsid w:val="72E2613A"/>
    <w:rsid w:val="72F771F4"/>
    <w:rsid w:val="734150D5"/>
    <w:rsid w:val="736650B0"/>
    <w:rsid w:val="73934AD2"/>
    <w:rsid w:val="750837F0"/>
    <w:rsid w:val="754758CF"/>
    <w:rsid w:val="761275E6"/>
    <w:rsid w:val="764F62AB"/>
    <w:rsid w:val="765C45EC"/>
    <w:rsid w:val="768A7619"/>
    <w:rsid w:val="76AA36E6"/>
    <w:rsid w:val="76E612A1"/>
    <w:rsid w:val="772E1EBA"/>
    <w:rsid w:val="77303AE2"/>
    <w:rsid w:val="77EB79F7"/>
    <w:rsid w:val="796D60A4"/>
    <w:rsid w:val="79A031D5"/>
    <w:rsid w:val="79FFC354"/>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F7FDA5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14417</Words>
  <Characters>22782</Characters>
  <Lines>186</Lines>
  <Paragraphs>52</Paragraphs>
  <TotalTime>12</TotalTime>
  <ScaleCrop>false</ScaleCrop>
  <LinksUpToDate>false</LinksUpToDate>
  <CharactersWithSpaces>25098</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崔氏特</cp:lastModifiedBy>
  <dcterms:modified xsi:type="dcterms:W3CDTF">2025-09-16T17:19:47Z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0AE1E273F9CD45838EE8582B8726BF60_13</vt:lpwstr>
  </property>
  <property fmtid="{D5CDD505-2E9C-101B-9397-08002B2CF9AE}" pid="4" name="KSOTemplateDocerSaveRecord">
    <vt:lpwstr>eyJoZGlkIjoiNDE5YmRhMGNmMWEzZDIxMDhlZTQ5NjAwZGVjOWRlZjUiLCJ1c2VySWQiOiI0MjUyNjYyNjIifQ==</vt:lpwstr>
  </property>
</Properties>
</file>