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ACE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180" w:afterAutospacing="0" w:line="560" w:lineRule="exact"/>
        <w:jc w:val="center"/>
        <w:rPr>
          <w:rStyle w:val="9"/>
          <w:rFonts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关于</w:t>
      </w:r>
      <w:r>
        <w:rPr>
          <w:rStyle w:val="9"/>
          <w:rFonts w:hint="eastAsia"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202</w:t>
      </w:r>
      <w:r>
        <w:rPr>
          <w:rStyle w:val="9"/>
          <w:rFonts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4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年财政预算执行情况和</w:t>
      </w:r>
      <w:r>
        <w:rPr>
          <w:rStyle w:val="9"/>
          <w:rFonts w:hint="eastAsia"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202</w:t>
      </w:r>
      <w:r>
        <w:rPr>
          <w:rStyle w:val="9"/>
          <w:rFonts w:ascii="方正小标宋_GBK" w:hAnsi="Times New Roman" w:eastAsia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5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年财政预算草案的报告</w:t>
      </w:r>
    </w:p>
    <w:p w14:paraId="26313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一、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年财政预算执行情况</w:t>
      </w:r>
    </w:p>
    <w:p w14:paraId="2B2A0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（一）一般公共预算</w:t>
      </w:r>
    </w:p>
    <w:p w14:paraId="45D33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收入情况。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青龙乡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一般公共预算收入总计为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2433.83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万元，为年度预算数的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164.27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 w14:paraId="1825A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2. 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支出情况。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val="en-US" w:eastAsia="zh-CN"/>
        </w:rPr>
        <w:t>青龙乡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财政支出总计为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2433.83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万元,为年度预算数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164.27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。支出分项情况如下：</w:t>
      </w:r>
    </w:p>
    <w:p w14:paraId="1F708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（1）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一般公共服务支出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485.05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万元，主要用于保障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党政机关、人大、机关事业单位履职运转等事务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 w14:paraId="06DD5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（2）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公共安全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12.06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万元，主要用于法治宣传长廊安装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法律顾问费用支出等事务。</w:t>
      </w:r>
    </w:p>
    <w:p w14:paraId="327E0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文化体育与传媒支出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37.19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群众文化、运动会、乡新时代文明实践所免费开放资金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等事务。</w:t>
      </w:r>
    </w:p>
    <w:p w14:paraId="662503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402.85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干部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及本土人才待遇、网格经费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、村居运行经费、服务群众专项经费、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行政事业单位养老支出等事务。</w:t>
      </w:r>
    </w:p>
    <w:p w14:paraId="61EF7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卫生健康支出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47.27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机关事业单位医疗、其他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城乡居民医疗保险等事务。</w:t>
      </w:r>
    </w:p>
    <w:p w14:paraId="05385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（6）节能环保支出11万元，主要用于农村黑臭水体清零区县创建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污染防治等事务。</w:t>
      </w:r>
    </w:p>
    <w:p w14:paraId="07A09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城乡社区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76.13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主要用于场镇清扫保洁、人居环境综合整治、综合执法队支出等事务。</w:t>
      </w:r>
    </w:p>
    <w:p w14:paraId="08D26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农林水支出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852.03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病虫害控制、农村农业防灾减灾、森林资源管护补助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产业发展中心支出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等事务。</w:t>
      </w:r>
    </w:p>
    <w:p w14:paraId="5B7D5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交通运输支出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377.06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主要用于瓦屋山至十直龙头农村联网公路、滑翔伞基地旅游路、乡村公路安保护栏、道路养护资金等事务。</w:t>
      </w:r>
    </w:p>
    <w:p w14:paraId="25E7E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自然资源海洋气象支出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10.4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万元，主要用于林业有害生物防治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 w14:paraId="296C3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住房保障支出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63.96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机关事业单位公积金支出、旧房整治提升等事务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 w14:paraId="665C9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灾害防治及应急管理支出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58.83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道路滑坡临时措施、排危处理、道路塌方治理、村道塌陷断裂路段整治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等事务。</w:t>
      </w:r>
    </w:p>
    <w:p w14:paraId="475BB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（二）政府性基金预算</w:t>
      </w:r>
    </w:p>
    <w:p w14:paraId="736DF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收入情况。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青龙乡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政府性基金预算收入总计为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24.83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 w14:paraId="3DF44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2. 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支出情况。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青龙乡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政府性基金预算支出总计为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万元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24.83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老年幸福食堂建设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  <w:t>。</w:t>
      </w:r>
    </w:p>
    <w:p w14:paraId="1A8C8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024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年重点财政工作</w:t>
      </w:r>
    </w:p>
    <w:p w14:paraId="49A3C94C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  <w:t>各位代表，总的来看，202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  <w:t>年财政预算执行因受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经济环境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  <w:t>影响，遇到的困难比较大，但经多方施策，充分发挥财政的职能作用、科学研判财政收支形势、大力优化支出结构，财政运行整体平稳，财政预算执行的结果符合预期，全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  <w:t>财政收支基本得到了保障，这是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</w:rPr>
        <w:t>党委、政府和各部门以及各位代表共同努力的结果。回顾过去一年以来的财政工作，我们着重突出抓了以下四个方面：</w:t>
      </w:r>
    </w:p>
    <w:p w14:paraId="3AFDA9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落实积极财政政策，不断夯实发展基础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92C06D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在组织收入上提质增效。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坚持把组织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收入放在财政工作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要位置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，增强全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财政保障能力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>一是全力争取资金，围绕巩固拓展脱贫攻坚、生态环保、人居环境、乡村振兴等重点工作，向水务集团、工业发展集团、城建集团、名山集团、锦盛爆破器材有限公司等争取捐赠款共计114.8万元。二是加强税收征管，强化对零散税收的管理，加强检查监管力度，做到应收尽收、足额入库。</w:t>
      </w:r>
    </w:p>
    <w:p w14:paraId="6B6CDC2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在争取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上积极作为。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加大专项资金谋划力度，全年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向上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争取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共计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个项目，当年到位专项资金达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2174.55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万元，主要用于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乡村振兴及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农村公路、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农村公共厕所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等基础设施建设，有效缓解本级财政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资金调剂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压力，为全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稳增长、保重点、惠民生提供稳定支撑。</w:t>
      </w:r>
    </w:p>
    <w:p w14:paraId="45501EA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（二）优化一般公共预算支出结构，持续增进民生福祉</w:t>
      </w:r>
    </w:p>
    <w:p w14:paraId="664A65A4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厉行节约过紧日子。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坚守“保基本、保重点、保民生、压一般”的原则，严控202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年非刚性支出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增长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，压减一般性支出。全年“三公”经费支出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15.4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与上年基本持平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，切实把有限的财政资金用在“刀刃”上。</w:t>
      </w:r>
    </w:p>
    <w:p w14:paraId="65CDFCDC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b w:val="0"/>
          <w:bCs w:val="0"/>
          <w:smallCap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强化</w:t>
      </w:r>
      <w:r>
        <w:rPr>
          <w:rFonts w:hint="eastAsia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民生保障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支出。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支持做好民生兜底工作，落实好困难群众救助补助、临时救助、退休人员死亡抚恤、解三难等民生政策；支持农业产业提升，壮大特色优势农业产业发展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支持做好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农村环境卫生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支持绿化提升、森林资源管护、森林病虫害防治，全面推进林长制。</w:t>
      </w:r>
    </w:p>
    <w:p w14:paraId="103248E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（三）深入推进财政改革，稳步提升管理水平</w:t>
      </w:r>
    </w:p>
    <w:p w14:paraId="3973694B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预算管理更加科学。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以全面实施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预算管理一体化系统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为突破口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，筹备建立预算项目库，创新预算编制方式，深化预算管理制度改革，调整完善一般公共预算支出体系，推动财政资金优化配置和高效使用，坚持量入为出、急需先办，切实提高财政保障能力和水平。</w:t>
      </w:r>
    </w:p>
    <w:p w14:paraId="0171EC8C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绩效管理更加全面。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将纳入预算的所有项目实施绩效目标管理，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项目数共计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个，资金总额共计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2611.76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已经项目入库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个项目实行绩效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运行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监控。对202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年的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个预算项目和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部门整体开展绩效自评，实现项目和部门整体绩效评价全覆盖。管理科学、运转高效的全过程预算绩效管理体系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改进预算管理、优化资源配置、控制节约成本、提高公共产品质量和公共服务水平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等工作提供了有效保障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605DD14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（四）筑牢安全运行防线，积极防范财政风险</w:t>
      </w:r>
    </w:p>
    <w:p w14:paraId="6946233C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全面加强</w:t>
      </w:r>
      <w:r>
        <w:rPr>
          <w:rFonts w:hint="eastAsia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审计。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县审计局要求，对青龙乡2023年新农人培训提升工程项目开展内部审计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县农业农村委员下达的新农人培育完成任务数、实际培育新农人花名册，拨付凭证、项目台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会议纪要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等资料进行核查，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发现问题1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个，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整改问题1个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0C36EC7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全面开展财会监督。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扎实开展监督检查，力促财会监督全覆盖。聚焦财经纪律方面重点问题，聘请第三方专业审计机构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以及在其指导下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青天村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进行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财务收支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清理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对机关账务及村委和集体经济财务收支开展审计，配合县农委对龙井村、青天村开展“三资”管理专项审计，配合县财政局对内控制度、机关账务处理、收支情况、债务、预算绩效管理开展了核查。</w:t>
      </w:r>
    </w:p>
    <w:p w14:paraId="3741AA68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各位代表，202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在财政收入增速放缓的情况下，全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上下齐心协力、攻坚克难，各项民生政策顺利贯彻落实，各项政策性增资及时兑付，各项社会事业持续健康发展，财政运行总体平稳。这是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党委正确领导的结果，是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人大监督指导和大力支持的结果，是各部门密切配合、扎实工作的结果，是全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人民共同努力、艰苦奋斗的结果。在肯定成绩的同时，我们也清醒地看到当前我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财政工作中存在的困难和问题，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主要表现在：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财政增收后劲不足，财政有效供给不足；“三保”等刚性支出持续有增无减，在可用财力有限的现状下，财政保障压力进一步加大，实现财政收支平衡压力巨大；预算执行刚性约束不强、预算调整调剂较多；部分项目预算执行进度较慢，资金使用绩效不高。对此，我们将高度重视，认真听取各位代表意见，以更有力的举措，努力加以解决。</w:t>
      </w:r>
    </w:p>
    <w:p w14:paraId="02F6647F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highlight w:val="none"/>
        </w:rPr>
        <w:t>年财政预算（草案）</w:t>
      </w:r>
    </w:p>
    <w:p w14:paraId="167F2083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年预算编制的总体思路是：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支出预算包括基本支出预算和项目支出预算两部分。支出预算的编制要统筹兼顾、确保重点，按照“人员经费按标准，公用经费按定额，项目经费着重看绩效目标、视财力安排”的原则，依据全县统一的口径进行编制。</w:t>
      </w:r>
    </w:p>
    <w:p w14:paraId="52CB988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一般公共预算</w:t>
      </w:r>
    </w:p>
    <w:p w14:paraId="3F73BBF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025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年一般公共预算收入预期总计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1787.26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万元。根据收入安排相应的支出总计预算为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1787.26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万元。支出的分类情况是：一般公共服务支出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602.27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主要用于保障乡党政机关、人大、机关事业单位履职运转等事务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科学技术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主要用于市级引导区县科技发展项目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文化旅游体育与传媒支出28.84万元，主要用于文化旅游事业、新时代文明实践中心运转等事务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；社会保障和就业支出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197.77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主要用于乡情馆村情馆打造、残疾人事业发展、便民服务中心运转等事务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卫生健康支出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49.42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主要用于机关事业单位医疗、其他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城乡居民医疗保险等事务；城乡社区支出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108.36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主要用于场镇清扫保洁、综合执法队运转、村镇建设服务中心运转等事务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；农林水事务支出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472.11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主要用于老树茶产业、农村黑臭水体整治、“视觉危房”整治提升、村干部社区干部工资等事务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；交通运输支出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250万元，主要用于乡村公路安保护栏、黄泥等村道扩建、汛期公路水毁应急抢险等事务；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自然资源海洋气象等支出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3.6万元，主要用于林业有害生物项目；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住房保障支出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50.89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机关事业单位公积金支出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预备费14万元，主要用于因自然灾害等突发事件处理增加的支出等事务。</w:t>
      </w:r>
    </w:p>
    <w:p w14:paraId="20E123B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  <w:highlight w:val="none"/>
        </w:rPr>
        <w:t>（二）政府性基金预算</w:t>
      </w:r>
    </w:p>
    <w:p w14:paraId="598C155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政府性基金收入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25.4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万元，全部为上年结转收入；政府性基金支出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25.4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道路养护资金、青天村便民服务中心、优质老年食堂和满意老年食堂支出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 w14:paraId="31D182C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以上收支预算（草案）如因上级政策调整，预算也随之调整，并向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人大主席团报告后组织实施。</w:t>
      </w:r>
    </w:p>
    <w:p w14:paraId="5DBDFFD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</w:rPr>
        <w:t>2025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年财政工作主要任务</w:t>
      </w:r>
    </w:p>
    <w:p w14:paraId="7AA11C56">
      <w:pPr>
        <w:keepNext w:val="0"/>
        <w:keepLines w:val="0"/>
        <w:pageBreakBefore w:val="0"/>
        <w:widowControl w:val="0"/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为圆满完成202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年预算任务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保障财政收支平衡，服务经济社会发展，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我们力争在以下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个方面取得新的成效：</w:t>
      </w:r>
    </w:p>
    <w:p w14:paraId="14ADCF3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夯实基础，着力强化财源培植工作</w:t>
      </w:r>
    </w:p>
    <w:p w14:paraId="121A05C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立足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情，理清思路，积极争取上级项目扶持和资金支持，集中财力保障全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项目的顺利实施，着力夯实经济社会发展基础。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切实发挥财政资金、财政政策的导向作用，积极筹措资金投入各项基础设施建设、产业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等领域，积极推动全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产业布局调整完善，为全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财政协调、快速、稳步发展奠定坚实的经济基础。</w:t>
      </w:r>
    </w:p>
    <w:p w14:paraId="61EAE2A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）深化改革，不断提升财政管理水平</w:t>
      </w:r>
    </w:p>
    <w:p w14:paraId="49395A9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紧紧围绕全面深化改革和推进法治政府建设，要认真贯彻落实最新《中华人民共和国预算法》，坚持依法办事，强化预算约束，提高财政收支预算的严肃性。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继续推进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级财政信息化建设任务，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提高财政数据处理的时效性和准确性，提高财政管理的水平和质量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促使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财政工作重心从完成基本业务向发挥财政监管职能转变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；提高财政管理和控制的作用，使财政管理由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事后算账、管理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转向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事先预测、规划，事中控制、监督，事后分析、决策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的一种全新的管理和控制模式，以增加财政信息的使用价值，提高财政管理、控制和决策水平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 w14:paraId="6C21626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）统筹兼顾，努力提高财政保障能力</w:t>
      </w:r>
    </w:p>
    <w:p w14:paraId="6A7CA69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8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正确分析和认识全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经济社会发展过程中存在的困难和问题，充分理解和支持新形势下的财税工作，真正做到全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一盘棋，同舟共济，共谋发展。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按照“保工资、保运转、保民生、保稳定、促发展”的基本原则和先后顺序，坚持有保有压，用小钱办大事、办实事，切实将有限的财政资金用在刀刃上，不断提高财政资金使用效益。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关注民生、关注三农，积极贯彻落实各项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强农惠农富农政策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，加大对农业、农村及民生领域和乡村振兴工作的财政投入，统筹协调发展，让广大人民群众共享改革发展成果。</w:t>
      </w:r>
    </w:p>
    <w:p w14:paraId="0FECE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eastAsia="方正小标宋_GBK"/>
          <w:color w:val="000000"/>
          <w:kern w:val="0"/>
          <w:sz w:val="44"/>
          <w:szCs w:val="44"/>
          <w:highlight w:val="none"/>
        </w:rPr>
      </w:pPr>
    </w:p>
    <w:p w14:paraId="2690D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</w:p>
    <w:p w14:paraId="5B852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</w:p>
    <w:p w14:paraId="31078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</w:p>
    <w:p w14:paraId="77022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  <w:bookmarkStart w:id="0" w:name="_GoBack"/>
      <w:bookmarkEnd w:id="0"/>
    </w:p>
    <w:p w14:paraId="7B185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  <w:highlight w:val="none"/>
        </w:rPr>
      </w:pPr>
      <w:r>
        <w:rPr>
          <w:rFonts w:eastAsia="方正小标宋_GBK"/>
          <w:color w:val="000000"/>
          <w:kern w:val="0"/>
          <w:sz w:val="44"/>
          <w:szCs w:val="44"/>
          <w:highlight w:val="none"/>
        </w:rPr>
        <w:t>相关事项说明</w:t>
      </w:r>
    </w:p>
    <w:p w14:paraId="62446AAD">
      <w:pPr>
        <w:pStyle w:val="2"/>
      </w:pPr>
    </w:p>
    <w:p w14:paraId="45D14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kern w:val="0"/>
          <w:sz w:val="32"/>
          <w:szCs w:val="32"/>
          <w:highlight w:val="none"/>
        </w:rPr>
        <w:t>一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年预备费使用情况</w:t>
      </w:r>
    </w:p>
    <w:p w14:paraId="56FAF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年初预算预备费13万元已动支13万元，预备费主要用于自然灾害损害道路修复、防汛抗旱、公共房屋排险等支出。</w:t>
      </w:r>
    </w:p>
    <w:p w14:paraId="37C60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kern w:val="0"/>
          <w:sz w:val="32"/>
          <w:szCs w:val="32"/>
          <w:highlight w:val="none"/>
        </w:rPr>
        <w:t>二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、“三公”经费</w:t>
      </w:r>
      <w:r>
        <w:rPr>
          <w:rFonts w:hint="eastAsia" w:eastAsia="方正黑体_GBK"/>
          <w:color w:val="000000"/>
          <w:kern w:val="0"/>
          <w:sz w:val="32"/>
          <w:szCs w:val="32"/>
          <w:highlight w:val="none"/>
        </w:rPr>
        <w:t>相关</w:t>
      </w:r>
      <w:r>
        <w:rPr>
          <w:rFonts w:eastAsia="方正黑体_GBK"/>
          <w:color w:val="000000"/>
          <w:kern w:val="0"/>
          <w:sz w:val="32"/>
          <w:szCs w:val="32"/>
          <w:highlight w:val="none"/>
        </w:rPr>
        <w:t>情况</w:t>
      </w:r>
    </w:p>
    <w:p w14:paraId="2A38C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2025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年“三公”经费预算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14.9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。其中：因公出国（境）费用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万元，比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年减少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不涉及出国出境业务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；公务接待费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1.8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持平，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主要原因是坚持厉行节约，压缩不必要的开支，确保经费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规模不扩大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；公务用车运行维护费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13.1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持平，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要原因是单位公务用车保有量无变化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；公务用车购置费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万元，比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2024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年减少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万元；主要原因是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今年无购车预算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 w14:paraId="1318A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eastAsia="方正小标宋_GBK"/>
          <w:sz w:val="44"/>
          <w:szCs w:val="44"/>
          <w:highlight w:val="none"/>
        </w:rPr>
      </w:pPr>
    </w:p>
    <w:p w14:paraId="1F267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eastAsia="方正小标宋_GBK"/>
          <w:sz w:val="44"/>
          <w:szCs w:val="44"/>
          <w:highlight w:val="none"/>
        </w:rPr>
      </w:pPr>
    </w:p>
    <w:p w14:paraId="77C2B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名词解释</w:t>
      </w:r>
    </w:p>
    <w:p w14:paraId="1006D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一般公共预算：</w:t>
      </w:r>
      <w:r>
        <w:rPr>
          <w:rFonts w:eastAsia="方正仿宋_GBK"/>
          <w:kern w:val="0"/>
          <w:sz w:val="32"/>
          <w:szCs w:val="32"/>
          <w:highlight w:val="none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 w14:paraId="29A0B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政府性基金预算：</w:t>
      </w:r>
      <w:r>
        <w:rPr>
          <w:rFonts w:eastAsia="方正仿宋_GBK"/>
          <w:kern w:val="0"/>
          <w:sz w:val="32"/>
          <w:szCs w:val="32"/>
          <w:highlight w:val="none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 w14:paraId="68996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国有资本经营预算：</w:t>
      </w:r>
      <w:r>
        <w:rPr>
          <w:rFonts w:eastAsia="方正仿宋_GBK"/>
          <w:kern w:val="0"/>
          <w:sz w:val="32"/>
          <w:szCs w:val="32"/>
          <w:highlight w:val="none"/>
        </w:rPr>
        <w:t>是对国有资本收益作出支出安排的收支预算。主要为国企上缴利润收入、产权转让收入。</w:t>
      </w:r>
    </w:p>
    <w:p w14:paraId="17DF1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社保基金预算：</w:t>
      </w:r>
      <w:r>
        <w:rPr>
          <w:rFonts w:eastAsia="方正仿宋_GBK"/>
          <w:kern w:val="0"/>
          <w:sz w:val="32"/>
          <w:szCs w:val="32"/>
          <w:highlight w:val="none"/>
        </w:rPr>
        <w:t>是对社会保险缴款、一般公共预算安排和其他方式筹集的资金，专项用于社会保险的收支预算。目前是全市统筹，由市统一编制、我县不单独编报。</w:t>
      </w:r>
    </w:p>
    <w:p w14:paraId="36846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债券资金：</w:t>
      </w:r>
      <w:r>
        <w:rPr>
          <w:rFonts w:eastAsia="方正仿宋_GBK"/>
          <w:kern w:val="0"/>
          <w:sz w:val="32"/>
          <w:szCs w:val="32"/>
          <w:highlight w:val="none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 w14:paraId="074A81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黑体_GBK"/>
          <w:kern w:val="0"/>
          <w:sz w:val="32"/>
          <w:szCs w:val="32"/>
          <w:highlight w:val="none"/>
        </w:rPr>
        <w:t>三公经费</w:t>
      </w:r>
      <w:r>
        <w:rPr>
          <w:rFonts w:eastAsia="方正仿宋_GBK"/>
          <w:kern w:val="0"/>
          <w:sz w:val="32"/>
          <w:szCs w:val="32"/>
          <w:highlight w:val="none"/>
        </w:rPr>
        <w:t>：指政府部门公务出国（境）经费、公务车购置及运行费、公务接待费。</w:t>
      </w:r>
    </w:p>
    <w:p w14:paraId="220A5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sectPr>
      <w:pgSz w:w="11906" w:h="16838"/>
      <w:pgMar w:top="2154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F9731"/>
    <w:multiLevelType w:val="singleLevel"/>
    <w:tmpl w:val="9A4F97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FD543B"/>
    <w:multiLevelType w:val="singleLevel"/>
    <w:tmpl w:val="31FD54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TZhZmRkMjgxY2MwZDI2ZWRjZTU5YmZmNTc0MDYifQ=="/>
  </w:docVars>
  <w:rsids>
    <w:rsidRoot w:val="003C5D59"/>
    <w:rsid w:val="001157CE"/>
    <w:rsid w:val="00323BF6"/>
    <w:rsid w:val="00325422"/>
    <w:rsid w:val="003B2DA2"/>
    <w:rsid w:val="003C5D59"/>
    <w:rsid w:val="005C716D"/>
    <w:rsid w:val="00774CC9"/>
    <w:rsid w:val="00776BF3"/>
    <w:rsid w:val="00866A66"/>
    <w:rsid w:val="00941616"/>
    <w:rsid w:val="00953237"/>
    <w:rsid w:val="00955DA6"/>
    <w:rsid w:val="00B90839"/>
    <w:rsid w:val="00D662AB"/>
    <w:rsid w:val="00D7749F"/>
    <w:rsid w:val="00F9294A"/>
    <w:rsid w:val="00FA0688"/>
    <w:rsid w:val="01D32DCE"/>
    <w:rsid w:val="06B31420"/>
    <w:rsid w:val="06B95635"/>
    <w:rsid w:val="0777361A"/>
    <w:rsid w:val="07B611C8"/>
    <w:rsid w:val="084A1910"/>
    <w:rsid w:val="08844E22"/>
    <w:rsid w:val="08BA12DC"/>
    <w:rsid w:val="0A812074"/>
    <w:rsid w:val="0A850914"/>
    <w:rsid w:val="0ABB08A3"/>
    <w:rsid w:val="0B1D330C"/>
    <w:rsid w:val="0B344AF3"/>
    <w:rsid w:val="0C0709A6"/>
    <w:rsid w:val="0CFD51A3"/>
    <w:rsid w:val="0D307327"/>
    <w:rsid w:val="0EE02FCE"/>
    <w:rsid w:val="0F366857"/>
    <w:rsid w:val="112E0021"/>
    <w:rsid w:val="11C6025A"/>
    <w:rsid w:val="12977E48"/>
    <w:rsid w:val="12BC165D"/>
    <w:rsid w:val="13367661"/>
    <w:rsid w:val="13B10A95"/>
    <w:rsid w:val="15287ADD"/>
    <w:rsid w:val="156009C5"/>
    <w:rsid w:val="15B036FB"/>
    <w:rsid w:val="16353C00"/>
    <w:rsid w:val="16C950D2"/>
    <w:rsid w:val="16F31C9B"/>
    <w:rsid w:val="170A6E3A"/>
    <w:rsid w:val="18664544"/>
    <w:rsid w:val="1A8B286B"/>
    <w:rsid w:val="1ACE74DA"/>
    <w:rsid w:val="1B4D402D"/>
    <w:rsid w:val="1BC81072"/>
    <w:rsid w:val="1E0A5972"/>
    <w:rsid w:val="1F3E1D77"/>
    <w:rsid w:val="20DB2EAA"/>
    <w:rsid w:val="214E2681"/>
    <w:rsid w:val="21EF7AEB"/>
    <w:rsid w:val="23696C97"/>
    <w:rsid w:val="23F52C20"/>
    <w:rsid w:val="25E60A73"/>
    <w:rsid w:val="26375264"/>
    <w:rsid w:val="26597496"/>
    <w:rsid w:val="27F03E2A"/>
    <w:rsid w:val="28732366"/>
    <w:rsid w:val="29AB625B"/>
    <w:rsid w:val="29C476FB"/>
    <w:rsid w:val="29C841B9"/>
    <w:rsid w:val="2AB050F8"/>
    <w:rsid w:val="2B083239"/>
    <w:rsid w:val="2B0A6FB1"/>
    <w:rsid w:val="2C46226B"/>
    <w:rsid w:val="2C8663CB"/>
    <w:rsid w:val="2D0F4D53"/>
    <w:rsid w:val="2D3227EF"/>
    <w:rsid w:val="2D7C3A6A"/>
    <w:rsid w:val="2DA977FB"/>
    <w:rsid w:val="2E00644A"/>
    <w:rsid w:val="2E750BE6"/>
    <w:rsid w:val="2F005777"/>
    <w:rsid w:val="2F503401"/>
    <w:rsid w:val="2F6C023B"/>
    <w:rsid w:val="3011493E"/>
    <w:rsid w:val="301234DC"/>
    <w:rsid w:val="312A28E8"/>
    <w:rsid w:val="32430FFB"/>
    <w:rsid w:val="349E076A"/>
    <w:rsid w:val="361231BE"/>
    <w:rsid w:val="36DE4D67"/>
    <w:rsid w:val="36EC3A0F"/>
    <w:rsid w:val="37377380"/>
    <w:rsid w:val="37D03331"/>
    <w:rsid w:val="38A87E0A"/>
    <w:rsid w:val="38E70932"/>
    <w:rsid w:val="39301F40"/>
    <w:rsid w:val="39363667"/>
    <w:rsid w:val="393C6ED0"/>
    <w:rsid w:val="3BD74C8E"/>
    <w:rsid w:val="3E6D7B2B"/>
    <w:rsid w:val="3E8D7767"/>
    <w:rsid w:val="3E984FF3"/>
    <w:rsid w:val="406D5BC1"/>
    <w:rsid w:val="40B15A60"/>
    <w:rsid w:val="40E95678"/>
    <w:rsid w:val="41483F38"/>
    <w:rsid w:val="42206C63"/>
    <w:rsid w:val="428E62C2"/>
    <w:rsid w:val="435E2C7F"/>
    <w:rsid w:val="438C0A54"/>
    <w:rsid w:val="43C875B2"/>
    <w:rsid w:val="44004F9E"/>
    <w:rsid w:val="46130FB8"/>
    <w:rsid w:val="46274A64"/>
    <w:rsid w:val="4654512D"/>
    <w:rsid w:val="46727BB4"/>
    <w:rsid w:val="46E4775A"/>
    <w:rsid w:val="479523B1"/>
    <w:rsid w:val="484A400D"/>
    <w:rsid w:val="48693111"/>
    <w:rsid w:val="4A064990"/>
    <w:rsid w:val="4A5E657A"/>
    <w:rsid w:val="4E37780E"/>
    <w:rsid w:val="4FD572DE"/>
    <w:rsid w:val="51E92C75"/>
    <w:rsid w:val="524A3FB4"/>
    <w:rsid w:val="52A3007A"/>
    <w:rsid w:val="52E33AC0"/>
    <w:rsid w:val="53114AD1"/>
    <w:rsid w:val="54A84FC1"/>
    <w:rsid w:val="54C82F16"/>
    <w:rsid w:val="550D12C8"/>
    <w:rsid w:val="554747DA"/>
    <w:rsid w:val="556E620B"/>
    <w:rsid w:val="55E97640"/>
    <w:rsid w:val="55EE01E5"/>
    <w:rsid w:val="569D3F33"/>
    <w:rsid w:val="56D46542"/>
    <w:rsid w:val="58ED6580"/>
    <w:rsid w:val="5915074C"/>
    <w:rsid w:val="5980650D"/>
    <w:rsid w:val="5AFB2ABC"/>
    <w:rsid w:val="5B1038C0"/>
    <w:rsid w:val="5B500161"/>
    <w:rsid w:val="5C430A4F"/>
    <w:rsid w:val="5C937806"/>
    <w:rsid w:val="5F2A2932"/>
    <w:rsid w:val="5F685A79"/>
    <w:rsid w:val="5FBA148E"/>
    <w:rsid w:val="5FF76DFD"/>
    <w:rsid w:val="60356C26"/>
    <w:rsid w:val="611F67F5"/>
    <w:rsid w:val="61642270"/>
    <w:rsid w:val="617F52FC"/>
    <w:rsid w:val="65A215B9"/>
    <w:rsid w:val="663055EA"/>
    <w:rsid w:val="682126EC"/>
    <w:rsid w:val="68633281"/>
    <w:rsid w:val="69B31FE7"/>
    <w:rsid w:val="6CD6609E"/>
    <w:rsid w:val="6DA57E98"/>
    <w:rsid w:val="6DAD4F9F"/>
    <w:rsid w:val="6DFD7CD4"/>
    <w:rsid w:val="6F6A3147"/>
    <w:rsid w:val="6FA519AE"/>
    <w:rsid w:val="6FDD0EB6"/>
    <w:rsid w:val="6FF173C5"/>
    <w:rsid w:val="6FFC6D8E"/>
    <w:rsid w:val="700D1CD0"/>
    <w:rsid w:val="700E441B"/>
    <w:rsid w:val="702F613F"/>
    <w:rsid w:val="717E737E"/>
    <w:rsid w:val="72C708B1"/>
    <w:rsid w:val="74304879"/>
    <w:rsid w:val="7536173D"/>
    <w:rsid w:val="760C1130"/>
    <w:rsid w:val="762322A2"/>
    <w:rsid w:val="7625426C"/>
    <w:rsid w:val="76E97048"/>
    <w:rsid w:val="775F555C"/>
    <w:rsid w:val="785A1CD5"/>
    <w:rsid w:val="791B54B2"/>
    <w:rsid w:val="7B876E2F"/>
    <w:rsid w:val="7BC05DB0"/>
    <w:rsid w:val="7D4C20DE"/>
    <w:rsid w:val="7D4F1BCF"/>
    <w:rsid w:val="7DAC4ECF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Times New Roman" w:hAnsi="Times New Roman" w:eastAsia="方正仿宋_GBK" w:cs="Times New Roman"/>
      <w:kern w:val="0"/>
      <w:sz w:val="32"/>
      <w:szCs w:val="32"/>
    </w:rPr>
  </w:style>
  <w:style w:type="paragraph" w:styleId="3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 w:cs="方正小标宋_GBK"/>
      <w:sz w:val="36"/>
      <w:szCs w:val="36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4655</Words>
  <Characters>4928</Characters>
  <Lines>11</Lines>
  <Paragraphs>3</Paragraphs>
  <TotalTime>4</TotalTime>
  <ScaleCrop>false</ScaleCrop>
  <LinksUpToDate>false</LinksUpToDate>
  <CharactersWithSpaces>4929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2024-02-19T03:43:00Z</dcterms:created>
  <dc:creator>Administrator</dc:creator>
  <cp:lastModifiedBy>温星星</cp:lastModifiedBy>
  <dcterms:modified xsi:type="dcterms:W3CDTF">2025-09-30T03:08:39Z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3DEC6E0AF3244E399F83F1FFBB6A9553_12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