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丰都县双路镇人民政府（本级）</w:t>
      </w:r>
    </w:p>
    <w:p>
      <w:pPr>
        <w:pStyle w:val="6"/>
        <w:keepNext w:val="0"/>
        <w:keepLines w:val="0"/>
        <w:pageBreakBefore w:val="0"/>
        <w:widowControl/>
        <w:kinsoku/>
        <w:overflowPunct/>
        <w:topLinePunct w:val="0"/>
        <w:autoSpaceDN/>
        <w:bidi w:val="0"/>
        <w:adjustRightInd/>
        <w:spacing w:before="0" w:beforeAutospacing="0" w:after="0" w:after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w:t>
      </w:r>
      <w:r>
        <w:rPr>
          <w:rFonts w:hint="eastAsia" w:ascii="方正小标宋_GBK" w:hAnsi="方正小标宋_GBK" w:eastAsia="方正小标宋_GBK" w:cs="方正小标宋_GBK"/>
          <w:sz w:val="44"/>
          <w:szCs w:val="44"/>
          <w:shd w:val="clear" w:color="auto" w:fill="FFFFFF"/>
          <w:lang w:val="en-US" w:eastAsia="zh-CN"/>
        </w:rPr>
        <w:t>部门</w:t>
      </w:r>
      <w:r>
        <w:rPr>
          <w:rFonts w:ascii="方正小标宋_GBK" w:hAnsi="方正小标宋_GBK" w:eastAsia="方正小标宋_GBK" w:cs="方正小标宋_GBK"/>
          <w:sz w:val="44"/>
          <w:szCs w:val="44"/>
          <w:shd w:val="clear" w:color="auto" w:fill="FFFFFF"/>
        </w:rPr>
        <w:t>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bookmarkStart w:id="1" w:name="_GoBack"/>
      <w:bookmarkEnd w:id="1"/>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双路镇人民政府内设综合办事机构10个：党政办公室、党群工作办公室、经济发展办公室（挂统计办公室、农村经营管理办公室牌子）、民政和社会事务办公室（挂卫生健康办公室牌子）、平安建设办公室、规划建设管理环保办公室、财政办公室、应急管理办公室、</w:t>
      </w:r>
      <w:r>
        <w:rPr>
          <w:rFonts w:hint="eastAsia" w:ascii="方正仿宋_GBK" w:hAnsi="方正仿宋_GBK" w:eastAsia="方正仿宋_GBK" w:cs="方正仿宋_GBK"/>
          <w:sz w:val="32"/>
          <w:szCs w:val="32"/>
          <w:shd w:val="clear" w:color="auto" w:fill="FFFFFF"/>
          <w:lang w:val="en-US" w:eastAsia="zh-CN"/>
        </w:rPr>
        <w:t>人民代表</w:t>
      </w:r>
      <w:r>
        <w:rPr>
          <w:rFonts w:ascii="方正仿宋_GBK" w:hAnsi="方正仿宋_GBK" w:eastAsia="方正仿宋_GBK" w:cs="方正仿宋_GBK"/>
          <w:sz w:val="32"/>
          <w:szCs w:val="32"/>
          <w:shd w:val="clear" w:color="auto" w:fill="FFFFFF"/>
        </w:rPr>
        <w:t>办公室、综合行政执法办公室。事业机构5个：农业服务中心、文化服务中心、劳工就业和社会保障服务所、退役军人服务站、综合行政执法大队。丰都县双路镇人民政府核定编制数72名，其中行政编制36名、</w:t>
      </w:r>
      <w:r>
        <w:rPr>
          <w:rFonts w:hint="eastAsia" w:ascii="方正仿宋_GBK" w:hAnsi="方正仿宋_GBK" w:eastAsia="方正仿宋_GBK" w:cs="方正仿宋_GBK"/>
          <w:sz w:val="32"/>
          <w:szCs w:val="32"/>
          <w:shd w:val="clear" w:color="auto" w:fill="FFFFFF"/>
        </w:rPr>
        <w:t>机关后勤服务人员事业编制2名</w:t>
      </w:r>
      <w:r>
        <w:rPr>
          <w:rFonts w:ascii="方正仿宋_GBK" w:hAnsi="方正仿宋_GBK" w:eastAsia="方正仿宋_GBK" w:cs="方正仿宋_GBK"/>
          <w:sz w:val="32"/>
          <w:szCs w:val="32"/>
          <w:shd w:val="clear" w:color="auto" w:fill="FFFFFF"/>
        </w:rPr>
        <w:t>，事业编制34名。</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单位决算情况说明</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2023年度收入总计4410.67万元，支出总计</w:t>
      </w:r>
      <w:r>
        <w:rPr>
          <w:rFonts w:ascii="方正仿宋_GBK" w:hAnsi="方正仿宋_GBK" w:eastAsia="方正仿宋_GBK" w:cs="方正仿宋_GBK"/>
          <w:sz w:val="32"/>
          <w:szCs w:val="32"/>
        </w:rPr>
        <w:t>4410.67</w:t>
      </w:r>
      <w:r>
        <w:rPr>
          <w:rFonts w:ascii="方正仿宋_GBK" w:hAnsi="方正仿宋_GBK" w:eastAsia="方正仿宋_GBK" w:cs="方正仿宋_GBK"/>
          <w:sz w:val="32"/>
          <w:szCs w:val="32"/>
          <w:shd w:val="clear" w:color="auto" w:fill="FFFFFF"/>
        </w:rPr>
        <w:t>万元。收支较上年决算数增加417.46万元，增长10.45%，主要原因是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合山洞撤并村改扩建公路、旧房整治提升、退耕还林、信访维稳等项目增加了专项经费</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2023年度收入合计4179.58万元，较上年决算数增加490.15万元，增长13.29%，主要原因是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“两岸青山、千里林带”、安宁耕读劳动教育基地建设、退耕还林</w:t>
      </w:r>
      <w:r>
        <w:rPr>
          <w:rFonts w:hint="eastAsia" w:ascii="方正仿宋_GBK" w:hAnsi="方正仿宋_GBK" w:eastAsia="方正仿宋_GBK" w:cs="方正仿宋_GBK"/>
          <w:color w:val="auto"/>
          <w:sz w:val="32"/>
          <w:szCs w:val="32"/>
          <w:shd w:val="clear" w:color="auto" w:fill="FFFFFF"/>
          <w:lang w:val="en-US" w:eastAsia="zh-CN"/>
        </w:rPr>
        <w:t>还草</w:t>
      </w:r>
      <w:r>
        <w:rPr>
          <w:rFonts w:hint="eastAsia" w:ascii="方正仿宋_GBK" w:hAnsi="方正仿宋_GBK" w:eastAsia="方正仿宋_GBK" w:cs="方正仿宋_GBK"/>
          <w:color w:val="auto"/>
          <w:sz w:val="32"/>
          <w:szCs w:val="32"/>
          <w:shd w:val="clear" w:color="auto" w:fill="FFFFFF"/>
        </w:rPr>
        <w:t>、信访维稳等项目增加了专项经费。</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4179.58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231.10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4398.81</w:t>
      </w:r>
      <w:r>
        <w:rPr>
          <w:rFonts w:ascii="方正仿宋_GBK" w:hAnsi="方正仿宋_GBK" w:eastAsia="方正仿宋_GBK" w:cs="方正仿宋_GBK"/>
          <w:color w:val="auto"/>
          <w:sz w:val="32"/>
          <w:szCs w:val="32"/>
          <w:shd w:val="clear" w:color="auto" w:fill="FFFFFF"/>
        </w:rPr>
        <w:t>万元，较上年决算数增加417.47万元，增长10.49%，主要原因是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“两岸青山、千里林带”、安宁耕读劳动教育基地建设、合山洞撤并村改扩建公路、旧房整治提升、退耕还林、信访维稳等项目增加了专项经费。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2037.11</w:t>
      </w:r>
      <w:r>
        <w:rPr>
          <w:rFonts w:ascii="方正仿宋_GBK" w:hAnsi="方正仿宋_GBK" w:eastAsia="方正仿宋_GBK" w:cs="方正仿宋_GBK"/>
          <w:sz w:val="32"/>
          <w:szCs w:val="32"/>
          <w:shd w:val="clear" w:color="auto" w:fill="FFFFFF"/>
        </w:rPr>
        <w:t>万元，占46.31%；项目支出</w:t>
      </w:r>
      <w:r>
        <w:rPr>
          <w:rFonts w:ascii="方正仿宋_GBK" w:hAnsi="方正仿宋_GBK" w:eastAsia="方正仿宋_GBK" w:cs="方正仿宋_GBK"/>
          <w:sz w:val="32"/>
          <w:szCs w:val="32"/>
        </w:rPr>
        <w:t>2361.70</w:t>
      </w:r>
      <w:r>
        <w:rPr>
          <w:rFonts w:ascii="方正仿宋_GBK" w:hAnsi="方正仿宋_GBK" w:eastAsia="方正仿宋_GBK" w:cs="方正仿宋_GBK"/>
          <w:sz w:val="32"/>
          <w:szCs w:val="32"/>
          <w:shd w:val="clear" w:color="auto" w:fill="FFFFFF"/>
        </w:rPr>
        <w:t>万元，占53.69%；经营支出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11.87</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highlight w:val="none"/>
          <w:shd w:val="clear" w:color="auto" w:fill="FFFFFF"/>
        </w:rPr>
        <w:t>与上年决算数持平</w:t>
      </w:r>
      <w:r>
        <w:rPr>
          <w:rFonts w:ascii="方正仿宋_GBK" w:hAnsi="方正仿宋_GBK" w:eastAsia="方正仿宋_GBK" w:cs="方正仿宋_GBK"/>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2023年度财政拨款收、支总计4399.37万元。与2022年相比，财政拨款收、支总计各增加406.16万元，增长10.17%。主要原因是</w:t>
      </w:r>
      <w:r>
        <w:rPr>
          <w:rFonts w:hint="eastAsia" w:ascii="方正仿宋_GBK" w:hAnsi="方正仿宋_GBK" w:eastAsia="方正仿宋_GBK" w:cs="方正仿宋_GBK"/>
          <w:sz w:val="32"/>
          <w:szCs w:val="32"/>
          <w:shd w:val="clear" w:color="auto" w:fill="FFFFFF"/>
        </w:rPr>
        <w:t>“两岸青山、千里林带”、安宁耕读劳动教育基地建设、合山洞撤并村改扩建公路、旧房整治提升、退耕还林、信访维稳等项目增加了专项经费。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4101.18</w:t>
      </w:r>
      <w:r>
        <w:rPr>
          <w:rFonts w:ascii="方正仿宋_GBK" w:hAnsi="方正仿宋_GBK" w:eastAsia="方正仿宋_GBK" w:cs="方正仿宋_GBK"/>
          <w:sz w:val="32"/>
          <w:szCs w:val="32"/>
          <w:shd w:val="clear" w:color="auto" w:fill="FFFFFF"/>
        </w:rPr>
        <w:t>万元，较上年决算数增加982.41万元，增长31.50%。主要原因是</w:t>
      </w:r>
      <w:r>
        <w:rPr>
          <w:rFonts w:hint="eastAsia" w:ascii="方正仿宋_GBK" w:hAnsi="方正仿宋_GBK" w:eastAsia="方正仿宋_GBK" w:cs="方正仿宋_GBK"/>
          <w:sz w:val="32"/>
          <w:szCs w:val="32"/>
          <w:shd w:val="clear" w:color="auto" w:fill="FFFFFF"/>
        </w:rPr>
        <w:t>“两岸青山、千里林带”、安宁耕读劳动教育基地建设、合山洞撤并村改扩建公路、旧房整治提升、退耕还林、信访维稳等项目增加了专项经费。</w:t>
      </w:r>
      <w:r>
        <w:rPr>
          <w:rFonts w:ascii="方正仿宋_GBK" w:hAnsi="方正仿宋_GBK" w:eastAsia="方正仿宋_GBK" w:cs="方正仿宋_GBK"/>
          <w:sz w:val="32"/>
          <w:szCs w:val="32"/>
          <w:shd w:val="clear" w:color="auto" w:fill="FFFFFF"/>
        </w:rPr>
        <w:t>较年初预算数增加1492.85万元，增长57.23%。主要原因是增加了专项经费，如：“两岸青山、千里林带”、安宁耕读劳动教育基地建设项目等。此外，年初财政拨款结转和结余</w:t>
      </w:r>
      <w:r>
        <w:rPr>
          <w:rFonts w:ascii="方正仿宋_GBK" w:hAnsi="方正仿宋_GBK" w:eastAsia="方正仿宋_GBK" w:cs="方正仿宋_GBK"/>
          <w:sz w:val="32"/>
          <w:szCs w:val="32"/>
        </w:rPr>
        <w:t>202.27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4302.88</w:t>
      </w:r>
      <w:r>
        <w:rPr>
          <w:rFonts w:ascii="方正仿宋_GBK" w:hAnsi="方正仿宋_GBK" w:eastAsia="方正仿宋_GBK" w:cs="方正仿宋_GBK"/>
          <w:sz w:val="32"/>
          <w:szCs w:val="32"/>
          <w:shd w:val="clear" w:color="auto" w:fill="FFFFFF"/>
        </w:rPr>
        <w:t>万元，较上年决算数增加892.20万元，增长26.16%。主要原因是</w:t>
      </w:r>
      <w:r>
        <w:rPr>
          <w:rFonts w:hint="eastAsia" w:ascii="方正仿宋_GBK" w:hAnsi="方正仿宋_GBK" w:eastAsia="方正仿宋_GBK" w:cs="方正仿宋_GBK"/>
          <w:color w:val="auto"/>
          <w:sz w:val="32"/>
          <w:szCs w:val="32"/>
          <w:shd w:val="clear" w:color="auto" w:fill="FFFFFF"/>
        </w:rPr>
        <w:t>“两岸青山、千里林带”、安宁耕读劳动教育基地建设、合山洞撤并村改扩建公路、旧房整治提升、退耕还林、信访维稳等项目增加了专项经费</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较年初预算数增加1694.55万元，增长64.97%。主要原因是增加了专项经费，如：“两岸青山、千里林带”、安宁耕读劳动教育基地建设项目等。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万元，较上年决算数减少11.30万元，下降95.20%，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会计差错更正，调整到社会保障和就业支出、农林水支出</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1246.69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28.97</w:t>
      </w:r>
      <w:r>
        <w:rPr>
          <w:rFonts w:ascii="方正仿宋_GBK" w:hAnsi="方正仿宋_GBK" w:eastAsia="方正仿宋_GBK" w:cs="方正仿宋_GBK"/>
          <w:sz w:val="32"/>
          <w:szCs w:val="32"/>
          <w:shd w:val="clear" w:color="auto" w:fill="FFFFFF"/>
        </w:rPr>
        <w:t>%，较年初预算数增加58.98万元，增长4.97%，主要原因是人员变动经费增加。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5.60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%，较年初预算数增加5.60万元，增长100.00%，主要原因是增加人武部规范化建设项目。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（3）公共安全支出</w:t>
      </w:r>
      <w:r>
        <w:rPr>
          <w:rFonts w:ascii="方正仿宋_GBK" w:hAnsi="方正仿宋_GBK" w:eastAsia="方正仿宋_GBK" w:cs="方正仿宋_GBK"/>
          <w:sz w:val="32"/>
          <w:szCs w:val="32"/>
        </w:rPr>
        <w:t>28.00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0.65</w:t>
      </w:r>
      <w:r>
        <w:rPr>
          <w:rFonts w:ascii="方正仿宋_GBK" w:hAnsi="方正仿宋_GBK" w:eastAsia="方正仿宋_GBK" w:cs="方正仿宋_GBK"/>
          <w:sz w:val="32"/>
          <w:szCs w:val="32"/>
          <w:shd w:val="clear" w:color="auto" w:fill="FFFFFF"/>
        </w:rPr>
        <w:t>%，较年初预算数增加28.00万元，增长100.00%，主要原因是增加枫桥司法所打造项目等。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58.05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%，较年初预算数增加58.05万元，增长100.00%，主要原因是文化旅游宣传等专项经费增加。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901.04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20.94</w:t>
      </w:r>
      <w:r>
        <w:rPr>
          <w:rFonts w:ascii="方正仿宋_GBK" w:hAnsi="方正仿宋_GBK" w:eastAsia="方正仿宋_GBK" w:cs="方正仿宋_GBK"/>
          <w:sz w:val="32"/>
          <w:szCs w:val="32"/>
          <w:shd w:val="clear" w:color="auto" w:fill="FFFFFF"/>
        </w:rPr>
        <w:t>%，较年初预算数减少160.20万元，下降15.10%，主要原因是项目经费安排减少，如安宁河道整治项目、残疾人基本状况调查等。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109.85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%，较年初预算数增加65.46万元，增长147.47%，主要原因是增加马鞍山社区党群服务中心医疗保障服务能力提升项目、及财政供养人员变动增加。</w:t>
      </w:r>
      <w:r>
        <w:rPr>
          <w:rFonts w:ascii="方正仿宋_GBK" w:hAnsi="方正仿宋_GBK" w:eastAsia="方正仿宋_GBK" w:cs="方正仿宋_GBK"/>
          <w:sz w:val="32"/>
          <w:szCs w:val="32"/>
          <w:shd w:val="clear" w:color="auto" w:fill="FFFFFF"/>
        </w:rPr>
        <w:tab/>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65.76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1.53</w:t>
      </w:r>
      <w:r>
        <w:rPr>
          <w:rFonts w:ascii="方正仿宋_GBK" w:hAnsi="方正仿宋_GBK" w:eastAsia="方正仿宋_GBK" w:cs="方正仿宋_GBK"/>
          <w:sz w:val="32"/>
          <w:szCs w:val="32"/>
          <w:shd w:val="clear" w:color="auto" w:fill="FFFFFF"/>
        </w:rPr>
        <w:t>%，较年初预算数增加65.76万元，增长100.00%，主要原因是增加存量安排</w:t>
      </w:r>
      <w:r>
        <w:rPr>
          <w:rFonts w:hint="default" w:ascii="方正仿宋_GBK" w:hAnsi="方正仿宋_GBK" w:eastAsia="方正仿宋_GBK" w:cs="方正仿宋_GBK"/>
          <w:sz w:val="32"/>
          <w:szCs w:val="32"/>
          <w:shd w:val="clear" w:color="auto" w:fill="FFFFFF"/>
        </w:rPr>
        <w:t>18</w:t>
      </w:r>
      <w:r>
        <w:rPr>
          <w:rFonts w:ascii="方正仿宋_GBK" w:hAnsi="方正仿宋_GBK" w:eastAsia="方正仿宋_GBK" w:cs="方正仿宋_GBK"/>
          <w:sz w:val="32"/>
          <w:szCs w:val="32"/>
          <w:shd w:val="clear" w:color="auto" w:fill="FFFFFF"/>
        </w:rPr>
        <w:t>年度退耕还林工程项目、生活垃圾分类项目等。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96.91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%，较年初预算数增加96.91万元，增长100.00%，主要原因是旧房整治他提升项目、道路养护等。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1490.00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34.63</w:t>
      </w:r>
      <w:r>
        <w:rPr>
          <w:rFonts w:ascii="方正仿宋_GBK" w:hAnsi="方正仿宋_GBK" w:eastAsia="方正仿宋_GBK" w:cs="方正仿宋_GBK"/>
          <w:sz w:val="32"/>
          <w:szCs w:val="32"/>
          <w:shd w:val="clear" w:color="auto" w:fill="FFFFFF"/>
        </w:rPr>
        <w:t>%，较年初预算数增加1396.10万元，增长1486.79%，主要原因是天保公益林护林员工资、水毁修复项目、“两岸青山、千里林带”等。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196.43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4.57</w:t>
      </w:r>
      <w:r>
        <w:rPr>
          <w:rFonts w:ascii="方正仿宋_GBK" w:hAnsi="方正仿宋_GBK" w:eastAsia="方正仿宋_GBK" w:cs="方正仿宋_GBK"/>
          <w:sz w:val="32"/>
          <w:szCs w:val="32"/>
          <w:shd w:val="clear" w:color="auto" w:fill="FFFFFF"/>
        </w:rPr>
        <w:t>%，较年初预算数增加64.76万元，增长49.18%，主要原因是合山洞撤并村改扩建公路项目等。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自然资源海洋气象等支出62.00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1.44</w:t>
      </w:r>
      <w:r>
        <w:rPr>
          <w:rFonts w:ascii="方正仿宋_GBK" w:hAnsi="方正仿宋_GBK" w:eastAsia="方正仿宋_GBK" w:cs="方正仿宋_GBK"/>
          <w:sz w:val="32"/>
          <w:szCs w:val="32"/>
          <w:shd w:val="clear" w:color="auto" w:fill="FFFFFF"/>
        </w:rPr>
        <w:t>%，较年初预算数增加62.00万元，增长100.00%，主要原因是林业有害生物防治项目。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住房保障支出21.48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%，较年初预算数减少42.95万元，下降66.66%，主要原因是清退以前年度超标准缴纳的公积金。</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灾害防治及应急管理支出21.08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%，较年初预算数增加21.08万元，增长100.00%，主要原因是自然灾害、及受灾人员重建倒损住房补助等。</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rPr>
        <w:t>其他支出0.00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%，较年初预算数减少24.99万元，下降100.00%，主要原因是</w:t>
      </w:r>
      <w:r>
        <w:rPr>
          <w:rFonts w:hint="eastAsia" w:ascii="方正仿宋_GBK" w:hAnsi="方正仿宋_GBK" w:eastAsia="方正仿宋_GBK" w:cs="方正仿宋_GBK"/>
          <w:color w:val="auto"/>
          <w:sz w:val="32"/>
          <w:szCs w:val="32"/>
          <w:shd w:val="clear" w:color="auto" w:fill="FFFFFF"/>
          <w:lang w:eastAsia="zh-CN"/>
        </w:rPr>
        <w:t>用到信访维稳和自然灾害应急支出等</w:t>
      </w:r>
      <w:r>
        <w:rPr>
          <w:rFonts w:ascii="方正仿宋_GBK" w:hAnsi="方正仿宋_GBK" w:eastAsia="方正仿宋_GBK" w:cs="方正仿宋_GBK"/>
          <w:color w:val="auto"/>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2037.11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1716.56</w:t>
      </w:r>
      <w:r>
        <w:rPr>
          <w:rFonts w:ascii="方正仿宋_GBK" w:hAnsi="方正仿宋_GBK" w:eastAsia="方正仿宋_GBK" w:cs="方正仿宋_GBK"/>
          <w:sz w:val="32"/>
          <w:szCs w:val="32"/>
          <w:shd w:val="clear" w:color="auto" w:fill="FFFFFF"/>
        </w:rPr>
        <w:t>万元，较上年决算数减少128.11万元，下降6.94%，主要原因是临聘人员纳入劳务派遣计入劳务费等。人员经费用途主要包括基本工资、津贴补贴、奖金、社会保障缴费、其他工资福利支出、对个人和家庭的补助等。公用经费</w:t>
      </w:r>
      <w:r>
        <w:rPr>
          <w:rFonts w:ascii="方正仿宋_GBK" w:hAnsi="方正仿宋_GBK" w:eastAsia="方正仿宋_GBK" w:cs="方正仿宋_GBK"/>
          <w:sz w:val="32"/>
          <w:szCs w:val="32"/>
        </w:rPr>
        <w:t>320.55</w:t>
      </w:r>
      <w:r>
        <w:rPr>
          <w:rFonts w:ascii="方正仿宋_GBK" w:hAnsi="方正仿宋_GBK" w:eastAsia="方正仿宋_GBK" w:cs="方正仿宋_GBK"/>
          <w:sz w:val="32"/>
          <w:szCs w:val="32"/>
          <w:shd w:val="clear" w:color="auto" w:fill="FFFFFF"/>
        </w:rPr>
        <w:t>万元，较上年决算数减少33.01万元，下降9.34%，主要原因是削减经费开支。公用经费用途主要包括办公费、水电费、邮电费等。</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17.53</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78.40</w:t>
      </w:r>
      <w:r>
        <w:rPr>
          <w:rFonts w:ascii="方正仿宋_GBK" w:hAnsi="方正仿宋_GBK" w:eastAsia="方正仿宋_GBK" w:cs="方正仿宋_GBK"/>
          <w:sz w:val="32"/>
          <w:szCs w:val="32"/>
          <w:shd w:val="clear" w:color="auto" w:fill="FFFFFF"/>
        </w:rPr>
        <w:t>万元，较上年决算数减少492.27万元，下降86.26%，主要原因是增加存量资金。本年支出</w:t>
      </w:r>
      <w:r>
        <w:rPr>
          <w:rFonts w:ascii="方正仿宋_GBK" w:hAnsi="方正仿宋_GBK" w:eastAsia="方正仿宋_GBK" w:cs="方正仿宋_GBK"/>
          <w:sz w:val="32"/>
          <w:szCs w:val="32"/>
        </w:rPr>
        <w:t>95.93</w:t>
      </w:r>
      <w:r>
        <w:rPr>
          <w:rFonts w:ascii="方正仿宋_GBK" w:hAnsi="方正仿宋_GBK" w:eastAsia="方正仿宋_GBK" w:cs="方正仿宋_GBK"/>
          <w:sz w:val="32"/>
          <w:szCs w:val="32"/>
          <w:shd w:val="clear" w:color="auto" w:fill="FFFFFF"/>
        </w:rPr>
        <w:t>万元，较上年决算数减少474.74万元，下降83.19%，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三峡移民后续项目、</w:t>
      </w:r>
      <w:r>
        <w:rPr>
          <w:rFonts w:hint="eastAsia" w:ascii="方正仿宋_GBK" w:hAnsi="方正仿宋_GBK" w:eastAsia="方正仿宋_GBK" w:cs="方正仿宋_GBK"/>
          <w:color w:val="auto"/>
          <w:sz w:val="32"/>
          <w:szCs w:val="32"/>
          <w:shd w:val="clear" w:color="auto" w:fill="FFFFFF"/>
          <w:lang w:val="en-US" w:eastAsia="zh-CN"/>
        </w:rPr>
        <w:t>移民后扶安宁河道整治项目</w:t>
      </w:r>
      <w:r>
        <w:rPr>
          <w:rFonts w:hint="eastAsia" w:ascii="方正仿宋_GBK" w:hAnsi="方正仿宋_GBK" w:eastAsia="方正仿宋_GBK" w:cs="方正仿宋_GBK"/>
          <w:color w:val="auto"/>
          <w:sz w:val="32"/>
          <w:szCs w:val="32"/>
          <w:shd w:val="clear" w:color="auto" w:fill="FFFFFF"/>
          <w:lang w:eastAsia="zh-CN"/>
        </w:rPr>
        <w:t>等经费在本年度减少</w:t>
      </w:r>
      <w:r>
        <w:rPr>
          <w:rFonts w:ascii="方正仿宋_GBK" w:hAnsi="方正仿宋_GBK" w:eastAsia="方正仿宋_GBK" w:cs="方正仿宋_GBK"/>
          <w:sz w:val="32"/>
          <w:szCs w:val="32"/>
          <w:shd w:val="clear" w:color="auto" w:fill="FFFFFF"/>
        </w:rPr>
        <w:t>。</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sz w:val="32"/>
          <w:szCs w:val="32"/>
          <w:highlight w:val="none"/>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23.86</w:t>
      </w:r>
      <w:r>
        <w:rPr>
          <w:rFonts w:ascii="方正仿宋_GBK" w:hAnsi="方正仿宋_GBK" w:eastAsia="方正仿宋_GBK" w:cs="方正仿宋_GBK"/>
          <w:sz w:val="32"/>
          <w:szCs w:val="32"/>
          <w:shd w:val="clear" w:color="auto" w:fill="FFFFFF"/>
        </w:rPr>
        <w:t>万元，较年初预算数增加0.56万元，增长2.40%，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招商引资等项目接待费用增多。</w:t>
      </w:r>
      <w:r>
        <w:rPr>
          <w:rFonts w:ascii="方正仿宋_GBK" w:hAnsi="方正仿宋_GBK" w:eastAsia="方正仿宋_GBK" w:cs="方正仿宋_GBK"/>
          <w:sz w:val="32"/>
          <w:szCs w:val="32"/>
          <w:shd w:val="clear" w:color="auto" w:fill="FFFFFF"/>
        </w:rPr>
        <w:t>较上年支出数减少0.79万元，下降3.20%，主要原因是厉行节约，严格控制三公经费支出。</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bookmarkStart w:id="0" w:name="_Hlk178100891"/>
      <w:r>
        <w:rPr>
          <w:rFonts w:ascii="方正仿宋_GBK" w:hAnsi="方正仿宋_GBK" w:eastAsia="方正仿宋_GBK" w:cs="方正仿宋_GBK"/>
          <w:color w:val="auto"/>
          <w:sz w:val="32"/>
          <w:szCs w:val="32"/>
          <w:highlight w:val="none"/>
          <w:shd w:val="clear" w:color="auto" w:fill="FFFFFF"/>
        </w:rPr>
        <w:t>2023年度本单位未发生因公出国（境）费用，与上年持平</w:t>
      </w:r>
      <w:bookmarkEnd w:id="0"/>
      <w:r>
        <w:rPr>
          <w:rFonts w:ascii="方正仿宋_GBK" w:hAnsi="方正仿宋_GBK" w:eastAsia="方正仿宋_GBK" w:cs="方正仿宋_GBK"/>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highlight w:val="none"/>
        </w:rPr>
      </w:pPr>
      <w:r>
        <w:rPr>
          <w:rFonts w:hint="default" w:ascii="方正仿宋_GBK" w:hAnsi="方正仿宋_GBK" w:eastAsia="方正仿宋_GBK" w:cs="方正仿宋_GBK"/>
          <w:color w:val="auto"/>
          <w:sz w:val="32"/>
          <w:szCs w:val="32"/>
          <w:highlight w:val="none"/>
          <w:shd w:val="clear" w:color="auto" w:fill="FFFFFF"/>
        </w:rPr>
        <w:t>2023年度本单位未发生</w:t>
      </w:r>
      <w:r>
        <w:rPr>
          <w:rFonts w:ascii="方正仿宋_GBK" w:hAnsi="方正仿宋_GBK" w:eastAsia="方正仿宋_GBK" w:cs="方正仿宋_GBK"/>
          <w:color w:val="auto"/>
          <w:sz w:val="32"/>
          <w:szCs w:val="32"/>
          <w:highlight w:val="none"/>
          <w:shd w:val="clear" w:color="auto" w:fill="FFFFFF"/>
        </w:rPr>
        <w:t>公务车购置费</w:t>
      </w:r>
      <w:r>
        <w:rPr>
          <w:rFonts w:hint="default" w:ascii="方正仿宋_GBK" w:hAnsi="方正仿宋_GBK" w:eastAsia="方正仿宋_GBK" w:cs="方正仿宋_GBK"/>
          <w:color w:val="auto"/>
          <w:sz w:val="32"/>
          <w:szCs w:val="32"/>
          <w:highlight w:val="none"/>
          <w:shd w:val="clear" w:color="auto" w:fill="FFFFFF"/>
        </w:rPr>
        <w:t>，与上年持平</w:t>
      </w:r>
      <w:r>
        <w:rPr>
          <w:rFonts w:ascii="方正仿宋_GBK" w:hAnsi="方正仿宋_GBK" w:eastAsia="方正仿宋_GBK" w:cs="方正仿宋_GBK"/>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15.90</w:t>
      </w:r>
      <w:r>
        <w:rPr>
          <w:rFonts w:ascii="方正仿宋_GBK" w:hAnsi="方正仿宋_GBK" w:eastAsia="方正仿宋_GBK" w:cs="方正仿宋_GBK"/>
          <w:sz w:val="32"/>
          <w:szCs w:val="32"/>
          <w:shd w:val="clear" w:color="auto" w:fill="FFFFFF"/>
        </w:rPr>
        <w:t>万元，主要用于因公出行、各项工作正常开展等所需的车辆燃料费、维修费、保险费等。费用支出较年初预算数减少0.10万元，下降0.63%，主要原因是严格控制车辆运行经费支出。较上年支出数增加0.29万元，增长1.86%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车辆使用年限增加，导致维修维护费用增加</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7.97</w:t>
      </w:r>
      <w:r>
        <w:rPr>
          <w:rFonts w:ascii="方正仿宋_GBK" w:hAnsi="方正仿宋_GBK" w:eastAsia="方正仿宋_GBK" w:cs="方正仿宋_GBK"/>
          <w:sz w:val="32"/>
          <w:szCs w:val="32"/>
          <w:shd w:val="clear" w:color="auto" w:fill="FFFFFF"/>
        </w:rPr>
        <w:t>万元，主要用于接待招商引资工作、接受相关部门检查项目、指导工作的接待开支。费用支出较年初预算数增加0.67万元，增长9.18%，主要原因是</w:t>
      </w:r>
      <w:r>
        <w:rPr>
          <w:rFonts w:hint="eastAsia" w:ascii="方正仿宋_GBK" w:hAnsi="方正仿宋_GBK" w:eastAsia="方正仿宋_GBK" w:cs="方正仿宋_GBK"/>
          <w:color w:val="auto"/>
          <w:sz w:val="32"/>
          <w:szCs w:val="32"/>
          <w:shd w:val="clear" w:color="auto" w:fill="FFFFFF"/>
          <w:lang w:eastAsia="zh-CN"/>
        </w:rPr>
        <w:t>招商引资等项目接待费用增加</w:t>
      </w:r>
      <w:r>
        <w:rPr>
          <w:rFonts w:ascii="方正仿宋_GBK" w:hAnsi="方正仿宋_GBK" w:eastAsia="方正仿宋_GBK" w:cs="方正仿宋_GBK"/>
          <w:sz w:val="32"/>
          <w:szCs w:val="32"/>
          <w:shd w:val="clear" w:color="auto" w:fill="FFFFFF"/>
        </w:rPr>
        <w:t>。较上年支出数减少1.07万元，下降11.84%，主要原因是强化公务接待支出管理，严格遵守公务接待开支范围和开支标准，严格控制陪餐人数。</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59.00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5.30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6.41</w:t>
      </w:r>
      <w:r>
        <w:rPr>
          <w:rFonts w:ascii="方正仿宋_GBK" w:hAnsi="方正仿宋_GBK" w:eastAsia="方正仿宋_GBK" w:cs="方正仿宋_GBK"/>
          <w:sz w:val="32"/>
          <w:szCs w:val="32"/>
          <w:shd w:val="clear" w:color="auto" w:fill="FFFFFF"/>
        </w:rPr>
        <w:t>万元，较上年决算数增加0.42万元，增长7.01%，主要原因是</w:t>
      </w:r>
      <w:r>
        <w:rPr>
          <w:rFonts w:hint="eastAsia" w:ascii="方正仿宋_GBK" w:hAnsi="方正仿宋_GBK" w:eastAsia="方正仿宋_GBK" w:cs="方正仿宋_GBK"/>
          <w:sz w:val="32"/>
          <w:szCs w:val="32"/>
          <w:shd w:val="clear" w:color="auto" w:fill="FFFFFF"/>
          <w:lang w:eastAsia="zh-CN"/>
        </w:rPr>
        <w:t>部分</w:t>
      </w:r>
      <w:r>
        <w:rPr>
          <w:rFonts w:hint="eastAsia" w:ascii="方正仿宋_GBK" w:hAnsi="方正仿宋_GBK" w:eastAsia="方正仿宋_GBK" w:cs="方正仿宋_GBK"/>
          <w:color w:val="auto"/>
          <w:sz w:val="32"/>
          <w:szCs w:val="32"/>
          <w:shd w:val="clear" w:color="auto" w:fill="FFFFFF"/>
          <w:lang w:eastAsia="zh-CN"/>
        </w:rPr>
        <w:t>培训会议费列入了会议费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1.53</w:t>
      </w:r>
      <w:r>
        <w:rPr>
          <w:rFonts w:ascii="方正仿宋_GBK" w:hAnsi="方正仿宋_GBK" w:eastAsia="方正仿宋_GBK" w:cs="方正仿宋_GBK"/>
          <w:sz w:val="32"/>
          <w:szCs w:val="32"/>
          <w:shd w:val="clear" w:color="auto" w:fill="FFFFFF"/>
        </w:rPr>
        <w:t>万元，较上年决算数减少1.32万元，下降46.32%，主要原因是严格控制不必要的培训经费支出。</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229.77</w:t>
      </w:r>
      <w:r>
        <w:rPr>
          <w:rFonts w:ascii="方正仿宋_GBK" w:hAnsi="方正仿宋_GBK" w:eastAsia="方正仿宋_GBK" w:cs="方正仿宋_GBK"/>
          <w:sz w:val="32"/>
          <w:szCs w:val="32"/>
          <w:shd w:val="clear" w:color="auto" w:fill="FFFFFF"/>
        </w:rPr>
        <w:t>万元，机关运行经费主要用于开支办公费、水电费、邮电费、印刷费、差旅费、公务用车运行维护费等。机关运行经费较上年支出数减少100.17万元，下降30.36%，主要原因是厉行节约、严格控制不必要的经费开支。</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ascii="方正仿宋_GBK" w:hAnsi="方正仿宋_GBK" w:eastAsia="方正仿宋_GBK" w:cs="方正仿宋_GBK"/>
          <w:sz w:val="32"/>
          <w:szCs w:val="32"/>
          <w:highlight w:val="none"/>
          <w:shd w:val="clear" w:color="auto" w:fill="FFFFFF"/>
        </w:rPr>
        <w:t>主要领导干部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ascii="方正仿宋_GBK" w:hAnsi="方正仿宋_GBK" w:eastAsia="方正仿宋_GBK" w:cs="方正仿宋_GBK"/>
          <w:sz w:val="32"/>
          <w:szCs w:val="32"/>
          <w:highlight w:val="none"/>
          <w:shd w:val="clear" w:color="auto" w:fill="FFFFFF"/>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根据预算绩效管理要求，我单位对部门整体和82个</w:t>
      </w:r>
      <w:r>
        <w:rPr>
          <w:rFonts w:hint="eastAsia" w:ascii="方正仿宋_GBK" w:hAnsi="方正仿宋_GBK" w:eastAsia="方正仿宋_GBK" w:cs="方正仿宋_GBK"/>
          <w:sz w:val="32"/>
          <w:szCs w:val="32"/>
          <w:highlight w:val="none"/>
          <w:shd w:val="clear" w:color="auto" w:fill="FFFFFF"/>
        </w:rPr>
        <w:t>项目</w:t>
      </w:r>
      <w:r>
        <w:rPr>
          <w:rFonts w:hint="eastAsia" w:ascii="方正仿宋_GBK" w:hAnsi="方正仿宋_GBK" w:eastAsia="方正仿宋_GBK" w:cs="方正仿宋_GBK"/>
          <w:sz w:val="32"/>
          <w:szCs w:val="32"/>
          <w:shd w:val="clear" w:color="auto" w:fill="FFFFFF"/>
        </w:rPr>
        <w:t>开展了绩效自评，涉及财政拨款项目支出资金3004.49万元。</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项目绩效自评表见附件。</w:t>
      </w:r>
    </w:p>
    <w:p>
      <w:pPr>
        <w:pStyle w:val="13"/>
        <w:keepNext w:val="0"/>
        <w:keepLines w:val="0"/>
        <w:pageBreakBefore w:val="0"/>
        <w:widowControl/>
        <w:numPr>
          <w:ilvl w:val="0"/>
          <w:numId w:val="2"/>
        </w:numPr>
        <w:kinsoku/>
        <w:wordWrap/>
        <w:overflowPunct/>
        <w:topLinePunct w:val="0"/>
        <w:autoSpaceDE w:val="0"/>
        <w:autoSpaceDN/>
        <w:bidi w:val="0"/>
        <w:adjustRightInd/>
        <w:spacing w:beforeAutospacing="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我单位未组织开展绩效评价。</w:t>
      </w:r>
    </w:p>
    <w:p>
      <w:pPr>
        <w:pStyle w:val="14"/>
        <w:keepNext w:val="0"/>
        <w:keepLines w:val="0"/>
        <w:pageBreakBefore w:val="0"/>
        <w:widowControl/>
        <w:kinsoku/>
        <w:wordWrap/>
        <w:overflowPunct/>
        <w:topLinePunct w:val="0"/>
        <w:autoSpaceDE w:val="0"/>
        <w:autoSpaceDN/>
        <w:bidi w:val="0"/>
        <w:adjustRightInd/>
        <w:spacing w:before="0" w:beforeAutospacing="0" w:after="0" w:afterAutospacing="0" w:line="594"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 xml:space="preserve">杨周利 </w:t>
      </w:r>
      <w:r>
        <w:rPr>
          <w:rFonts w:ascii="方正仿宋_GBK" w:hAnsi="方正仿宋_GBK" w:eastAsia="方正仿宋_GBK" w:cs="方正仿宋_GBK"/>
          <w:sz w:val="32"/>
          <w:szCs w:val="32"/>
          <w:shd w:val="clear" w:color="auto" w:fill="FFFFFF"/>
        </w:rPr>
        <w:t>“023-70632053”。</w:t>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230"/>
        <w:gridCol w:w="1224"/>
        <w:gridCol w:w="3030"/>
        <w:gridCol w:w="140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2"/>
                <w:szCs w:val="22"/>
              </w:rPr>
            </w:pPr>
            <w:r>
              <w:rPr>
                <w:rFonts w:cs="宋体"/>
                <w:sz w:val="20"/>
                <w:szCs w:val="20"/>
              </w:rPr>
              <w:t>公开单位：</w:t>
            </w:r>
            <w:r>
              <w:rPr>
                <w:sz w:val="20"/>
              </w:rPr>
              <w:t>重庆市丰都县双路镇人民政府(本级）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4,101.18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1,246.69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78.40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28.00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58.05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922.58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109.85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65.76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123.81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1,506.99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196.43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21.08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30.50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4,179.58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4,398.81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231.10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11.87</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4,410.67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40" w:lineRule="exact"/>
              <w:jc w:val="right"/>
              <w:textAlignment w:val="center"/>
              <w:rPr>
                <w:rFonts w:hint="default" w:cs="宋体"/>
                <w:color w:val="000000"/>
                <w:sz w:val="20"/>
                <w:szCs w:val="20"/>
              </w:rPr>
            </w:pPr>
            <w:r>
              <w:rPr>
                <w:rFonts w:cs="宋体"/>
                <w:color w:val="000000"/>
                <w:sz w:val="20"/>
                <w:szCs w:val="20"/>
              </w:rPr>
              <w:t>4,410.67</w:t>
            </w: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983"/>
        <w:gridCol w:w="1831"/>
        <w:gridCol w:w="712"/>
        <w:gridCol w:w="712"/>
        <w:gridCol w:w="712"/>
        <w:gridCol w:w="712"/>
        <w:gridCol w:w="788"/>
        <w:gridCol w:w="754"/>
        <w:gridCol w:w="830"/>
        <w:gridCol w:w="84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sz w:val="20"/>
              </w:rPr>
              <w:t>重庆市丰都县双路镇人民政府(本级）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4,179.58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4,179.58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1,246.69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1,246.69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1,231.15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1,231.15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261.84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261.84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779.64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779.64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201.02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201.02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109.85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109.85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退耕还林还草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其他退耕还林还草支出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96.91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96.91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96.91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96.91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1,485.65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1,485.65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461.08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461.08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农村供水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val="en-US" w:eastAsia="zh-CN"/>
              </w:rPr>
              <w:t>拓展</w:t>
            </w:r>
            <w:r>
              <w:rPr>
                <w:rFonts w:cs="宋体"/>
                <w:b/>
                <w:color w:val="000000"/>
                <w:sz w:val="20"/>
                <w:szCs w:val="20"/>
              </w:rPr>
              <w:t>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val="en-US" w:eastAsia="zh-CN"/>
              </w:rPr>
              <w:t>拓展</w:t>
            </w:r>
            <w:r>
              <w:rPr>
                <w:rFonts w:cs="宋体"/>
                <w:color w:val="000000"/>
                <w:sz w:val="20"/>
                <w:szCs w:val="20"/>
              </w:rPr>
              <w:t>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502"/>
        <w:gridCol w:w="3693"/>
        <w:gridCol w:w="769"/>
        <w:gridCol w:w="769"/>
        <w:gridCol w:w="769"/>
        <w:gridCol w:w="214"/>
        <w:gridCol w:w="214"/>
        <w:gridCol w:w="94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重庆市丰都县双路镇人民政府(本级）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4,398.81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2,037.11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2,361.70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1,246.69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942.90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303.80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1,231.15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942.90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288.26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927.59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261.84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246.96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0.04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922.58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494.34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428.23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68.65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68.65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343.42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341.11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343.42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341.11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389.97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132.27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108.26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149.16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59.16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59.16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33.40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109.85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29.99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25.53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退耕还林还草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58.76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其他退耕还林还草支出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58.76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123.81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95.18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28.63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96.91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95.18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96.91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95.18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1.73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26.90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24.90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1,506.99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1,156.68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465.43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115.13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11.06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89.60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89.60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10.47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183.75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142.54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308.30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12.90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农村供水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288.09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val="en-US" w:eastAsia="zh-CN"/>
              </w:rPr>
              <w:t>拓展</w:t>
            </w:r>
            <w:r>
              <w:rPr>
                <w:rFonts w:cs="宋体"/>
                <w:b/>
                <w:color w:val="000000"/>
                <w:sz w:val="20"/>
                <w:szCs w:val="20"/>
              </w:rPr>
              <w:t>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423.75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347.94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7.53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val="en-US" w:eastAsia="zh-CN"/>
              </w:rPr>
              <w:t>拓展</w:t>
            </w:r>
            <w:r>
              <w:rPr>
                <w:rFonts w:cs="宋体"/>
                <w:color w:val="000000"/>
                <w:sz w:val="20"/>
                <w:szCs w:val="20"/>
              </w:rPr>
              <w:t>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18.28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108.76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102.76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16.99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16.99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16.99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16.99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196.43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196.43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130.60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130.60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30.60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30.60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65.83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65.83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65.83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62.00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62.00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21.48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21.08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4.58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0.58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8.00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b/>
                <w:color w:val="000000"/>
                <w:sz w:val="20"/>
                <w:szCs w:val="20"/>
              </w:rPr>
              <w:t>30.50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10.50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02"/>
        <w:gridCol w:w="737"/>
        <w:gridCol w:w="2680"/>
        <w:gridCol w:w="737"/>
        <w:gridCol w:w="737"/>
        <w:gridCol w:w="472"/>
        <w:gridCol w:w="101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重庆市丰都县双路镇人民政府(本级）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4,101.18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1,246.69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1,246.69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78.40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28.00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28.00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58.05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58.05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922.58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901.04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21.54</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109.85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109.85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65.76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65.76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123.81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96.91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26.90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1,506.99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1,490.00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16.99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196.43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196.43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30.50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4,179.58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4,398.81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4,302.88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95.93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219.80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202.27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17.53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4,399.37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4,399.37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4,303.44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95.93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30"/>
        <w:gridCol w:w="4030"/>
        <w:gridCol w:w="1267"/>
        <w:gridCol w:w="1420"/>
        <w:gridCol w:w="1429"/>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4,302.88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2,037.11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2,265.76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1,246.69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942.90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303.80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10.78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1,231.15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942.90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288.26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927.59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927.59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28.73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12.57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261.84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246.96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0.04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0.04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5.60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28.00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53.05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53.05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53.05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53.05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901.04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494.34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406.69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68.65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68.65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68.65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68.65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343.42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341.11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343.42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341.11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389.97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389.97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132.27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132.27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108.26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108.26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149.16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149.16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59.16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59.16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59.16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59.16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3.93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3.93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33.40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33.40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109.85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79.86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29.99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9.99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9.99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79.86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79.86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25.53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退耕还林还草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58.76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其他退耕还林还草支出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58.76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58.76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96.91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95.18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1.73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96.91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95.18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1.73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96.91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95.18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1.73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1,490.00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1,139.70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465.43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115.13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350.30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11.06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11.06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89.60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89.60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10.47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10.47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183.75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183.75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142.54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142.54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3.31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308.30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308.30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12.90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农村供水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7.31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288.09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288.09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巩固</w:t>
            </w:r>
            <w:r>
              <w:rPr>
                <w:rFonts w:hint="eastAsia" w:cs="宋体"/>
                <w:b/>
                <w:color w:val="000000"/>
                <w:sz w:val="20"/>
                <w:szCs w:val="20"/>
                <w:lang w:val="en-US" w:eastAsia="zh-CN"/>
              </w:rPr>
              <w:t>拓展</w:t>
            </w:r>
            <w:r>
              <w:rPr>
                <w:rFonts w:cs="宋体"/>
                <w:b/>
                <w:color w:val="000000"/>
                <w:sz w:val="20"/>
                <w:szCs w:val="20"/>
              </w:rPr>
              <w:t>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423.75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423.75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347.94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347.94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7.53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其他巩固</w:t>
            </w:r>
            <w:r>
              <w:rPr>
                <w:rFonts w:hint="eastAsia" w:cs="宋体"/>
                <w:color w:val="000000"/>
                <w:sz w:val="20"/>
                <w:szCs w:val="20"/>
                <w:lang w:val="en-US" w:eastAsia="zh-CN"/>
              </w:rPr>
              <w:t>拓展</w:t>
            </w:r>
            <w:r>
              <w:rPr>
                <w:rFonts w:cs="宋体"/>
                <w:color w:val="000000"/>
                <w:sz w:val="20"/>
                <w:szCs w:val="20"/>
              </w:rPr>
              <w:t>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18.28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108.76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108.76</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102.76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102.76</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196.43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196.43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130.60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130.60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30.60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30.60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65.83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65.83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65.83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65.83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62.00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62.00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21.48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3.50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4.58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0.58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8.00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8.00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349"/>
        <w:gridCol w:w="1581"/>
        <w:gridCol w:w="794"/>
        <w:gridCol w:w="482"/>
        <w:gridCol w:w="1110"/>
        <w:gridCol w:w="956"/>
        <w:gridCol w:w="467"/>
        <w:gridCol w:w="2036"/>
        <w:gridCol w:w="1090"/>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重庆市丰都县双路镇人民政府(本级）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1,460.06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320.55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318.73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62.89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174.78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0.94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223.62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322.51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138.29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6.67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111.47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39.02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62.35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15.92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51.90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79.59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12.80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256.50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1.76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4.33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50.06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188.78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33.75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60.00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10.97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13.10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34.50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9.10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bottom"/>
              <w:rPr>
                <w:rFonts w:hint="default" w:cs="宋体"/>
                <w:color w:val="000000"/>
                <w:sz w:val="18"/>
                <w:szCs w:val="18"/>
              </w:rPr>
            </w:pPr>
            <w:r>
              <w:rPr>
                <w:rFonts w:cs="宋体"/>
                <w:color w:val="000000"/>
                <w:sz w:val="18"/>
                <w:szCs w:val="18"/>
              </w:rPr>
              <w:t>1,716.56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200" w:lineRule="exact"/>
              <w:jc w:val="right"/>
              <w:textAlignment w:val="center"/>
              <w:rPr>
                <w:rFonts w:hint="default" w:cs="宋体"/>
                <w:color w:val="000000"/>
                <w:sz w:val="18"/>
                <w:szCs w:val="18"/>
              </w:rPr>
            </w:pPr>
            <w:r>
              <w:rPr>
                <w:rFonts w:cs="宋体"/>
                <w:color w:val="000000"/>
                <w:sz w:val="18"/>
                <w:szCs w:val="18"/>
              </w:rPr>
              <w:t>320.55</w:t>
            </w:r>
            <w:r>
              <w:rPr>
                <w:color w:val="000000"/>
                <w:sz w:val="18"/>
              </w:rPr>
              <w:t xml:space="preserve"> </w:t>
            </w:r>
          </w:p>
        </w:tc>
      </w:tr>
    </w:tbl>
    <w:p>
      <w:pPr>
        <w:keepNext w:val="0"/>
        <w:keepLines w:val="0"/>
        <w:pageBreakBefore w:val="0"/>
        <w:widowControl/>
        <w:kinsoku/>
        <w:overflowPunct/>
        <w:topLinePunct w:val="0"/>
        <w:autoSpaceDN/>
        <w:bidi w:val="0"/>
        <w:adjustRightInd/>
        <w:spacing w:beforeAutospacing="0" w:afterAutospacing="0"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767"/>
        <w:gridCol w:w="3630"/>
        <w:gridCol w:w="682"/>
        <w:gridCol w:w="682"/>
        <w:gridCol w:w="682"/>
        <w:gridCol w:w="682"/>
        <w:gridCol w:w="720"/>
        <w:gridCol w:w="103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17.53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78.40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95.93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bCs/>
                <w:color w:val="000000"/>
                <w:sz w:val="20"/>
                <w:szCs w:val="20"/>
              </w:rPr>
              <w:t>95.93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0.54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21.54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0.54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21.54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21.54</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26.90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24.90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24.90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24.90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16.99</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16.99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16.99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16.99</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b/>
                <w:color w:val="000000"/>
                <w:sz w:val="20"/>
                <w:szCs w:val="20"/>
              </w:rPr>
              <w:t>30.50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10.50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86"/>
        <w:gridCol w:w="1766"/>
        <w:gridCol w:w="1891"/>
        <w:gridCol w:w="115"/>
        <w:gridCol w:w="2006"/>
        <w:gridCol w:w="44"/>
        <w:gridCol w:w="196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jc w:val="center"/>
              <w:textAlignment w:val="bottom"/>
              <w:rPr>
                <w:rFonts w:hint="default" w:cs="宋体"/>
                <w:b/>
                <w:color w:val="000000"/>
                <w:sz w:val="20"/>
                <w:szCs w:val="20"/>
              </w:rPr>
            </w:pPr>
            <w:r>
              <w:rPr>
                <w:rFonts w:cs="宋体"/>
                <w:b/>
                <w:color w:val="000000"/>
                <w:sz w:val="20"/>
                <w:szCs w:val="20"/>
              </w:rPr>
              <w:t>本年支出</w:t>
            </w:r>
          </w:p>
        </w:tc>
      </w:tr>
      <w:tr>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jc w:val="right"/>
              <w:textAlignment w:val="center"/>
              <w:rPr>
                <w:rFonts w:hint="default" w:cs="宋体"/>
                <w:b/>
                <w:color w:val="000000"/>
                <w:sz w:val="20"/>
                <w:szCs w:val="20"/>
              </w:rPr>
            </w:pPr>
            <w:r>
              <w:rPr>
                <w:b/>
                <w:color w:val="000000"/>
                <w:sz w:val="20"/>
              </w:rPr>
              <w:t xml:space="preserve"> </w:t>
            </w:r>
          </w:p>
        </w:tc>
      </w:tr>
    </w:tbl>
    <w:p>
      <w:pPr>
        <w:keepNext w:val="0"/>
        <w:keepLines w:val="0"/>
        <w:pageBreakBefore w:val="0"/>
        <w:widowControl/>
        <w:kinsoku/>
        <w:overflowPunct/>
        <w:topLinePunct w:val="0"/>
        <w:autoSpaceDN/>
        <w:bidi w:val="0"/>
        <w:adjustRightInd/>
        <w:spacing w:beforeAutospacing="0" w:afterAutospacing="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2332"/>
        <w:gridCol w:w="1251"/>
        <w:gridCol w:w="1220"/>
        <w:gridCol w:w="2612"/>
        <w:gridCol w:w="1243"/>
      </w:tblGrid>
      <w:tr>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重庆市丰都县双路镇人民政府(本级）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229.77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23.86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23.86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229.77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15.90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7.97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7.97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7.97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1,350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6.41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textAlignment w:val="bottom"/>
              <w:rPr>
                <w:rFonts w:hint="default" w:cs="宋体"/>
                <w:color w:val="000000"/>
                <w:sz w:val="16"/>
                <w:szCs w:val="16"/>
              </w:rPr>
            </w:pPr>
            <w:r>
              <w:rPr>
                <w:rFonts w:cs="宋体"/>
                <w:color w:val="000000"/>
                <w:sz w:val="16"/>
                <w:szCs w:val="16"/>
              </w:rPr>
              <w:t>1.53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200" w:lineRule="exact"/>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rPr>
          <w:rFonts w:hint="default" w:cs="宋体"/>
          <w:sz w:val="20"/>
          <w:szCs w:val="20"/>
        </w:rPr>
      </w:pPr>
    </w:p>
    <w:sectPr>
      <w:headerReference r:id="rId3" w:type="default"/>
      <w:footerReference r:id="rId4" w:type="default"/>
      <w:pgSz w:w="11907" w:h="16839"/>
      <w:pgMar w:top="2098" w:right="1474" w:bottom="1984" w:left="1587" w:header="0" w:footer="283"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27F12"/>
    <w:multiLevelType w:val="singleLevel"/>
    <w:tmpl w:val="80F27F12"/>
    <w:lvl w:ilvl="0" w:tentative="0">
      <w:start w:val="2"/>
      <w:numFmt w:val="chineseCounting"/>
      <w:suff w:val="nothing"/>
      <w:lvlText w:val="（%1）"/>
      <w:lvlJc w:val="left"/>
      <w:rPr>
        <w:rFonts w:hint="eastAsia"/>
      </w:rPr>
    </w:lvl>
  </w:abstractNum>
  <w:abstractNum w:abstractNumId="1">
    <w:nsid w:val="5BF02733"/>
    <w:multiLevelType w:val="singleLevel"/>
    <w:tmpl w:val="5BF027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ODRkMTJjODFmZTE0ZDNmMjJkNTA3ZTQ1ZmU4NGYifQ=="/>
  </w:docVars>
  <w:rsids>
    <w:rsidRoot w:val="00B03CCD"/>
    <w:rsid w:val="000B72FE"/>
    <w:rsid w:val="00150096"/>
    <w:rsid w:val="001D3BB7"/>
    <w:rsid w:val="002462D7"/>
    <w:rsid w:val="002B254B"/>
    <w:rsid w:val="00390131"/>
    <w:rsid w:val="00466C9B"/>
    <w:rsid w:val="00550ABE"/>
    <w:rsid w:val="0071176F"/>
    <w:rsid w:val="00770383"/>
    <w:rsid w:val="007819D4"/>
    <w:rsid w:val="007A1419"/>
    <w:rsid w:val="007B419D"/>
    <w:rsid w:val="007B7C4B"/>
    <w:rsid w:val="007D3D39"/>
    <w:rsid w:val="00994AF7"/>
    <w:rsid w:val="009B67B8"/>
    <w:rsid w:val="009D2B67"/>
    <w:rsid w:val="009F394B"/>
    <w:rsid w:val="00A566F9"/>
    <w:rsid w:val="00AC7912"/>
    <w:rsid w:val="00AE2A79"/>
    <w:rsid w:val="00AF2751"/>
    <w:rsid w:val="00B03CCD"/>
    <w:rsid w:val="00BE2B89"/>
    <w:rsid w:val="00C10E9E"/>
    <w:rsid w:val="00C20C3E"/>
    <w:rsid w:val="00CD56B8"/>
    <w:rsid w:val="00F73F90"/>
    <w:rsid w:val="00FA0395"/>
    <w:rsid w:val="01474EBF"/>
    <w:rsid w:val="01B85476"/>
    <w:rsid w:val="01EC7D6B"/>
    <w:rsid w:val="01F3521E"/>
    <w:rsid w:val="03446D0F"/>
    <w:rsid w:val="03B87EA0"/>
    <w:rsid w:val="03E3214F"/>
    <w:rsid w:val="03FC69E0"/>
    <w:rsid w:val="042821A9"/>
    <w:rsid w:val="044C50BA"/>
    <w:rsid w:val="05BC6D49"/>
    <w:rsid w:val="06194FF1"/>
    <w:rsid w:val="063D2ADD"/>
    <w:rsid w:val="06A2550B"/>
    <w:rsid w:val="06AD24F4"/>
    <w:rsid w:val="06F80EE2"/>
    <w:rsid w:val="07001CCA"/>
    <w:rsid w:val="075678DB"/>
    <w:rsid w:val="079D7CC7"/>
    <w:rsid w:val="07CF230C"/>
    <w:rsid w:val="08051BCA"/>
    <w:rsid w:val="08293E04"/>
    <w:rsid w:val="086C12F4"/>
    <w:rsid w:val="08705944"/>
    <w:rsid w:val="087B013A"/>
    <w:rsid w:val="08BA052C"/>
    <w:rsid w:val="08DB07BA"/>
    <w:rsid w:val="09090501"/>
    <w:rsid w:val="092429CF"/>
    <w:rsid w:val="092D75B7"/>
    <w:rsid w:val="0969353F"/>
    <w:rsid w:val="098305D0"/>
    <w:rsid w:val="09ED2366"/>
    <w:rsid w:val="0A3317EA"/>
    <w:rsid w:val="0A5C4B69"/>
    <w:rsid w:val="0A5C7D4D"/>
    <w:rsid w:val="0A86124A"/>
    <w:rsid w:val="0AB54CC0"/>
    <w:rsid w:val="0B8F4C35"/>
    <w:rsid w:val="0B9335CE"/>
    <w:rsid w:val="0BF2311A"/>
    <w:rsid w:val="0C7927C4"/>
    <w:rsid w:val="0C943AF4"/>
    <w:rsid w:val="0C9A52BD"/>
    <w:rsid w:val="0C9B098C"/>
    <w:rsid w:val="0CFC382E"/>
    <w:rsid w:val="0D673E11"/>
    <w:rsid w:val="0DDA54E4"/>
    <w:rsid w:val="0E215183"/>
    <w:rsid w:val="0E3A5F83"/>
    <w:rsid w:val="0E717C31"/>
    <w:rsid w:val="0ED05E67"/>
    <w:rsid w:val="0EF46058"/>
    <w:rsid w:val="0F2C4C8A"/>
    <w:rsid w:val="0F322680"/>
    <w:rsid w:val="0F564F9F"/>
    <w:rsid w:val="0F836721"/>
    <w:rsid w:val="0FA25D96"/>
    <w:rsid w:val="0FB42C57"/>
    <w:rsid w:val="0FDE2DBE"/>
    <w:rsid w:val="106D7825"/>
    <w:rsid w:val="107B59E5"/>
    <w:rsid w:val="10B1549C"/>
    <w:rsid w:val="10EC0126"/>
    <w:rsid w:val="10F166DE"/>
    <w:rsid w:val="10F70B9A"/>
    <w:rsid w:val="111445C7"/>
    <w:rsid w:val="11161093"/>
    <w:rsid w:val="114278C6"/>
    <w:rsid w:val="1158083A"/>
    <w:rsid w:val="11643A4B"/>
    <w:rsid w:val="11C502C0"/>
    <w:rsid w:val="11DD014C"/>
    <w:rsid w:val="11ED0F98"/>
    <w:rsid w:val="11F03528"/>
    <w:rsid w:val="12C921C4"/>
    <w:rsid w:val="13871C70"/>
    <w:rsid w:val="13A71CB4"/>
    <w:rsid w:val="13AF1D43"/>
    <w:rsid w:val="13CE1647"/>
    <w:rsid w:val="13FD55AB"/>
    <w:rsid w:val="14200702"/>
    <w:rsid w:val="14AF6D51"/>
    <w:rsid w:val="15EA51B2"/>
    <w:rsid w:val="163A6CEE"/>
    <w:rsid w:val="170128FC"/>
    <w:rsid w:val="173708E3"/>
    <w:rsid w:val="17633C6F"/>
    <w:rsid w:val="17C374FC"/>
    <w:rsid w:val="182579A2"/>
    <w:rsid w:val="182E4AB6"/>
    <w:rsid w:val="189079DC"/>
    <w:rsid w:val="189B0D0B"/>
    <w:rsid w:val="18B43F7C"/>
    <w:rsid w:val="194A1770"/>
    <w:rsid w:val="19B906A4"/>
    <w:rsid w:val="19CB4BE7"/>
    <w:rsid w:val="1A5137D8"/>
    <w:rsid w:val="1A8A7B48"/>
    <w:rsid w:val="1B3374DC"/>
    <w:rsid w:val="1B6F15B6"/>
    <w:rsid w:val="1BAA2EDC"/>
    <w:rsid w:val="1C68423D"/>
    <w:rsid w:val="1C961170"/>
    <w:rsid w:val="1CA55E64"/>
    <w:rsid w:val="1CE747B9"/>
    <w:rsid w:val="1D014A01"/>
    <w:rsid w:val="1D022362"/>
    <w:rsid w:val="1D1B04B0"/>
    <w:rsid w:val="1D5D0573"/>
    <w:rsid w:val="1DA52501"/>
    <w:rsid w:val="1DBD6767"/>
    <w:rsid w:val="1DC52125"/>
    <w:rsid w:val="1DD26311"/>
    <w:rsid w:val="1DE75F4B"/>
    <w:rsid w:val="1E127B53"/>
    <w:rsid w:val="1E374ACB"/>
    <w:rsid w:val="1ECF0A66"/>
    <w:rsid w:val="1EF67CA4"/>
    <w:rsid w:val="1F020D3A"/>
    <w:rsid w:val="1F2C5189"/>
    <w:rsid w:val="1F4B0B02"/>
    <w:rsid w:val="1F563FA2"/>
    <w:rsid w:val="1FBB35CD"/>
    <w:rsid w:val="1FCD26AF"/>
    <w:rsid w:val="20375CAC"/>
    <w:rsid w:val="20642787"/>
    <w:rsid w:val="20E61A90"/>
    <w:rsid w:val="20F070D4"/>
    <w:rsid w:val="211A4476"/>
    <w:rsid w:val="21556F04"/>
    <w:rsid w:val="2187030E"/>
    <w:rsid w:val="21A2739E"/>
    <w:rsid w:val="22403BD3"/>
    <w:rsid w:val="231479B1"/>
    <w:rsid w:val="239C7906"/>
    <w:rsid w:val="24B92327"/>
    <w:rsid w:val="24C14514"/>
    <w:rsid w:val="24CA0700"/>
    <w:rsid w:val="2533755C"/>
    <w:rsid w:val="25791755"/>
    <w:rsid w:val="261D7967"/>
    <w:rsid w:val="26396DF4"/>
    <w:rsid w:val="27111F09"/>
    <w:rsid w:val="27167136"/>
    <w:rsid w:val="271B442C"/>
    <w:rsid w:val="27B23302"/>
    <w:rsid w:val="28A56775"/>
    <w:rsid w:val="28D64EFA"/>
    <w:rsid w:val="29310A5F"/>
    <w:rsid w:val="298E0E4D"/>
    <w:rsid w:val="29B3751A"/>
    <w:rsid w:val="29C37A35"/>
    <w:rsid w:val="29D0449A"/>
    <w:rsid w:val="2A076083"/>
    <w:rsid w:val="2A73162E"/>
    <w:rsid w:val="2ADB2E7F"/>
    <w:rsid w:val="2B167953"/>
    <w:rsid w:val="2B200583"/>
    <w:rsid w:val="2B53635C"/>
    <w:rsid w:val="2B8209DE"/>
    <w:rsid w:val="2C636760"/>
    <w:rsid w:val="2C6762A3"/>
    <w:rsid w:val="2D8739A7"/>
    <w:rsid w:val="2E896538"/>
    <w:rsid w:val="2EB24BA7"/>
    <w:rsid w:val="2F3D5A98"/>
    <w:rsid w:val="2F457035"/>
    <w:rsid w:val="2FBB15ED"/>
    <w:rsid w:val="2FCA4B37"/>
    <w:rsid w:val="2FE029D7"/>
    <w:rsid w:val="2FE819D7"/>
    <w:rsid w:val="2FF06E00"/>
    <w:rsid w:val="3002756D"/>
    <w:rsid w:val="30586FEC"/>
    <w:rsid w:val="30D26F4D"/>
    <w:rsid w:val="30ED51BD"/>
    <w:rsid w:val="315F0B22"/>
    <w:rsid w:val="31D84415"/>
    <w:rsid w:val="31EF38EE"/>
    <w:rsid w:val="32285F6F"/>
    <w:rsid w:val="3258752E"/>
    <w:rsid w:val="32770556"/>
    <w:rsid w:val="329C0913"/>
    <w:rsid w:val="32AA0460"/>
    <w:rsid w:val="3337290D"/>
    <w:rsid w:val="33BF6638"/>
    <w:rsid w:val="33E31118"/>
    <w:rsid w:val="33EF7674"/>
    <w:rsid w:val="342D7BC6"/>
    <w:rsid w:val="3460266C"/>
    <w:rsid w:val="351C0AD5"/>
    <w:rsid w:val="352930DB"/>
    <w:rsid w:val="35573069"/>
    <w:rsid w:val="355F6038"/>
    <w:rsid w:val="358A16DB"/>
    <w:rsid w:val="358C217E"/>
    <w:rsid w:val="35FA0372"/>
    <w:rsid w:val="367B6046"/>
    <w:rsid w:val="368C018A"/>
    <w:rsid w:val="36C9128A"/>
    <w:rsid w:val="371C211E"/>
    <w:rsid w:val="373C12C6"/>
    <w:rsid w:val="3777484E"/>
    <w:rsid w:val="37841E99"/>
    <w:rsid w:val="37BF1123"/>
    <w:rsid w:val="37E92796"/>
    <w:rsid w:val="383C3F15"/>
    <w:rsid w:val="38446CD2"/>
    <w:rsid w:val="38BE4696"/>
    <w:rsid w:val="3939115E"/>
    <w:rsid w:val="39AB2FC2"/>
    <w:rsid w:val="39B82A39"/>
    <w:rsid w:val="39C42CA8"/>
    <w:rsid w:val="39DC4FD6"/>
    <w:rsid w:val="39F03D7A"/>
    <w:rsid w:val="39F33306"/>
    <w:rsid w:val="3A2C1C67"/>
    <w:rsid w:val="3ADD7F09"/>
    <w:rsid w:val="3B1705E5"/>
    <w:rsid w:val="3B18334B"/>
    <w:rsid w:val="3B36794F"/>
    <w:rsid w:val="3B6F6EE0"/>
    <w:rsid w:val="3C0109AB"/>
    <w:rsid w:val="3C566AD6"/>
    <w:rsid w:val="3C594871"/>
    <w:rsid w:val="3C66290F"/>
    <w:rsid w:val="3C6A5B02"/>
    <w:rsid w:val="3D2757A1"/>
    <w:rsid w:val="3D3D4FC4"/>
    <w:rsid w:val="3D715678"/>
    <w:rsid w:val="3DBA4EC4"/>
    <w:rsid w:val="3DDA3010"/>
    <w:rsid w:val="3DDF3AB1"/>
    <w:rsid w:val="3E1D0952"/>
    <w:rsid w:val="3E42660A"/>
    <w:rsid w:val="3E7555B1"/>
    <w:rsid w:val="3E787ED9"/>
    <w:rsid w:val="3F032E93"/>
    <w:rsid w:val="3F0527E5"/>
    <w:rsid w:val="3F694D83"/>
    <w:rsid w:val="3F885DCC"/>
    <w:rsid w:val="3FCC21CB"/>
    <w:rsid w:val="3FCD675E"/>
    <w:rsid w:val="4004000C"/>
    <w:rsid w:val="403D09C0"/>
    <w:rsid w:val="40BD5482"/>
    <w:rsid w:val="40E600AF"/>
    <w:rsid w:val="41013BCB"/>
    <w:rsid w:val="411B6CE5"/>
    <w:rsid w:val="412070D7"/>
    <w:rsid w:val="41314E40"/>
    <w:rsid w:val="41E0734B"/>
    <w:rsid w:val="41E81BA6"/>
    <w:rsid w:val="421667F7"/>
    <w:rsid w:val="426C1EA8"/>
    <w:rsid w:val="42736402"/>
    <w:rsid w:val="42C478EB"/>
    <w:rsid w:val="42E86A87"/>
    <w:rsid w:val="42F90319"/>
    <w:rsid w:val="43181480"/>
    <w:rsid w:val="4328787F"/>
    <w:rsid w:val="43307B09"/>
    <w:rsid w:val="439A3EB9"/>
    <w:rsid w:val="43BB152F"/>
    <w:rsid w:val="44B60A07"/>
    <w:rsid w:val="44C37687"/>
    <w:rsid w:val="44DE19E8"/>
    <w:rsid w:val="456C4371"/>
    <w:rsid w:val="45CB699A"/>
    <w:rsid w:val="465B470D"/>
    <w:rsid w:val="469D6AD4"/>
    <w:rsid w:val="471E6C84"/>
    <w:rsid w:val="4748792B"/>
    <w:rsid w:val="475A5ED6"/>
    <w:rsid w:val="475D719D"/>
    <w:rsid w:val="47674801"/>
    <w:rsid w:val="47746669"/>
    <w:rsid w:val="478458A3"/>
    <w:rsid w:val="47A754F3"/>
    <w:rsid w:val="47D66B18"/>
    <w:rsid w:val="47E3434D"/>
    <w:rsid w:val="48225EF7"/>
    <w:rsid w:val="4844564A"/>
    <w:rsid w:val="48765386"/>
    <w:rsid w:val="488F422B"/>
    <w:rsid w:val="48A1621A"/>
    <w:rsid w:val="48E36915"/>
    <w:rsid w:val="48EB6572"/>
    <w:rsid w:val="495C4A24"/>
    <w:rsid w:val="497135DF"/>
    <w:rsid w:val="4A263DF2"/>
    <w:rsid w:val="4A3452C9"/>
    <w:rsid w:val="4A40591A"/>
    <w:rsid w:val="4A6F6675"/>
    <w:rsid w:val="4AAA1C5E"/>
    <w:rsid w:val="4B0D4639"/>
    <w:rsid w:val="4B135857"/>
    <w:rsid w:val="4B441DF4"/>
    <w:rsid w:val="4B7951CB"/>
    <w:rsid w:val="4B7C315C"/>
    <w:rsid w:val="4C1A339E"/>
    <w:rsid w:val="4DAC4ACA"/>
    <w:rsid w:val="4DBE01D2"/>
    <w:rsid w:val="4E5A343E"/>
    <w:rsid w:val="4F0C6BA3"/>
    <w:rsid w:val="4F186D58"/>
    <w:rsid w:val="4F8B6063"/>
    <w:rsid w:val="5042579B"/>
    <w:rsid w:val="507A270C"/>
    <w:rsid w:val="50B2258E"/>
    <w:rsid w:val="50F06B6E"/>
    <w:rsid w:val="50F13F3A"/>
    <w:rsid w:val="515556FE"/>
    <w:rsid w:val="51D21804"/>
    <w:rsid w:val="51EE22CE"/>
    <w:rsid w:val="52234D33"/>
    <w:rsid w:val="522F6E0C"/>
    <w:rsid w:val="52463BA1"/>
    <w:rsid w:val="52F163D4"/>
    <w:rsid w:val="531A2DB4"/>
    <w:rsid w:val="532E7331"/>
    <w:rsid w:val="53327246"/>
    <w:rsid w:val="536D54C2"/>
    <w:rsid w:val="53C0244D"/>
    <w:rsid w:val="53DD4D4E"/>
    <w:rsid w:val="53E578CE"/>
    <w:rsid w:val="541330F0"/>
    <w:rsid w:val="54272666"/>
    <w:rsid w:val="543B029D"/>
    <w:rsid w:val="54861779"/>
    <w:rsid w:val="54A95260"/>
    <w:rsid w:val="552256E1"/>
    <w:rsid w:val="5526293F"/>
    <w:rsid w:val="554E5773"/>
    <w:rsid w:val="555829E0"/>
    <w:rsid w:val="555A3CBC"/>
    <w:rsid w:val="5582012B"/>
    <w:rsid w:val="558E4E05"/>
    <w:rsid w:val="55BE2E85"/>
    <w:rsid w:val="56530F5D"/>
    <w:rsid w:val="5672526F"/>
    <w:rsid w:val="567700D3"/>
    <w:rsid w:val="569062B2"/>
    <w:rsid w:val="56FF7E9E"/>
    <w:rsid w:val="57560907"/>
    <w:rsid w:val="57774FE3"/>
    <w:rsid w:val="578867FC"/>
    <w:rsid w:val="5842572D"/>
    <w:rsid w:val="5A3B59D6"/>
    <w:rsid w:val="5AD134D8"/>
    <w:rsid w:val="5C263CE4"/>
    <w:rsid w:val="5C2A3E0A"/>
    <w:rsid w:val="5C452CA2"/>
    <w:rsid w:val="5C5D2777"/>
    <w:rsid w:val="5CB56E05"/>
    <w:rsid w:val="5CBF7ECD"/>
    <w:rsid w:val="5CF66BF3"/>
    <w:rsid w:val="5D290C69"/>
    <w:rsid w:val="5D496E08"/>
    <w:rsid w:val="5DCC2C41"/>
    <w:rsid w:val="5E5176F6"/>
    <w:rsid w:val="5ED37473"/>
    <w:rsid w:val="5EF17565"/>
    <w:rsid w:val="5F092196"/>
    <w:rsid w:val="5F162923"/>
    <w:rsid w:val="5F2D4A41"/>
    <w:rsid w:val="602856F2"/>
    <w:rsid w:val="60477BB9"/>
    <w:rsid w:val="60C74F6C"/>
    <w:rsid w:val="61025A59"/>
    <w:rsid w:val="613D5BBC"/>
    <w:rsid w:val="61536C39"/>
    <w:rsid w:val="61BD7AE1"/>
    <w:rsid w:val="61D144EC"/>
    <w:rsid w:val="62944DD7"/>
    <w:rsid w:val="6319381F"/>
    <w:rsid w:val="631C18A9"/>
    <w:rsid w:val="63C25DC5"/>
    <w:rsid w:val="63C62057"/>
    <w:rsid w:val="64571EF5"/>
    <w:rsid w:val="64FB113D"/>
    <w:rsid w:val="656152C6"/>
    <w:rsid w:val="6587477F"/>
    <w:rsid w:val="658C3A08"/>
    <w:rsid w:val="65A908CC"/>
    <w:rsid w:val="65C031CA"/>
    <w:rsid w:val="65CE6852"/>
    <w:rsid w:val="66267C04"/>
    <w:rsid w:val="663F505A"/>
    <w:rsid w:val="668A3B6E"/>
    <w:rsid w:val="66EE5541"/>
    <w:rsid w:val="678969E8"/>
    <w:rsid w:val="67924660"/>
    <w:rsid w:val="67D766F7"/>
    <w:rsid w:val="68026F10"/>
    <w:rsid w:val="68407834"/>
    <w:rsid w:val="6883293E"/>
    <w:rsid w:val="688412AD"/>
    <w:rsid w:val="689F6D56"/>
    <w:rsid w:val="68C32204"/>
    <w:rsid w:val="68E329CB"/>
    <w:rsid w:val="68EB1B71"/>
    <w:rsid w:val="6950120D"/>
    <w:rsid w:val="69587449"/>
    <w:rsid w:val="698F497F"/>
    <w:rsid w:val="6A631C66"/>
    <w:rsid w:val="6A6C7940"/>
    <w:rsid w:val="6AAD2300"/>
    <w:rsid w:val="6B445EB9"/>
    <w:rsid w:val="6B474EF5"/>
    <w:rsid w:val="6C0A5AC5"/>
    <w:rsid w:val="6C560CAE"/>
    <w:rsid w:val="6C576495"/>
    <w:rsid w:val="6C5B3ABD"/>
    <w:rsid w:val="6D1B78D7"/>
    <w:rsid w:val="6D7E54C1"/>
    <w:rsid w:val="6D903FF5"/>
    <w:rsid w:val="6DA955B8"/>
    <w:rsid w:val="6DE346AB"/>
    <w:rsid w:val="6DE5391A"/>
    <w:rsid w:val="6DF46982"/>
    <w:rsid w:val="6E7B7114"/>
    <w:rsid w:val="6EA84CB7"/>
    <w:rsid w:val="6EFD1324"/>
    <w:rsid w:val="6F4F10E0"/>
    <w:rsid w:val="6F5A53AC"/>
    <w:rsid w:val="6FAC003D"/>
    <w:rsid w:val="6FCC6264"/>
    <w:rsid w:val="6FD419B3"/>
    <w:rsid w:val="6FE55E12"/>
    <w:rsid w:val="6FFB2E76"/>
    <w:rsid w:val="708F6F7F"/>
    <w:rsid w:val="70C71B7C"/>
    <w:rsid w:val="70D94BD3"/>
    <w:rsid w:val="71834F45"/>
    <w:rsid w:val="71C34D91"/>
    <w:rsid w:val="72DB435C"/>
    <w:rsid w:val="72E005E5"/>
    <w:rsid w:val="72E2613A"/>
    <w:rsid w:val="72F771F4"/>
    <w:rsid w:val="733A1083"/>
    <w:rsid w:val="73820968"/>
    <w:rsid w:val="73934AD2"/>
    <w:rsid w:val="73C6622A"/>
    <w:rsid w:val="74D14214"/>
    <w:rsid w:val="74EE0D46"/>
    <w:rsid w:val="750837F0"/>
    <w:rsid w:val="754758CF"/>
    <w:rsid w:val="757776D8"/>
    <w:rsid w:val="75850C9C"/>
    <w:rsid w:val="75934522"/>
    <w:rsid w:val="764F62AB"/>
    <w:rsid w:val="765C45EC"/>
    <w:rsid w:val="768A7619"/>
    <w:rsid w:val="76E71C48"/>
    <w:rsid w:val="76EA0AFC"/>
    <w:rsid w:val="77210E13"/>
    <w:rsid w:val="772E1EBA"/>
    <w:rsid w:val="77BC650A"/>
    <w:rsid w:val="781926BC"/>
    <w:rsid w:val="782D0561"/>
    <w:rsid w:val="78335130"/>
    <w:rsid w:val="78C30DAE"/>
    <w:rsid w:val="78CC0C87"/>
    <w:rsid w:val="78F72AC8"/>
    <w:rsid w:val="790E1E9F"/>
    <w:rsid w:val="791A4F1D"/>
    <w:rsid w:val="796D60A4"/>
    <w:rsid w:val="79A031D5"/>
    <w:rsid w:val="79E30E32"/>
    <w:rsid w:val="79FE34A9"/>
    <w:rsid w:val="7A1525F7"/>
    <w:rsid w:val="7AB55167"/>
    <w:rsid w:val="7B2301D4"/>
    <w:rsid w:val="7B391679"/>
    <w:rsid w:val="7B420052"/>
    <w:rsid w:val="7BD06A28"/>
    <w:rsid w:val="7C3A7C0B"/>
    <w:rsid w:val="7C5248E4"/>
    <w:rsid w:val="7C566698"/>
    <w:rsid w:val="7C5866A3"/>
    <w:rsid w:val="7CCF227B"/>
    <w:rsid w:val="7D3B25C7"/>
    <w:rsid w:val="7D7406BB"/>
    <w:rsid w:val="7DE94331"/>
    <w:rsid w:val="7E1A4A34"/>
    <w:rsid w:val="7F3948E4"/>
    <w:rsid w:val="7F446A19"/>
    <w:rsid w:val="7F563FF9"/>
    <w:rsid w:val="7F7452B9"/>
    <w:rsid w:val="7FB26DCD"/>
    <w:rsid w:val="7FF9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FollowedHyperlink"/>
    <w:basedOn w:val="9"/>
    <w:qFormat/>
    <w:uiPriority w:val="0"/>
    <w:rPr>
      <w:color w:val="800080"/>
      <w:u w:val="single"/>
    </w:rPr>
  </w:style>
  <w:style w:type="character" w:styleId="12">
    <w:name w:val="Hyperlink"/>
    <w:basedOn w:val="9"/>
    <w:autoRedefine/>
    <w:qFormat/>
    <w:uiPriority w:val="0"/>
    <w:rPr>
      <w:color w:val="0000FF"/>
      <w:u w:val="single"/>
    </w:rPr>
  </w:style>
  <w:style w:type="paragraph" w:customStyle="1" w:styleId="13">
    <w:name w:val="列出段落1"/>
    <w:basedOn w:val="1"/>
    <w:autoRedefine/>
    <w:qFormat/>
    <w:uiPriority w:val="99"/>
    <w:pPr>
      <w:ind w:firstLine="420" w:firstLineChars="200"/>
    </w:pPr>
    <w:rPr>
      <w:rFonts w:hint="default"/>
    </w:rPr>
  </w:style>
  <w:style w:type="paragraph" w:customStyle="1" w:styleId="14">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12701</Words>
  <Characters>19177</Characters>
  <Lines>187</Lines>
  <Paragraphs>52</Paragraphs>
  <TotalTime>316</TotalTime>
  <ScaleCrop>false</ScaleCrop>
  <LinksUpToDate>false</LinksUpToDate>
  <CharactersWithSpaces>22013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2024-09-26T03:33:32Z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