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overflowPunct/>
        <w:topLinePunct w:val="0"/>
        <w:bidi w:val="0"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宋体" w:hAnsi="宋体" w:eastAsia="宋体" w:cs="宋体"/>
          <w:sz w:val="21"/>
          <w:szCs w:val="21"/>
        </w:rPr>
        <w:pict>
          <v:shape id="艺术字 6" o:spid="_x0000_s1026" o:spt="136" type="#_x0000_t136" style="position:absolute;left:0pt;margin-left:85.05pt;margin-top:151.1pt;height:51pt;width:425.2pt;mso-position-horizontal-relative:page;mso-position-vertical-relative:page;z-index:251660288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aspectratio="f"/>
            <v:textpath on="t" fitshape="t" fitpath="t" trim="t" xscale="f" string="丰都县金融服务中心" style="font-family:方正小标宋_GBK;font-size:36pt;font-weight:bold;v-rotate-letters:f;v-same-letter-heights:f;v-text-align:center;"/>
          </v:shape>
        </w:pict>
      </w:r>
    </w:p>
    <w:p>
      <w:pPr>
        <w:keepNext w:val="0"/>
        <w:keepLines w:val="0"/>
        <w:pageBreakBefore w:val="0"/>
        <w:overflowPunct/>
        <w:topLinePunct w:val="0"/>
        <w:bidi w:val="0"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overflowPunct/>
        <w:topLinePunct w:val="0"/>
        <w:bidi w:val="0"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丰金融发〔20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bCs/>
          <w:spacing w:val="-11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1024890</wp:posOffset>
                </wp:positionH>
                <wp:positionV relativeFrom="margin">
                  <wp:posOffset>2437765</wp:posOffset>
                </wp:positionV>
                <wp:extent cx="5615940" cy="0"/>
                <wp:effectExtent l="0" t="10795" r="3810" b="177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01090" y="413258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0.7pt;margin-top:191.95pt;height:0pt;width:442.2pt;mso-position-horizontal-relative:page;mso-position-vertical-relative:margin;z-index:251659264;mso-width-relative:page;mso-height-relative:page;" filled="f" stroked="t" coordsize="21600,21600" o:gfxdata="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A+NmidkAAAAMAQAADwAAAAAAAAABACAAAAA4AAAA&#10;ZHJzL2Rvd25yZXYueG1sUEsBAhQAFAAAAAgAh07iQLa+l83wAQAAtAMAAA4AAAAAAAAAAQAgAAAA&#10;PgEAAGRycy9lMm9Eb2MueG1sUEsFBgAAAAAGAAYAWQEAAKA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丰都县防范和打击非法金融活动专项工作机制办公室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关于做好防范非法集资知识答题的通知</w:t>
      </w:r>
    </w:p>
    <w:p>
      <w:pPr>
        <w:pageBreakBefore w:val="0"/>
        <w:kinsoku/>
        <w:overflowPunct/>
        <w:autoSpaceDE/>
        <w:autoSpaceDN/>
        <w:bidi w:val="0"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ageBreakBefore w:val="0"/>
        <w:kinsoku/>
        <w:overflowPunct/>
        <w:autoSpaceDE/>
        <w:autoSpaceDN/>
        <w:bidi w:val="0"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各乡镇人民政府、街道办事处，县级各部门，各企事业单位，在丰金融机构：</w:t>
      </w:r>
    </w:p>
    <w:p>
      <w:pPr>
        <w:pageBreakBefore w:val="0"/>
        <w:kinsoku/>
        <w:overflowPunct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第五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届“全国防范非法金融活动知识答题赛”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已开启，根据市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打击非法金融活动专项工作机制办公室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通知要求，将对各区县答题参与率进行排名，请各单位高度重视，组织单位职工积极参与答题，各乡镇（街道）组织村民全民参与。我办将此项工作开展情况及成效作为年底打非宣传加分依据。</w:t>
      </w:r>
    </w:p>
    <w:p>
      <w:pPr>
        <w:pageBreakBefore w:val="0"/>
        <w:kinsoku/>
        <w:overflowPunct/>
        <w:autoSpaceDE/>
        <w:autoSpaceDN/>
        <w:bidi w:val="0"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4"/>
        <w:pageBreakBefore w:val="0"/>
        <w:kinsoku/>
        <w:overflowPunct/>
        <w:autoSpaceDE/>
        <w:autoSpaceDN/>
        <w:bidi w:val="0"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附件：第四届“全国防范非法金融活动知识答题赛”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参赛指引</w:t>
      </w:r>
    </w:p>
    <w:p>
      <w:pPr>
        <w:pageBreakBefore w:val="0"/>
        <w:kinsoku/>
        <w:wordWrap/>
        <w:overflowPunct/>
        <w:autoSpaceDE/>
        <w:autoSpaceDN/>
        <w:bidi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（联系人：张燕；联系电话：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70700366、1872382033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</w:t>
      </w:r>
    </w:p>
    <w:p>
      <w:pPr>
        <w:pStyle w:val="14"/>
        <w:pageBreakBefore w:val="0"/>
        <w:kinsoku/>
        <w:overflowPunct/>
        <w:autoSpaceDE/>
        <w:autoSpaceDN/>
        <w:bidi w:val="0"/>
        <w:spacing w:line="570" w:lineRule="exact"/>
        <w:ind w:firstLine="1280" w:firstLineChars="4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4"/>
        <w:pageBreakBefore w:val="0"/>
        <w:kinsoku/>
        <w:overflowPunct/>
        <w:autoSpaceDE/>
        <w:autoSpaceDN/>
        <w:bidi w:val="0"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 w:val="0"/>
        <w:overflowPunct/>
        <w:autoSpaceDE/>
        <w:autoSpaceDN/>
        <w:bidi w:val="0"/>
        <w:spacing w:line="57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丰都县防范和打击非法金融活动专项工作机制办公室</w:t>
      </w:r>
    </w:p>
    <w:p>
      <w:pPr>
        <w:pageBreakBefore w:val="0"/>
        <w:kinsoku/>
        <w:wordWrap w:val="0"/>
        <w:overflowPunct/>
        <w:autoSpaceDE/>
        <w:autoSpaceDN/>
        <w:bidi w:val="0"/>
        <w:spacing w:line="57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（丰都县金融服务中心代章）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</w:t>
      </w:r>
    </w:p>
    <w:p>
      <w:pPr>
        <w:pageBreakBefore w:val="0"/>
        <w:kinsoku/>
        <w:wordWrap w:val="0"/>
        <w:overflowPunct/>
        <w:autoSpaceDE/>
        <w:autoSpaceDN/>
        <w:bidi w:val="0"/>
        <w:spacing w:line="57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2025年6月11日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</w:t>
      </w:r>
    </w:p>
    <w:p>
      <w:pPr>
        <w:pageBreakBefore w:val="0"/>
        <w:kinsoku/>
        <w:overflowPunct/>
        <w:autoSpaceDE/>
        <w:autoSpaceDN/>
        <w:bidi w:val="0"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p>
      <w:pPr>
        <w:pStyle w:val="7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14"/>
        <w:pageBreakBefore w:val="0"/>
        <w:kinsoku/>
        <w:overflowPunct/>
        <w:autoSpaceDE/>
        <w:autoSpaceDN/>
        <w:bidi w:val="0"/>
        <w:spacing w:line="57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</w:p>
    <w:p>
      <w:pPr>
        <w:pStyle w:val="14"/>
        <w:pageBreakBefore w:val="0"/>
        <w:kinsoku/>
        <w:overflowPunct/>
        <w:autoSpaceDE/>
        <w:autoSpaceDN/>
        <w:bidi w:val="0"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yellow"/>
        </w:rPr>
      </w:pPr>
    </w:p>
    <w:p>
      <w:pPr>
        <w:pStyle w:val="14"/>
        <w:pageBreakBefore w:val="0"/>
        <w:kinsoku/>
        <w:overflowPunct/>
        <w:autoSpaceDE/>
        <w:autoSpaceDN/>
        <w:bidi w:val="0"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t>“防范非法金融活动知识答题团队竞赛”</w:t>
      </w:r>
    </w:p>
    <w:p>
      <w:pPr>
        <w:pStyle w:val="14"/>
        <w:pageBreakBefore w:val="0"/>
        <w:kinsoku/>
        <w:overflowPunct/>
        <w:autoSpaceDE/>
        <w:autoSpaceDN/>
        <w:bidi w:val="0"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eastAsia="zh-CN"/>
        </w:rPr>
        <w:t>参赛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t>指引</w:t>
      </w:r>
    </w:p>
    <w:p>
      <w:pPr>
        <w:pageBreakBefore w:val="0"/>
        <w:kinsoku/>
        <w:overflowPunct/>
        <w:autoSpaceDE/>
        <w:autoSpaceDN/>
        <w:bidi w:val="0"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14"/>
        <w:pageBreakBefore w:val="0"/>
        <w:kinsoku/>
        <w:overflowPunct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一、活动时间</w:t>
      </w:r>
    </w:p>
    <w:p>
      <w:pPr>
        <w:pStyle w:val="15"/>
        <w:pageBreakBefore w:val="0"/>
        <w:kinsoku/>
        <w:overflowPunct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2025年6月11日（周三）至6月20日（周五）（共10天）。其中，6月14日（周六）、6月15日（周日）可照常参与活动。</w:t>
      </w:r>
    </w:p>
    <w:p>
      <w:pPr>
        <w:pStyle w:val="14"/>
        <w:pageBreakBefore w:val="0"/>
        <w:kinsoku/>
        <w:overflowPunct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二、参与方式</w:t>
      </w:r>
    </w:p>
    <w:p>
      <w:pPr>
        <w:pStyle w:val="15"/>
        <w:pageBreakBefore w:val="0"/>
        <w:kinsoku/>
        <w:overflowPunct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（一）活动期间，扫码或搜索关注“中国银行保险报”微信公众号。</w:t>
      </w:r>
    </w:p>
    <w:p>
      <w:pPr>
        <w:pStyle w:val="15"/>
        <w:pageBreakBefore w:val="0"/>
        <w:kinsoku/>
        <w:overflowPunct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15"/>
        <w:pageBreakBefore w:val="0"/>
        <w:kinsoku/>
        <w:overflowPunct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6"/>
        <w:jc w:val="center"/>
      </w:pPr>
      <w:r>
        <w:drawing>
          <wp:inline distT="0" distB="0" distL="114300" distR="114300">
            <wp:extent cx="2889885" cy="2889885"/>
            <wp:effectExtent l="0" t="0" r="5715" b="571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9885" cy="28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pageBreakBefore w:val="0"/>
        <w:kinsoku/>
        <w:overflowPunct/>
        <w:autoSpaceDE/>
        <w:autoSpaceDN/>
        <w:bidi w:val="0"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15"/>
        <w:pageBreakBefore w:val="0"/>
        <w:kinsoku/>
        <w:overflowPunct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（二）新用户关注后会收到公众号的自动回复，点击自动回复中的蓝字“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开始答题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”，即可进入活动页面。</w:t>
      </w:r>
    </w:p>
    <w:p>
      <w:pPr>
        <w:pStyle w:val="6"/>
        <w:jc w:val="center"/>
      </w:pPr>
      <w:r>
        <w:drawing>
          <wp:inline distT="0" distB="0" distL="114300" distR="114300">
            <wp:extent cx="4846955" cy="2958465"/>
            <wp:effectExtent l="0" t="0" r="10795" b="13335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6955" cy="295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pageBreakBefore w:val="0"/>
        <w:kinsoku/>
        <w:overflowPunct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已关注的用户发送关键词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答题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到公众号后台，点击自动回复中的蓝字“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开始答题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”，即可进入活动页面。（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答题过程中如遇活动链接加载时间长等特殊情况，重新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发送关键词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答题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到公众号后台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，即可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获取最新活动链接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。）</w:t>
      </w:r>
    </w:p>
    <w:p>
      <w:pPr>
        <w:pStyle w:val="6"/>
        <w:jc w:val="center"/>
      </w:pPr>
      <w:r>
        <w:drawing>
          <wp:inline distT="0" distB="0" distL="114300" distR="114300">
            <wp:extent cx="5005070" cy="2807335"/>
            <wp:effectExtent l="0" t="0" r="5080" b="12065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5070" cy="280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numPr>
          <w:ilvl w:val="0"/>
          <w:numId w:val="1"/>
        </w:numPr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进入活动页面后，填写姓名（昵称）、电话（选填），选择所在省（区、市）（必选到重庆市丰都县），输入关键词并从下拉菜单中选择工作单位/所在高校（选填）后点击“开始答题”按钮。为方便各金融机构、高校组织发动，鼓励各金融机构、高校积极号召员工、客户及学生填写所在金融机构、高校名称，以便后续数据统计及排名。</w:t>
      </w:r>
    </w:p>
    <w:p>
      <w:pPr>
        <w:pStyle w:val="15"/>
        <w:numPr>
          <w:ilvl w:val="0"/>
          <w:numId w:val="0"/>
        </w:numPr>
        <w:spacing w:line="600" w:lineRule="exact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15"/>
        <w:numPr>
          <w:ilvl w:val="0"/>
          <w:numId w:val="0"/>
        </w:numPr>
        <w:spacing w:line="600" w:lineRule="exact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6"/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2785745" cy="4797425"/>
            <wp:effectExtent l="0" t="0" r="14605" b="3175"/>
            <wp:docPr id="4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5745" cy="479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 w:bidi="ar-SA"/>
        </w:rPr>
        <w:t>三、活动形式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参与答题的用户需从页面上展示的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个角色：莫大妈（代表老年人群体）、方先生（代表中青年男性群体）、杜女士（代表中青年女性群体）、晓非（代表学生群体）中选择其一开始答题。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pStyle w:val="7"/>
        <w:jc w:val="center"/>
      </w:pPr>
      <w:r>
        <w:drawing>
          <wp:inline distT="0" distB="0" distL="114300" distR="114300">
            <wp:extent cx="2381885" cy="4126230"/>
            <wp:effectExtent l="0" t="0" r="18415" b="7620"/>
            <wp:docPr id="5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1885" cy="412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</w:pPr>
    </w:p>
    <w:p>
      <w:pPr>
        <w:pStyle w:val="6"/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完成角色选择后，页面上将显示所选人物已掉入非法金融活动陷阱，用户需通过答题拯救人物。每个人物有对应题库，题目内容涉及该人物可能遭遇的非法金融活动场景。</w:t>
      </w:r>
    </w:p>
    <w:p>
      <w:pPr>
        <w:pStyle w:val="6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14"/>
        <w:spacing w:line="60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四、答题及得分规则</w:t>
      </w:r>
    </w:p>
    <w:p>
      <w:pPr>
        <w:pStyle w:val="15"/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每轮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每答对1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题，人物将沿梯子向上攀爬一阶，答错则后退一阶，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用户需全部答对才能逃生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pStyle w:val="15"/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15"/>
        <w:ind w:firstLine="640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114300" distR="114300">
            <wp:extent cx="2305050" cy="3842385"/>
            <wp:effectExtent l="0" t="0" r="0" b="5715"/>
            <wp:docPr id="8" name="图片 6" descr="c5d11ac9a728bf11f62fac727ff2ed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c5d11ac9a728bf11f62fac727ff2ed0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true">
                      <a:off x="0" y="0"/>
                      <a:ext cx="2305050" cy="384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每人每天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答题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机会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可通过分享活动链接邀请好友参与等方式增加答题次数。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答题得分以“小红花”形式呈现，每天最多可答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轮，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每轮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若全部答对则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成功将人物救出陷阱，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1题2朵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小红花，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10朵小红花奖励；若出现答题错误，则本轮逃生失败，每答对1题只能得1朵小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红花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pStyle w:val="15"/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用户分享活动链接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给好友，好友通过用户分享的链接填写个人信息并点击“开始答题”按钮，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成功邀请一人参与活动则多一次答题机会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每日无上限，完成答题获取小红花规则同上。</w:t>
      </w:r>
    </w:p>
    <w:p>
      <w:pPr>
        <w:pStyle w:val="15"/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参与答题、分享活动链接、点击学习“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金融Plus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金融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+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APP内的防非知识，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都可获得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积分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“积分”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不作为本次答题赛的团体成绩参考，个人用户可在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“金融Plus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金融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+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）”APP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兑换奖品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pStyle w:val="14"/>
        <w:spacing w:line="60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五、评选奖励</w:t>
      </w:r>
    </w:p>
    <w:p>
      <w:pPr>
        <w:pStyle w:val="15"/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活动期间实时公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布5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个榜单，包括：</w:t>
      </w:r>
    </w:p>
    <w:p>
      <w:pPr>
        <w:pStyle w:val="15"/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（一）各省（区、市）团队防非答题密度榜，以参与人数为准，取前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名；</w:t>
      </w:r>
    </w:p>
    <w:p>
      <w:pPr>
        <w:pStyle w:val="15"/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（二）各省（区、市）团队防非答题深度榜，以参与率为准，取前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名；</w:t>
      </w:r>
    </w:p>
    <w:p>
      <w:pPr>
        <w:pStyle w:val="15"/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（三）金融监管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支局榜单，以参与人数为准，取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前1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00名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；</w:t>
      </w:r>
    </w:p>
    <w:p>
      <w:pPr>
        <w:pStyle w:val="15"/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（四）金融机构排行榜，以参与人数、答题准确率等计算总得分，取前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</w:t>
      </w:r>
    </w:p>
    <w:p>
      <w:pPr>
        <w:pStyle w:val="15"/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（五）高校排行榜，以参与人数、答题准确率等计算总得分，取前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名；</w:t>
      </w:r>
    </w:p>
    <w:p>
      <w:pPr>
        <w:pStyle w:val="15"/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（六）个人用户排行榜，以小红花与积分数量相加为准，公布前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名。</w:t>
      </w:r>
    </w:p>
    <w:p>
      <w:pPr>
        <w:pStyle w:val="15"/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活动结束后，将根据活动结果为表现突出的地区的防非打非领导小组办公室、金融监管局颁发“最佳组织奖”电子证书，为上榜的金融机构、高校颁发“最佳参与奖”电子证书。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排名前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100的金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融监管支局将获得“优秀参与奖”。</w:t>
      </w:r>
    </w:p>
    <w:p>
      <w:pPr>
        <w:pStyle w:val="15"/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个人用户可在“金融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Plus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”（金融+）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APP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查看积分、排行及兑换奖品，奖品兑换有效期至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2025年12月31日24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时。</w:t>
      </w:r>
    </w:p>
    <w:p>
      <w:pPr>
        <w:pStyle w:val="15"/>
        <w:spacing w:line="600" w:lineRule="exact"/>
        <w:ind w:firstLine="642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本活动最终解释权归主办方所有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15"/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15"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联系人：王老师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010-63998052（咨询时间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：9:00—17:00）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Times New Roman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B0DE51"/>
    <w:multiLevelType w:val="singleLevel"/>
    <w:tmpl w:val="E5B0DE5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86A3F"/>
    <w:rsid w:val="005B2991"/>
    <w:rsid w:val="01473307"/>
    <w:rsid w:val="02E36DC1"/>
    <w:rsid w:val="0ADA3669"/>
    <w:rsid w:val="0E0030FE"/>
    <w:rsid w:val="10FD7140"/>
    <w:rsid w:val="14795852"/>
    <w:rsid w:val="15DE7211"/>
    <w:rsid w:val="165D6C58"/>
    <w:rsid w:val="16E827D3"/>
    <w:rsid w:val="17386A3F"/>
    <w:rsid w:val="1C0F40E4"/>
    <w:rsid w:val="1C4639BC"/>
    <w:rsid w:val="23FE5C92"/>
    <w:rsid w:val="26570A4C"/>
    <w:rsid w:val="29A36122"/>
    <w:rsid w:val="2F1402C4"/>
    <w:rsid w:val="337D51C0"/>
    <w:rsid w:val="34ED2E99"/>
    <w:rsid w:val="35BA15D4"/>
    <w:rsid w:val="39DC2CF1"/>
    <w:rsid w:val="3AE5306A"/>
    <w:rsid w:val="3BEC1A61"/>
    <w:rsid w:val="3E477551"/>
    <w:rsid w:val="40DE7CCB"/>
    <w:rsid w:val="4A831E17"/>
    <w:rsid w:val="52FE1F1A"/>
    <w:rsid w:val="545D7B31"/>
    <w:rsid w:val="59792386"/>
    <w:rsid w:val="5BF718DC"/>
    <w:rsid w:val="5ECC3ACE"/>
    <w:rsid w:val="621E4AB2"/>
    <w:rsid w:val="63783A93"/>
    <w:rsid w:val="6C3312B0"/>
    <w:rsid w:val="6C515B82"/>
    <w:rsid w:val="6E3C2A3D"/>
    <w:rsid w:val="70A21879"/>
    <w:rsid w:val="7E83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5"/>
    <w:basedOn w:val="1"/>
    <w:next w:val="1"/>
    <w:qFormat/>
    <w:uiPriority w:val="99"/>
    <w:pPr>
      <w:ind w:left="1680" w:leftChars="800"/>
    </w:pPr>
    <w:rPr>
      <w:rFonts w:ascii="Times New Roman" w:hAnsi="Times New Roman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endnote text"/>
    <w:basedOn w:val="1"/>
    <w:qFormat/>
    <w:uiPriority w:val="0"/>
    <w:pPr>
      <w:snapToGrid w:val="0"/>
      <w:jc w:val="left"/>
    </w:pPr>
  </w:style>
  <w:style w:type="paragraph" w:styleId="7">
    <w:name w:val="Balloon Text"/>
    <w:basedOn w:val="1"/>
    <w:next w:val="6"/>
    <w:qFormat/>
    <w:uiPriority w:val="99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1">
    <w:name w:val="Body Text First Indent 2"/>
    <w:basedOn w:val="5"/>
    <w:qFormat/>
    <w:uiPriority w:val="0"/>
    <w:pPr>
      <w:ind w:firstLine="420" w:firstLineChars="200"/>
    </w:pPr>
  </w:style>
  <w:style w:type="paragraph" w:customStyle="1" w:styleId="14">
    <w:name w:val="正文1"/>
    <w:qFormat/>
    <w:uiPriority w:val="0"/>
    <w:rPr>
      <w:rFonts w:ascii="Arial Unicode MS" w:hAnsi="Arial Unicode MS" w:eastAsia="Arial Unicode MS" w:cs="Arial Unicode MS"/>
      <w:color w:val="000000"/>
      <w:sz w:val="22"/>
      <w:szCs w:val="22"/>
      <w:lang w:val="zh-TW" w:eastAsia="zh-TW" w:bidi="ar-SA"/>
    </w:rPr>
  </w:style>
  <w:style w:type="paragraph" w:customStyle="1" w:styleId="15">
    <w:name w:val="正文 A"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1601</Words>
  <Characters>1680</Characters>
  <Lines>0</Lines>
  <Paragraphs>0</Paragraphs>
  <TotalTime>3</TotalTime>
  <ScaleCrop>false</ScaleCrop>
  <LinksUpToDate>false</LinksUpToDate>
  <CharactersWithSpaces>1694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2025-06-11T10:06:00Z</dcterms:created>
  <dc:creator>WPS_1748142641</dc:creator>
  <cp:lastModifiedBy>user</cp:lastModifiedBy>
  <cp:lastPrinted>2025-06-11T11:46:00Z</cp:lastPrinted>
  <dcterms:modified xsi:type="dcterms:W3CDTF">2025-06-11T12:11:35Z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E8CE46A8DA5C41CD9AC455DFE76C22A1_13</vt:lpwstr>
  </property>
  <property fmtid="{D5CDD505-2E9C-101B-9397-08002B2CF9AE}" pid="4" name="KSOTemplateDocerSaveRecord">
    <vt:lpwstr>eyJoZGlkIjoiM2ViNmM0Y2I2OTk5MGJmZDcxYjA1MDJjZDFhMzhlZmIiLCJ1c2VySWQiOiIxNzA0MjA0NjI3In0=</vt:lpwstr>
  </property>
</Properties>
</file>