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丰都县树人镇人民政府（本级）2023年度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决算公开说明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党委政府围绕贯彻落实党和政府各项方针政策，其主要职责是：贯彻执行党的方针政策和国家的法律法规、促进经济社会发展、加强社会管理和公共服务、维护社会和谐稳定，进一步强化城市管理和社区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树人镇人民政府下设机构8个：党政办、党群办、经发办、社事办、平安办、规环办、财政办、应急办；事业机构5个：农服中心、文服中心、劳动就业和社会保障服务所、退役军人服务站、综合行政执法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1.总体情况。2023年度收入总计3173.32万元，支出总计3173.32万元。收支较上年决算数减少308.93万元,下降8.87%，主要原因是年中人员变</w:t>
      </w:r>
      <w:bookmarkStart w:id="0" w:name="_GoBack"/>
      <w:bookmarkEnd w:id="0"/>
      <w:r>
        <w:rPr>
          <w:rFonts w:hint="default" w:ascii="Times New Roman" w:hAnsi="Times New Roman" w:eastAsia="方正仿宋_GBK" w:cs="Times New Roman"/>
          <w:sz w:val="32"/>
          <w:szCs w:val="32"/>
        </w:rPr>
        <w:t>动及专项工作经费减少。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2023年度收入合计3004.47万元，较上年决算数减少223.22万元，下降6.92%，主要原因是年中人员变动及专项工作经费减少。其中：财政拨款收入3004.47万元，占100%。此外，使用非财政拨款结余0万元，年初结转和结余168.84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2023年度支出合计3127.41万元，较上年决算减少244.3万元，下降7.25%，主要原因是年中人员变动及专项工作经费减少。其中：基本支出2147.56万元，占68.67%；项目支出979.85万元，占31.33%。此外，结余分配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4.结转结余情况。2023年度年末结转和结余110.54万元，较上年决算数减少33.17万元，下降58.48%，主要原因是2022年度结余资金被使用于政府日常开销。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2023年度财政拨款收、支总计3019.28万元。与2022年相比，财政拨款收、支总计各减少308.93万元，下降9.04%。主要原因是年中人员变动及部分专项工作经费减少。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2023年度一般公共预算财政拨款收入2943.21万元，较上年决算数减少272.08万元，下降8.46%。主要原因是年中人员变动。较年初预算数增加913.3万元，增长44.99%。主要原因是专项工作经费以及项目数量的增加。此外，年初财政拨款结转和结余104.8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2023年度一般公共预算财政拨款支出3044.96万元，较上年决算数减少314.35万元，下降9.36%。主要原因是年中人员变动，人员经费减少。较年初预算数增加1015.05万元，增长50%。主要原因是专项工作经费以及项目数量的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3.结转结余情况。2023年度年末一般公共预算财政拨款结转和结余3.05万元，较上年决算数减少43.45万元，下降93.44%，主要原因是松材线虫除治经费支付了93.44%。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4.比较情况。本单位2023年度一般公共预算财政拨款支出主要用于以下几个方面：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（1）一般公共服务支出787.1万元，占25.85%，较年初预算数增加75.42万元，增长1.6%，主要原因是年中人员增加，如：新进公务员、大学生公益岗人员增加。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（2）国防支出5.4万元，占0.18%，较年初预算数增加5.4万元，增长100%，主要原因是今年国防支出方面的需求有所增加，且无年初预算。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（3）公共安全支出5万元，占0.16%，较年初预算数增加0.00万元，增长0%，主要原因是收支平衡。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（4）教育支出5万元，占0.16%，较年初预算数增加0.00，增长0%，主要原因是收支平衡。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（5）文化旅游体育与传媒支出109.13万元，占3.58%，较年初预算数增加15.78万元，增长16.9%，主要原因是有上级专项资金拨款，如“树人镇文化服务中心免费开放资金”工作经费。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社会保障与就业支出544.96万元，占17.9%，较年初预算数增加217.91万元，增长66.63%，主要原因是有上级专项资金拨款，如“残疾人专职委员及阳光家园居家托养补助”、“公益性岗位补贴”、“村干部补助”等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（7）卫生健康支出70.29万元，占2.31%，较年初预算数增加0.00，增长0%，主要原因是收支平衡。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（8）城乡社区支出118.99万元，占3.91%，较年初预算数增加83.13万元，增长231.82%，主要原因是有专项体制经费“市政管理相关工作经费”。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（9）农林水支出1101.1万元，占36.16%，较年初预算数增加505.53万元，增长84.88%，主要原因是有上级专项资金拨款，如：“树人镇新农人培育提升项目”、“丰都县树人镇2023年林业有害生物防治项目”等。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（10）交通运输支出114.72万元，占3.77%，较年初预算数增加61.47万元，增长115.44%，主要原因是有上级专项资金拨款，如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“树人镇三口井村通畅工程”、“树人镇石盒撤并村村道公路工程”等项目。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（11）自然资源海洋气象等支出98.22万元，占3.23%，较年初预算数增加98.22万元，增长100.00%，主要原因是有上级专项资金拨款，如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“丰都县仙女湖镇等9个镇街国土绿化项目”、“2022年耕地保护项目”等项目。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（12）住房保障支出69.09万元，占2.27%，较年初预算数减少10.78万元，下降13.50%，主要原因是压减年初预算，减少业务经费支出。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（13）灾害防治及应急管理支出15.96万元，占0.52%，较年初预算数增加11.96万元，增长299.00%，主要原因是有上级专项资金拨款，如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“2022年中央自然灾害救灾资金”、“2022年中央水利救灾资金（抗旱）”等项目。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2126.37万元。其中：人员经费1775.96万元，较上年决算数增加169.02万元，增长10.52%，主要原因是人员的增减，形成人员经费出现差额。人员经费用途主要包括机关事业单位职工基本工资、公务员津补贴、事业单位绩效、社会保险缴费、其他工资福利待遇等。公用经费350.41万元，较上年决算数增加52.21万元，增长17.51%，主要原因是本年新增公务员7人，事业单位人员1人，办公经费随之增加。公用经费用途主要包括办公费、邮电费、差旅费、会议费、培训费、公务接待费、公务车辆运行维护费、其他商品和服务支出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2023年度政府性基金预算财政拨款年初结转结余0.00万元，年末结转结余0.00万元。本年收入61.27万元，较上年决算数增加48.87万元，增长394.11%，主要原因是有上级专项资金拨款，如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“树人镇2022年公路养护资金”、“树人镇2020年养老服务业发展补助”等项目。本年支出61.27万元，较上年决算数增加48.87万元，增长394.11%，主要原因是有上级专项资金拨款，如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“树人镇2022年公路养护资金”、“树人镇2020年养老服务业发展补助”等项目。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本单位2023年度无国有资金经营预算财政拨款支出。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28.23万元，较年初预算数减少16.67万元，下降37.13%，主要原因是认真贯彻落实中央八项规定精神和厉行节约要求，按照只减不增的要求从严控制“三公”经费。较上年支出数增加12.88万元，增长83.91%，主要原因是单位四辆公务车多年未进行大修大保养，四辆车在今年分别进行了大修和大保养，且本年应乡村振兴等项目检查较往年有所增加故用车次数较去年增加，油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2023年度本单位因公出国（境）费用0.00万元。费用支出较年初预算数无增减，主要原因是本单位2023年度未发生因公出国（境）支出。较上年支出数无增减，主要原因是本单位2023年度未发生因公出国（境）支出。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2023年度本单位公务车购置费0.00万元。费用支出较年初预算数无增减，主要原因是本单位2023年度未发生公务车购置费支出。较上年支出数无增减，主要原因是本单位2023年度未发生公务车购置费支出。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15.87万元，主要用于县内因公出行、项目检查等工作所需车辆的燃料费、维修费、过桥过路费、保险费等。费用支出较年初预算数减少0.13万元，下降0.81%，主要原因是单位四辆公务车多年未进行大修大保养，四辆车在今年分别进行了大修和大保养，且本年应乡村振兴等项目检查较往年有所增加故用车次数较去年增加，油费增加。较上年支出数增加12.68万元，增长397.49%，主要原因是单位四辆公务车多年未进行大修大保养，四辆车在今年分别进行了大修和大保养，且本年应乡村振兴等项目检查较往年有所增加故用车次数较去年增加，油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12.36万元，主要用于接待招商引资工作、接受相关部门检查项目，指导工作。费用支出较年初预算数减少16.54万元，下降57.23%，主要原因是强化公务接待支出管理，严格遵守公务接待开支范围和开支标准，严格控制陪餐人数。较上年支出数增加0.2万元，增长1.64%，主要原因是本年应乡村振兴等项目检查较往年有所增加故公务接待费有少量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共计0个团组，0人；公务用车购置0辆，公务车保有量为4辆；国内公务接待318批次2558人，其中：国内外事接待0批次，0人；国（境）外公务接待0批次，0人。2023年本单位人均接待费48.32元，车均购置费0万元，车均维护费3.97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2.64万元，较上年决算数增加1.93万元，增长271.83%，主要原因是本年召开了三次人大会议，故开支增加。本年度培训费支出1.23万元，较上年决算数减少0.33万元，下降21.15%，主要原因是认真贯彻落实中央八项规定精神和厉行节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机关运行经费支出230.27万元，机关运行经费主要用于开支办公费、印刷费、手续费、日常维护费、水电费、物管费、邮电费、差旅费、租赁费、公务用车运行维护等。机关运行经费较上年支出数增加3.41万元，增长1.50%，主要原因是年中人员增加，办公开支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单位共有车辆4辆，其中，副部（省）级及以上领导用车0辆、主要领导干部车0辆、机要通信用车0辆、应急保障用车4辆、执法执勤用车0辆，特种专业技术用车0辆，离退休干部用车0辆。单价100万元（含）以上专用设备（不含车辆）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（一）部门自评情况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根据预算绩效管理要求，本单位对树人镇2023年乡村公路安保工程等85个项目开展了绩效自评，其中，以填报自评表形式开展自评85项，涉及资金979.86万元。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树人镇2023年乡村公路安保工程等85个项目支出绩效自评情况表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（二）部门绩效评价情况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部门未组织开展绩效评价。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六、专有名词解释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sectPr>
          <w:pgSz w:w="11906" w:h="16838"/>
          <w:pgMar w:top="2098" w:right="1587" w:bottom="1984" w:left="1474" w:header="851" w:footer="992" w:gutter="0"/>
          <w:cols w:space="425" w:num="1"/>
          <w:docGrid w:type="lines" w:linePitch="312" w:charSpace="0"/>
        </w:sectPr>
      </w:pPr>
      <w:r>
        <w:rPr>
          <w:rFonts w:hint="default" w:ascii="Times New Roman" w:hAnsi="Times New Roman" w:eastAsia="方正仿宋_GBK" w:cs="Times New Roman"/>
          <w:sz w:val="32"/>
          <w:szCs w:val="32"/>
        </w:rPr>
        <w:t>杨娅     023-70658001</w:t>
      </w:r>
    </w:p>
    <w:tbl>
      <w:tblPr>
        <w:tblStyle w:val="2"/>
        <w:tblW w:w="15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5"/>
        <w:gridCol w:w="2012"/>
        <w:gridCol w:w="4791"/>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5105"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2012" w:type="dxa"/>
            <w:tcBorders>
              <w:top w:val="nil"/>
              <w:left w:val="nil"/>
              <w:bottom w:val="nil"/>
              <w:right w:val="nil"/>
            </w:tcBorders>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4791"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3429"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r>
              <w:rPr>
                <w:rFonts w:hint="eastAsia" w:ascii="宋体" w:hAnsi="宋体" w:eastAsia="宋体" w:cs="宋体"/>
                <w:kern w:val="0"/>
                <w:sz w:val="20"/>
                <w:szCs w:val="20"/>
              </w:rPr>
              <w:t>公开部门：</w:t>
            </w:r>
            <w:r>
              <w:rPr>
                <w:rFonts w:hint="eastAsia" w:ascii="宋体" w:hAnsi="宋体" w:eastAsia="宋体" w:cs="Times New Roman"/>
                <w:kern w:val="0"/>
                <w:sz w:val="20"/>
                <w:u w:val="none" w:color="auto"/>
              </w:rPr>
              <w:t>重庆市丰都县树人镇人民政府</w:t>
            </w:r>
          </w:p>
        </w:tc>
        <w:tc>
          <w:tcPr>
            <w:tcW w:w="4791"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3429"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2,943.21</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803.16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61.27</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109.13</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549.16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70.29</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151.05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1,101.10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114.72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15.96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30.13</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3,004.47</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3,127.41</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168.84</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3429" w:type="dxa"/>
            <w:tcBorders>
              <w:top w:val="nil"/>
              <w:left w:val="nil"/>
              <w:bottom w:val="single" w:color="auto" w:sz="4" w:space="0"/>
              <w:right w:val="single" w:color="000000"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45.90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3,173.32</w:t>
            </w:r>
            <w:r>
              <w:rPr>
                <w:rFonts w:hint="eastAsia" w:ascii="宋体" w:hAnsi="宋体" w:eastAsia="宋体" w:cs="Times New Roman"/>
                <w:color w:val="000000"/>
                <w:kern w:val="0"/>
                <w:sz w:val="20"/>
                <w:u w:val="none"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3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3,173.32</w:t>
            </w:r>
            <w:r>
              <w:rPr>
                <w:rFonts w:hint="eastAsia" w:ascii="宋体" w:hAnsi="宋体" w:eastAsia="宋体" w:cs="Times New Roman"/>
                <w:color w:val="000000"/>
                <w:kern w:val="0"/>
                <w:sz w:val="20"/>
                <w:u w:val="none" w:color="auto"/>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cs="宋体"/>
          <w:sz w:val="20"/>
          <w:szCs w:val="20"/>
        </w:rPr>
      </w:pPr>
      <w:r>
        <w:rPr>
          <w:rFonts w:cs="宋体"/>
          <w:sz w:val="20"/>
          <w:szCs w:val="20"/>
        </w:rPr>
        <w:t>备注：1.本表反映部门本年度的总收支和年末结转结余情况。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00" w:firstLineChars="300"/>
        <w:textAlignment w:val="auto"/>
        <w:rPr>
          <w:rFonts w:hint="default" w:cs="宋体"/>
          <w:sz w:val="20"/>
          <w:szCs w:val="20"/>
        </w:rPr>
      </w:pPr>
      <w:r>
        <w:rPr>
          <w:rFonts w:hint="eastAsia" w:cs="宋体"/>
          <w:sz w:val="20"/>
          <w:szCs w:val="20"/>
          <w:lang w:val="en-US" w:eastAsia="zh-CN"/>
        </w:rPr>
        <w:t>2.</w:t>
      </w:r>
      <w:r>
        <w:rPr>
          <w:rFonts w:cs="宋体"/>
          <w:sz w:val="20"/>
          <w:szCs w:val="20"/>
        </w:rPr>
        <w:t>本套报表金额单位转换时可能存在尾数误差。</w:t>
      </w:r>
    </w:p>
    <w:tbl>
      <w:tblPr>
        <w:tblStyle w:val="2"/>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Times New Roman"/>
                <w:kern w:val="0"/>
                <w:sz w:val="20"/>
                <w:u w:val="none" w:color="auto"/>
              </w:rPr>
              <w:t>重庆市丰都县树人镇人民政府</w:t>
            </w: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6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02"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34"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56"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6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02"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34"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56"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3,004.47</w:t>
            </w:r>
            <w:r>
              <w:rPr>
                <w:rFonts w:hint="eastAsia" w:ascii="宋体" w:hAnsi="宋体" w:eastAsia="宋体" w:cs="Times New Roman"/>
                <w:b/>
                <w:color w:val="000000"/>
                <w:kern w:val="0"/>
                <w:sz w:val="20"/>
                <w:u w:val="none" w:color="auto"/>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3,004.47</w:t>
            </w:r>
            <w:r>
              <w:rPr>
                <w:rFonts w:hint="eastAsia" w:ascii="宋体" w:hAnsi="宋体" w:eastAsia="宋体" w:cs="Times New Roman"/>
                <w:b/>
                <w:color w:val="000000"/>
                <w:kern w:val="0"/>
                <w:sz w:val="20"/>
                <w:u w:val="none" w:color="auto"/>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36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30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4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45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785.15</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785.15</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2.46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2.46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778.73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778.73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2013202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2013899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2039999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司法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2040699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其他司法支出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其他教育支出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2059999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其他教育支出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2070109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549.16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549.16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2080705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2081006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大中型水库移民后期扶持基金支出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移民补助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2082850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145.93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145.93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118.99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118.99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118.99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118.99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1,045.09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1,045.09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612.54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612.54</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42.30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42.30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2130234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76.26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76.26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30.15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30.15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265.10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265.10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259.10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259.10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公路养护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78.19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2200106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78.19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78.19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2240699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其他自然灾害防治支出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22960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用于体育事业的彩票公益金支出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ind w:left="600" w:hanging="600" w:hangingChars="300"/>
        <w:textAlignment w:val="auto"/>
        <w:rPr>
          <w:rFonts w:cs="宋体"/>
          <w:sz w:val="20"/>
          <w:szCs w:val="20"/>
        </w:rPr>
      </w:pPr>
      <w:r>
        <w:rPr>
          <w:rFonts w:cs="宋体"/>
          <w:sz w:val="20"/>
          <w:szCs w:val="20"/>
        </w:rPr>
        <w:t>备注：1.本表反映部门本年度取得的各项收入情况。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598" w:leftChars="285" w:firstLine="0" w:firstLineChars="0"/>
        <w:textAlignment w:val="auto"/>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2"/>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 xml:space="preserve">重庆市丰都县树人镇人民政府 </w:t>
            </w:r>
          </w:p>
        </w:tc>
        <w:tc>
          <w:tcPr>
            <w:tcW w:w="169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9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7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7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41"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9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9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7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79"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41"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3,127.41</w:t>
            </w:r>
            <w:r>
              <w:rPr>
                <w:rFonts w:hint="eastAsia" w:ascii="宋体" w:hAnsi="宋体" w:eastAsia="宋体" w:cs="Times New Roman"/>
                <w:b/>
                <w:color w:val="000000"/>
                <w:kern w:val="0"/>
                <w:sz w:val="20"/>
                <w:u w:val="none" w:color="auto"/>
              </w:rPr>
              <w:t xml:space="preserve"> </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2,147.56</w:t>
            </w:r>
            <w:r>
              <w:rPr>
                <w:rFonts w:hint="eastAsia" w:ascii="宋体" w:hAnsi="宋体" w:eastAsia="宋体" w:cs="Times New Roman"/>
                <w:b/>
                <w:color w:val="000000"/>
                <w:kern w:val="0"/>
                <w:sz w:val="20"/>
                <w:u w:val="none" w:color="auto"/>
              </w:rPr>
              <w:t xml:space="preserve"> </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979.85</w:t>
            </w:r>
            <w:r>
              <w:rPr>
                <w:rFonts w:hint="eastAsia" w:ascii="宋体" w:hAnsi="宋体" w:eastAsia="宋体" w:cs="Times New Roman"/>
                <w:b/>
                <w:color w:val="000000"/>
                <w:kern w:val="0"/>
                <w:sz w:val="20"/>
                <w:u w:val="none" w:color="auto"/>
              </w:rPr>
              <w:t xml:space="preserve"> </w:t>
            </w: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7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803.16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762.86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2.96</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其他人大事务支出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0.50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0.50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796.24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762.86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33.38</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28.56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16.08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2013202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2013899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2039999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司法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2040699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其他司法支出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2059999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103.69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103.69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2070109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549.16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423.46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125.70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2080705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2081006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大中型水库移民后期扶持基金支出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移民补助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2082850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151.05</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80.64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70.41</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124.11</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80.64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43.47</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124.11</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80.64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43.47</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1,101.10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637.53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463.58</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616.14</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383.53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232.61</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农村合作经济</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2130135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3.60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3.60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85.75</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85.75</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2130234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70.45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70.45</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85.22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39.11</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39.11</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265.10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254.00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11.10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259.10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254.00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5.10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114.72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114.72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21.56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21.56</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2140602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21.56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21.56</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2200106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2240699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其他自然灾害防治支出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22960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用于体育事业的彩票公益金支出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用于其他社会公益事业的彩票公益金支出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val="none" w:color="auto"/>
              </w:rPr>
              <w:t xml:space="preserve"> </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cs="宋体"/>
          <w:sz w:val="20"/>
          <w:szCs w:val="20"/>
        </w:rPr>
      </w:pPr>
      <w:r>
        <w:rPr>
          <w:rFonts w:cs="宋体"/>
          <w:sz w:val="20"/>
          <w:szCs w:val="20"/>
        </w:rPr>
        <w:t>备注：1.本表反映部门本年度各项支出情况。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00" w:firstLineChars="300"/>
        <w:textAlignment w:val="auto"/>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2"/>
        <w:tblW w:w="14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29" w:type="dxa"/>
            <w:tcBorders>
              <w:top w:val="nil"/>
              <w:left w:val="nil"/>
              <w:bottom w:val="nil"/>
              <w:right w:val="nil"/>
            </w:tcBorders>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29"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2,943.21</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787.10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787.10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61.27</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109.13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109.13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549.16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544.96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4.20</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70.29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70.29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145.93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118.99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26.94</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1,101.10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1,101.10</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114.72</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114.72</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98.22</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98.22</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69.09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69.09</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15.96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15.96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30.13</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3,004.47</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3,106.23</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3,044.96</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61.27</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104.80</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3.05</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3.05</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104.80</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3,109.28</w:t>
            </w:r>
            <w:r>
              <w:rPr>
                <w:rFonts w:hint="eastAsia" w:ascii="宋体" w:hAnsi="宋体" w:eastAsia="宋体" w:cs="Times New Roman"/>
                <w:color w:val="000000"/>
                <w:kern w:val="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3,109.28</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3,048.01</w:t>
            </w:r>
            <w:r>
              <w:rPr>
                <w:rFonts w:hint="eastAsia" w:ascii="宋体" w:hAnsi="宋体" w:eastAsia="宋体" w:cs="Times New Roman"/>
                <w:color w:val="000000"/>
                <w:kern w:val="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61.27</w:t>
            </w:r>
            <w:r>
              <w:rPr>
                <w:rFonts w:hint="eastAsia" w:ascii="宋体" w:hAnsi="宋体" w:eastAsia="宋体" w:cs="Times New Roman"/>
                <w:color w:val="000000"/>
                <w:kern w:val="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00" w:firstLineChars="300"/>
        <w:textAlignment w:val="auto"/>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2"/>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2"/>
        <w:gridCol w:w="3536"/>
        <w:gridCol w:w="3306"/>
        <w:gridCol w:w="3306"/>
        <w:gridCol w:w="3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3306"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22"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06"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22"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3,044.96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2,126.37</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918.59</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787.10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746.79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40.30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人大事务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2.96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2.96</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人大会议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2.46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其他人大事务支出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0.50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0.50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政府办公厅（室）及相关机构事务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780.18</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746.79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33.38</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746.78</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信访事务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10.90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10.90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2010399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其他政府办公厅（室）及相关机构事务支出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0.01</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12.49</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组织事务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0.72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2013202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0.72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20138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市场监督管理事务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3.24</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2013899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其他市场监督管理事务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3.24</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其他国防支出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2039999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20406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司法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2040699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其他司法支出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教育支出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其他教育支出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2059999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其他教育支出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103.69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5.44</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20701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文化和旅游</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109.13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103.69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5.44</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2070109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群众文化</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103.69</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其他文化和旅游支出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5.44</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544.96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423.46</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121.50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89.22</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其他人力资源和社会保障管理事务支出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89.22</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民政管理事务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52.03</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2080208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基层政权建设和社区治理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52.03</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298.26</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行政单位离退休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109.89</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92.65</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95.53</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就业补助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46.63</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2080705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公益性岗位补贴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46.63</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社会福利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18.00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2081006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养老服务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18.00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残疾人事业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4.84</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2081104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残疾人康复</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4.84</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退役军人管理事务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35.98</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2082850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35.98</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70.29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17.58</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22.50</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其他行政事业单位医疗支出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30.21</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118.99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75.52</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43.47</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118.99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75.52</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43.47</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118.99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75.52</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43.47</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1,101.10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637.53</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463.58</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农业农村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616.14</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383.53</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232.61</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383.53</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病虫害控制</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27.46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农业生产发展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185.05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2130124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农村合作经济</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16.50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2130135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农业资源保护修复与利用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3.60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3.60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林业和草原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85.75</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85.75</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森林资源培育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森林资源管理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2130234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林业草原防灾减灾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70.45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70.45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2130299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其他林业和草原支出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3.30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水利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48.90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其他水利支出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48.90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85.22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85.22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农村基础设施建设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23.97</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生产发展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39.11</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39.11</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社会发展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12.78</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9.35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农村综合改革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265.10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254.00</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11.10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对村级公益事业建设的补助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2130705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对村民委员会和村党支部的补助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259.10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254.00</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5.10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交通运输支出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114.72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114.72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公路水路运输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93.16</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86.55</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2140106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公路养护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6.62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21406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车辆购置税支出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21.56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21.56</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2140602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车辆购置税用于农村公路建设支出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21.56</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21.56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自然资源海洋气象等支出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22001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自然资源事务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98.22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2200106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自然资源利用与保护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98.22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69.09</w:t>
            </w:r>
            <w:r>
              <w:rPr>
                <w:rFonts w:hint="eastAsia" w:ascii="宋体" w:hAnsi="宋体" w:eastAsia="宋体" w:cs="Times New Roman"/>
                <w:b/>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69.09</w:t>
            </w: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15.96</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2.00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4.52</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2240699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其他自然灾害防治支出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4.52</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9.03</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自然灾害救灾补助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1.46</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2240799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7.57</w:t>
            </w: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0.40</w:t>
            </w: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0.40</w:t>
            </w:r>
            <w:r>
              <w:rPr>
                <w:rFonts w:hint="eastAsia" w:ascii="宋体" w:hAnsi="宋体" w:eastAsia="宋体" w:cs="Times New Roman"/>
                <w:color w:val="000000"/>
                <w:kern w:val="0"/>
                <w:sz w:val="20"/>
                <w:u w:val="none" w:color="auto"/>
              </w:rPr>
              <w:t xml:space="preserve"> </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cs="宋体"/>
          <w:sz w:val="20"/>
          <w:szCs w:val="20"/>
        </w:rPr>
      </w:pPr>
      <w:r>
        <w:rPr>
          <w:rFonts w:cs="宋体"/>
          <w:sz w:val="20"/>
          <w:szCs w:val="20"/>
        </w:rPr>
        <w:t>备注：1.本表反映部门本年度一般公共预算财政拨款支出情况。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00" w:firstLineChars="300"/>
        <w:textAlignment w:val="auto"/>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2"/>
        <w:tblW w:w="15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1650"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05"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51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882"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50"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05"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514" w:type="dxa"/>
            <w:tcBorders>
              <w:top w:val="nil"/>
              <w:left w:val="nil"/>
              <w:bottom w:val="nil"/>
              <w:right w:val="nil"/>
            </w:tcBorders>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882" w:type="dxa"/>
            <w:tcBorders>
              <w:top w:val="nil"/>
              <w:left w:val="nil"/>
              <w:bottom w:val="nil"/>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w:t>
            </w:r>
            <w:r>
              <w:rPr>
                <w:rFonts w:hint="eastAsia" w:ascii="宋体" w:hAnsi="宋体" w:eastAsia="宋体" w:cs="宋体"/>
                <w:b/>
                <w:color w:val="000000"/>
                <w:kern w:val="0"/>
                <w:sz w:val="18"/>
                <w:szCs w:val="18"/>
                <w:lang w:val="en-US" w:eastAsia="zh-CN"/>
              </w:rPr>
              <w:t>经济</w:t>
            </w:r>
            <w:r>
              <w:rPr>
                <w:rFonts w:hint="eastAsia" w:ascii="宋体" w:hAnsi="宋体" w:eastAsia="宋体" w:cs="宋体"/>
                <w:b/>
                <w:color w:val="000000"/>
                <w:kern w:val="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w:t>
            </w:r>
            <w:r>
              <w:rPr>
                <w:rFonts w:hint="eastAsia" w:ascii="宋体" w:hAnsi="宋体" w:eastAsia="宋体" w:cs="宋体"/>
                <w:b/>
                <w:color w:val="000000"/>
                <w:kern w:val="0"/>
                <w:sz w:val="18"/>
                <w:szCs w:val="18"/>
                <w:lang w:val="en-US" w:eastAsia="zh-CN"/>
              </w:rPr>
              <w:t>经济</w:t>
            </w:r>
            <w:r>
              <w:rPr>
                <w:rFonts w:hint="eastAsia" w:ascii="宋体" w:hAnsi="宋体" w:eastAsia="宋体" w:cs="宋体"/>
                <w:b/>
                <w:color w:val="000000"/>
                <w:kern w:val="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w:t>
            </w:r>
            <w:r>
              <w:rPr>
                <w:rFonts w:hint="eastAsia" w:ascii="宋体" w:hAnsi="宋体" w:eastAsia="宋体" w:cs="宋体"/>
                <w:b/>
                <w:color w:val="000000"/>
                <w:kern w:val="0"/>
                <w:sz w:val="18"/>
                <w:szCs w:val="18"/>
                <w:lang w:val="en-US" w:eastAsia="zh-CN"/>
              </w:rPr>
              <w:t>经济</w:t>
            </w:r>
            <w:r>
              <w:rPr>
                <w:rFonts w:hint="eastAsia" w:ascii="宋体" w:hAnsi="宋体" w:eastAsia="宋体" w:cs="宋体"/>
                <w:b/>
                <w:color w:val="000000"/>
                <w:kern w:val="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1,387.10</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341.20</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9.21</w:t>
            </w: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300.34</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55.72</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175.26</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8.84</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9.21</w:t>
            </w: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181.71</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0.50</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372.78</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1.47</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117.93</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5.71</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95.24</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8.05</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41.57</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16.23</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49.08</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71.20</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14.84</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2.43</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16.09</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388.86</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1.23</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12.36</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0.63</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381.33</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53.63</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3.28</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34.00</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4.25</w:t>
            </w: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15.87</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30.60</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44.98</w:t>
            </w: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1,775.96</w:t>
            </w:r>
            <w:r>
              <w:rPr>
                <w:rFonts w:hint="eastAsia" w:ascii="宋体" w:hAnsi="宋体" w:eastAsia="宋体" w:cs="Times New Roman"/>
                <w:color w:val="000000"/>
                <w:kern w:val="0"/>
                <w:sz w:val="18"/>
                <w:u w:val="none"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188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350.41</w:t>
            </w:r>
            <w:r>
              <w:rPr>
                <w:rFonts w:hint="eastAsia" w:ascii="宋体" w:hAnsi="宋体" w:eastAsia="宋体" w:cs="Times New Roman"/>
                <w:color w:val="000000"/>
                <w:kern w:val="0"/>
                <w:sz w:val="18"/>
                <w:u w:val="none" w:color="auto"/>
              </w:rPr>
              <w:t xml:space="preserve"> </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cs="宋体"/>
          <w:sz w:val="20"/>
          <w:szCs w:val="20"/>
        </w:rPr>
      </w:pPr>
      <w:r>
        <w:rPr>
          <w:rFonts w:cs="宋体"/>
          <w:sz w:val="20"/>
          <w:szCs w:val="20"/>
        </w:rPr>
        <w:t>备注：1.本表反映部门本年度一般公共预算财政拨款基本支出明细情况。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00" w:firstLineChars="300"/>
        <w:textAlignment w:val="auto"/>
        <w:rPr>
          <w:rFonts w:cs="宋体"/>
          <w:sz w:val="20"/>
          <w:szCs w:val="20"/>
        </w:rPr>
      </w:pPr>
      <w:r>
        <w:rPr>
          <w:rFonts w:hint="eastAsia" w:cs="宋体"/>
          <w:sz w:val="20"/>
          <w:szCs w:val="20"/>
          <w:lang w:val="en-US" w:eastAsia="zh-CN"/>
        </w:rPr>
        <w:t>2.</w:t>
      </w:r>
      <w:r>
        <w:rPr>
          <w:rFonts w:cs="宋体"/>
          <w:sz w:val="20"/>
          <w:szCs w:val="20"/>
        </w:rPr>
        <w:t>本套报表金额单位转换时可能存在尾数误差。</w:t>
      </w:r>
    </w:p>
    <w:tbl>
      <w:tblPr>
        <w:tblStyle w:val="2"/>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6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829"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65" w:type="dxa"/>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829"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61.27</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61.27</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61.27</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20822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大中型水库移民后期扶持基金支出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2082201</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移民补助</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4.20</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26.94</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2120899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22960</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彩票公益金安排的支出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w:t>
            </w:r>
            <w:r>
              <w:rPr>
                <w:rFonts w:hint="eastAsia" w:ascii="宋体" w:hAnsi="宋体" w:eastAsia="宋体" w:cs="Times New Roman"/>
                <w:b/>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用于社会福利的彩票公益金支出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17.00</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2296003</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用于体育事业的彩票公益金支出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3.13</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2296099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用于其他社会公益事业的彩票公益金支出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10.00</w:t>
            </w:r>
            <w:r>
              <w:rPr>
                <w:rFonts w:hint="eastAsia" w:ascii="宋体" w:hAnsi="宋体" w:eastAsia="宋体" w:cs="Times New Roman"/>
                <w:color w:val="000000"/>
                <w:kern w:val="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val="none" w:color="auto"/>
              </w:rPr>
              <w:t xml:space="preserve"> </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ind w:left="600" w:hanging="600" w:hangingChars="300"/>
        <w:textAlignment w:val="auto"/>
        <w:rPr>
          <w:rFonts w:cs="宋体"/>
          <w:sz w:val="20"/>
          <w:szCs w:val="20"/>
        </w:rPr>
      </w:pPr>
      <w:r>
        <w:rPr>
          <w:rFonts w:cs="宋体"/>
          <w:sz w:val="20"/>
          <w:szCs w:val="20"/>
        </w:rPr>
        <w:t>备注：1.本表反映部门本年度政府性基金预算财政拨款收入支出及结转和结余情况。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598" w:leftChars="285" w:firstLine="0" w:firstLineChars="0"/>
        <w:textAlignment w:val="auto"/>
        <w:rPr>
          <w:rFonts w:cs="宋体"/>
          <w:sz w:val="20"/>
          <w:szCs w:val="20"/>
        </w:rPr>
      </w:pPr>
      <w:r>
        <w:rPr>
          <w:rFonts w:cs="宋体"/>
          <w:sz w:val="20"/>
          <w:szCs w:val="20"/>
        </w:rPr>
        <w:t>2.本套报表金额单位转换时可能存在尾数误差。</w:t>
      </w:r>
    </w:p>
    <w:p>
      <w:pPr>
        <w:rPr>
          <w:rFonts w:cs="宋体"/>
          <w:sz w:val="20"/>
          <w:szCs w:val="20"/>
        </w:rPr>
      </w:pPr>
      <w:r>
        <w:rPr>
          <w:rFonts w:cs="宋体"/>
          <w:sz w:val="20"/>
          <w:szCs w:val="20"/>
        </w:rPr>
        <w:br w:type="page"/>
      </w:r>
    </w:p>
    <w:tbl>
      <w:tblPr>
        <w:tblStyle w:val="2"/>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75"/>
        <w:gridCol w:w="3049"/>
        <w:gridCol w:w="3264"/>
        <w:gridCol w:w="199"/>
        <w:gridCol w:w="3463"/>
        <w:gridCol w:w="77"/>
        <w:gridCol w:w="3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3739" w:type="dxa"/>
            <w:gridSpan w:val="3"/>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95"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739" w:type="dxa"/>
            <w:gridSpan w:val="3"/>
            <w:tcBorders>
              <w:top w:val="nil"/>
              <w:left w:val="nil"/>
              <w:bottom w:val="nil"/>
              <w:right w:val="nil"/>
            </w:tcBorders>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95" w:type="dxa"/>
            <w:tcBorders>
              <w:top w:val="nil"/>
              <w:left w:val="nil"/>
              <w:bottom w:val="nil"/>
              <w:right w:val="nil"/>
            </w:tcBorders>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347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val="none" w:color="auto"/>
              </w:rPr>
              <w:t xml:space="preserve"> </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cs="宋体"/>
          <w:sz w:val="20"/>
          <w:szCs w:val="20"/>
        </w:rPr>
      </w:pPr>
      <w:r>
        <w:rPr>
          <w:rFonts w:cs="宋体"/>
          <w:sz w:val="20"/>
          <w:szCs w:val="20"/>
        </w:rPr>
        <w:t>备注：本表反映部门本年度国有资本经营预算财政拨款支出情况。本部门无国有资本经营收支，故本表无数据。</w:t>
      </w:r>
    </w:p>
    <w:p>
      <w:pPr>
        <w:rPr>
          <w:rFonts w:cs="宋体"/>
          <w:sz w:val="20"/>
          <w:szCs w:val="20"/>
        </w:rPr>
      </w:pPr>
      <w:r>
        <w:rPr>
          <w:rFonts w:cs="宋体"/>
          <w:sz w:val="20"/>
          <w:szCs w:val="20"/>
        </w:rPr>
        <w:br w:type="page"/>
      </w:r>
    </w:p>
    <w:tbl>
      <w:tblPr>
        <w:tblStyle w:val="2"/>
        <w:tblW w:w="14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4004"/>
        <w:gridCol w:w="2146"/>
        <w:gridCol w:w="2093"/>
        <w:gridCol w:w="4482"/>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862" w:type="dxa"/>
            <w:gridSpan w:val="5"/>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2"/>
                <w:sz w:val="32"/>
                <w:szCs w:val="32"/>
              </w:rPr>
            </w:pPr>
            <w:r>
              <w:rPr>
                <w:rFonts w:hint="eastAsia" w:ascii="宋体" w:hAnsi="宋体" w:eastAsia="宋体"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4004" w:type="dxa"/>
            <w:tcMar>
              <w:top w:w="15" w:type="dxa"/>
              <w:left w:w="15" w:type="dxa"/>
              <w:right w:w="15" w:type="dxa"/>
            </w:tcMar>
            <w:vAlign w:val="bottom"/>
          </w:tcPr>
          <w:p>
            <w:pPr>
              <w:widowControl/>
              <w:spacing w:line="280" w:lineRule="exact"/>
              <w:jc w:val="left"/>
              <w:rPr>
                <w:rFonts w:hint="default" w:ascii="宋体" w:hAnsi="宋体" w:eastAsia="宋体" w:cs="宋体"/>
                <w:color w:val="000000"/>
                <w:kern w:val="2"/>
                <w:sz w:val="20"/>
                <w:szCs w:val="20"/>
              </w:rPr>
            </w:pPr>
          </w:p>
        </w:tc>
        <w:tc>
          <w:tcPr>
            <w:tcW w:w="2146" w:type="dxa"/>
            <w:tcMar>
              <w:top w:w="15" w:type="dxa"/>
              <w:left w:w="15" w:type="dxa"/>
              <w:right w:w="15" w:type="dxa"/>
            </w:tcMar>
            <w:vAlign w:val="bottom"/>
          </w:tcPr>
          <w:p>
            <w:pPr>
              <w:widowControl/>
              <w:spacing w:line="280" w:lineRule="exact"/>
              <w:jc w:val="center"/>
              <w:rPr>
                <w:rFonts w:hint="default" w:ascii="宋体" w:hAnsi="宋体" w:eastAsia="宋体" w:cs="宋体"/>
                <w:color w:val="000000"/>
                <w:kern w:val="2"/>
                <w:sz w:val="20"/>
                <w:szCs w:val="20"/>
              </w:rPr>
            </w:pPr>
          </w:p>
        </w:tc>
        <w:tc>
          <w:tcPr>
            <w:tcW w:w="2093" w:type="dxa"/>
            <w:tcMar>
              <w:top w:w="15" w:type="dxa"/>
              <w:left w:w="15" w:type="dxa"/>
              <w:right w:w="15" w:type="dxa"/>
            </w:tcMar>
            <w:vAlign w:val="bottom"/>
          </w:tcPr>
          <w:p>
            <w:pPr>
              <w:widowControl/>
              <w:spacing w:line="280" w:lineRule="exact"/>
              <w:jc w:val="right"/>
              <w:rPr>
                <w:rFonts w:hint="default" w:ascii="宋体" w:hAnsi="宋体" w:eastAsia="宋体" w:cs="宋体"/>
                <w:color w:val="000000"/>
                <w:kern w:val="2"/>
                <w:sz w:val="20"/>
                <w:szCs w:val="20"/>
              </w:rPr>
            </w:pPr>
          </w:p>
        </w:tc>
        <w:tc>
          <w:tcPr>
            <w:tcW w:w="4482" w:type="dxa"/>
            <w:tcMar>
              <w:top w:w="15" w:type="dxa"/>
              <w:left w:w="15" w:type="dxa"/>
              <w:right w:w="15" w:type="dxa"/>
            </w:tcMar>
            <w:vAlign w:val="bottom"/>
          </w:tcPr>
          <w:p>
            <w:pPr>
              <w:widowControl/>
              <w:spacing w:line="280" w:lineRule="exact"/>
              <w:jc w:val="left"/>
              <w:rPr>
                <w:rFonts w:hint="default" w:ascii="宋体" w:hAnsi="宋体" w:eastAsia="宋体" w:cs="宋体"/>
                <w:color w:val="000000"/>
                <w:kern w:val="2"/>
                <w:sz w:val="20"/>
                <w:szCs w:val="20"/>
              </w:rPr>
            </w:pPr>
          </w:p>
        </w:tc>
        <w:tc>
          <w:tcPr>
            <w:tcW w:w="2137" w:type="dxa"/>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2"/>
                <w:sz w:val="20"/>
                <w:szCs w:val="20"/>
              </w:rPr>
            </w:pPr>
            <w:r>
              <w:rPr>
                <w:rFonts w:hint="eastAsia" w:ascii="宋体" w:hAnsi="宋体" w:eastAsia="宋体" w:cs="宋体"/>
                <w:color w:val="000000"/>
                <w:kern w:val="2"/>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tcMar>
              <w:top w:w="15" w:type="dxa"/>
              <w:left w:w="15" w:type="dxa"/>
              <w:right w:w="15" w:type="dxa"/>
            </w:tcMar>
            <w:vAlign w:val="bottom"/>
          </w:tcPr>
          <w:p>
            <w:pPr>
              <w:widowControl/>
              <w:spacing w:line="280" w:lineRule="exact"/>
              <w:jc w:val="left"/>
              <w:rPr>
                <w:rFonts w:hint="default" w:ascii="宋体" w:hAnsi="宋体" w:eastAsia="宋体" w:cs="宋体"/>
                <w:color w:val="000000"/>
                <w:kern w:val="2"/>
                <w:sz w:val="20"/>
                <w:szCs w:val="20"/>
              </w:rPr>
            </w:pPr>
            <w:r>
              <w:rPr>
                <w:rFonts w:hint="eastAsia" w:ascii="宋体" w:hAnsi="宋体" w:eastAsia="宋体" w:cs="宋体"/>
                <w:kern w:val="2"/>
                <w:sz w:val="20"/>
                <w:szCs w:val="20"/>
              </w:rPr>
              <w:t>公开部门</w:t>
            </w:r>
            <w:r>
              <w:rPr>
                <w:rFonts w:hint="eastAsia" w:ascii="宋体" w:hAnsi="宋体" w:eastAsia="宋体" w:cs="宋体"/>
                <w:color w:val="000000"/>
                <w:kern w:val="2"/>
                <w:sz w:val="20"/>
                <w:szCs w:val="20"/>
              </w:rPr>
              <w:t xml:space="preserve">： </w:t>
            </w:r>
            <w:r>
              <w:rPr>
                <w:rFonts w:hint="eastAsia" w:ascii="宋体" w:hAnsi="宋体" w:eastAsia="宋体" w:cs="Times New Roman"/>
                <w:color w:val="000000"/>
                <w:kern w:val="0"/>
                <w:sz w:val="20"/>
                <w:u w:val="none" w:color="auto"/>
              </w:rPr>
              <w:t>重庆市丰都县树人镇人民政府</w:t>
            </w:r>
          </w:p>
        </w:tc>
        <w:tc>
          <w:tcPr>
            <w:tcW w:w="2093" w:type="dxa"/>
            <w:tcBorders>
              <w:top w:val="nil"/>
              <w:left w:val="nil"/>
              <w:bottom w:val="single" w:color="auto" w:sz="4" w:space="0"/>
              <w:right w:val="nil"/>
            </w:tcBorders>
            <w:tcMar>
              <w:top w:w="15" w:type="dxa"/>
              <w:left w:w="15" w:type="dxa"/>
              <w:right w:w="15" w:type="dxa"/>
            </w:tcMar>
            <w:vAlign w:val="bottom"/>
          </w:tcPr>
          <w:p>
            <w:pPr>
              <w:widowControl/>
              <w:spacing w:line="280" w:lineRule="exact"/>
              <w:jc w:val="right"/>
              <w:rPr>
                <w:rFonts w:hint="default" w:ascii="宋体" w:hAnsi="宋体" w:eastAsia="宋体" w:cs="宋体"/>
                <w:color w:val="000000"/>
                <w:kern w:val="2"/>
                <w:sz w:val="20"/>
                <w:szCs w:val="20"/>
              </w:rPr>
            </w:pPr>
          </w:p>
        </w:tc>
        <w:tc>
          <w:tcPr>
            <w:tcW w:w="4482" w:type="dxa"/>
            <w:tcBorders>
              <w:top w:val="nil"/>
              <w:left w:val="nil"/>
              <w:bottom w:val="single" w:color="auto" w:sz="4" w:space="0"/>
              <w:right w:val="nil"/>
            </w:tcBorders>
            <w:tcMar>
              <w:top w:w="15" w:type="dxa"/>
              <w:left w:w="15" w:type="dxa"/>
              <w:right w:w="15" w:type="dxa"/>
            </w:tcMar>
            <w:vAlign w:val="bottom"/>
          </w:tcPr>
          <w:p>
            <w:pPr>
              <w:widowControl/>
              <w:spacing w:line="280" w:lineRule="exact"/>
              <w:jc w:val="left"/>
              <w:rPr>
                <w:rFonts w:hint="default" w:ascii="宋体" w:hAnsi="宋体" w:eastAsia="宋体" w:cs="宋体"/>
                <w:color w:val="000000"/>
                <w:kern w:val="2"/>
                <w:sz w:val="20"/>
                <w:szCs w:val="20"/>
              </w:rPr>
            </w:pPr>
          </w:p>
        </w:tc>
        <w:tc>
          <w:tcPr>
            <w:tcW w:w="2137" w:type="dxa"/>
            <w:tcBorders>
              <w:top w:val="nil"/>
              <w:left w:val="nil"/>
              <w:bottom w:val="single" w:color="auto" w:sz="4" w:space="0"/>
              <w:right w:val="nil"/>
            </w:tcBorders>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2"/>
                <w:sz w:val="20"/>
                <w:szCs w:val="20"/>
              </w:rPr>
            </w:pPr>
            <w:r>
              <w:rPr>
                <w:rFonts w:hint="eastAsia" w:ascii="宋体" w:hAnsi="宋体" w:eastAsia="宋体" w:cs="宋体"/>
                <w:color w:val="000000"/>
                <w:kern w:val="2"/>
                <w:sz w:val="20"/>
                <w:szCs w:val="20"/>
              </w:rPr>
              <w:t>单位：</w:t>
            </w:r>
            <w:r>
              <w:rPr>
                <w:rFonts w:hint="eastAsia" w:ascii="宋体" w:hAnsi="宋体" w:eastAsia="宋体"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2"/>
                <w:sz w:val="16"/>
                <w:szCs w:val="16"/>
              </w:rPr>
            </w:pPr>
            <w:r>
              <w:rPr>
                <w:rFonts w:hint="eastAsia" w:ascii="宋体" w:hAnsi="宋体" w:eastAsia="宋体"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230.27</w:t>
            </w: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28.23</w:t>
            </w: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28.23</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230.27</w:t>
            </w: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15.87</w:t>
            </w: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15.87</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4</w:t>
            </w: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15.87</w:t>
            </w: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15.87</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12.36</w:t>
            </w:r>
            <w:r>
              <w:rPr>
                <w:rFonts w:hint="eastAsia" w:ascii="宋体" w:hAnsi="宋体" w:eastAsia="宋体" w:cs="Times New Roman"/>
                <w:color w:val="000000"/>
                <w:kern w:val="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12.36</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12.36</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4</w:t>
            </w: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4</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318</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2,558</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Times New Roman"/>
                <w:color w:val="000000"/>
                <w:kern w:val="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2.64</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rPr>
                <w:rFonts w:hint="default" w:ascii="宋体" w:hAnsi="宋体" w:eastAsia="宋体"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200" w:lineRule="exact"/>
              <w:jc w:val="right"/>
              <w:textAlignment w:val="bottom"/>
              <w:rPr>
                <w:rFonts w:hint="default" w:ascii="宋体" w:hAnsi="宋体" w:eastAsia="宋体" w:cs="宋体"/>
                <w:color w:val="000000"/>
                <w:kern w:val="2"/>
                <w:sz w:val="16"/>
                <w:szCs w:val="16"/>
              </w:rPr>
            </w:pPr>
            <w:r>
              <w:rPr>
                <w:rFonts w:hint="eastAsia" w:ascii="宋体" w:hAnsi="宋体" w:eastAsia="宋体" w:cs="宋体"/>
                <w:color w:val="000000"/>
                <w:kern w:val="2"/>
                <w:sz w:val="16"/>
                <w:szCs w:val="16"/>
              </w:rPr>
              <w:t>1.23</w:t>
            </w:r>
            <w:r>
              <w:rPr>
                <w:rFonts w:hint="eastAsia" w:ascii="宋体" w:hAnsi="宋体" w:eastAsia="宋体" w:cs="Times New Roman"/>
                <w:color w:val="000000"/>
                <w:kern w:val="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widowControl/>
              <w:spacing w:line="200" w:lineRule="exact"/>
              <w:jc w:val="left"/>
              <w:rPr>
                <w:rFonts w:hint="default" w:ascii="宋体" w:hAnsi="宋体" w:eastAsia="宋体"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line="200" w:lineRule="exact"/>
              <w:jc w:val="right"/>
              <w:rPr>
                <w:rFonts w:hint="default" w:ascii="宋体" w:hAnsi="宋体" w:eastAsia="宋体" w:cs="宋体"/>
                <w:color w:val="000000"/>
                <w:kern w:val="2"/>
                <w:sz w:val="16"/>
                <w:szCs w:val="16"/>
              </w:rPr>
            </w:pP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00" w:firstLineChars="300"/>
        <w:textAlignment w:val="auto"/>
        <w:rPr>
          <w:rFonts w:hint="default" w:cs="宋体"/>
          <w:sz w:val="20"/>
          <w:szCs w:val="20"/>
        </w:rPr>
      </w:pPr>
      <w:r>
        <w:rPr>
          <w:rFonts w:cs="宋体"/>
          <w:sz w:val="20"/>
          <w:szCs w:val="20"/>
        </w:rPr>
        <w:t>2.本套报表金额单位转换时可能存在尾数误差。</w:t>
      </w: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NjQ1OTZmZDBmZWQyYTJiM2M0OTU1ZTg1YWNhMWMifQ=="/>
  </w:docVars>
  <w:rsids>
    <w:rsidRoot w:val="00000000"/>
    <w:rsid w:val="2E69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2024-09-26T07:25:00Z</dcterms:created>
  <dc:creator>Administrator</dc:creator>
  <cp:lastModifiedBy>咖啡思语</cp:lastModifiedBy>
  <dcterms:modified xsi:type="dcterms:W3CDTF">2024-09-26T08:21:29Z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520AFBD8144A43FBB5ABF5A404A7CD37_12</vt:lpwstr>
  </property>
</Properties>
</file>