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丰都县树人镇人民政府2023年度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决算公开说明</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方针政策和国家的法律法规、促进经济社会发展、加强社会管理和公共服务、维护社会和谐稳定，进一步强化城市管理和社区服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树人镇人民政府下设机构8个：党政办、党群办、经发办、社事办、平安办、规环办、财政办、应急办；事业机构5个：农服中心、文服中心、劳动就业和社会保障服务所、退役军人服务站、综合行政执法大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1.总体情况。2023年度收入总计3173.32万元，支出总计3173.32万元。收支较上年决算数减少308.93万元,下降8.87%，主要原因是年中人员变动及专项工作经费减少。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3004.47万元，较上年决算数减少223.22万元，下降6.92%，主要原因是年中人员变动及专项工作经费减少。其中：财政拨款收入3004.47万元，占100%。此外，使用非财政拨款结余0万元，年初结转和结余168.84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3127.41万元，较上年决算减少244.3万元，下降7.25%，主要原因是年中人员变动及专项工作经费减少。其中：基本支出2147.56万元，占68.67%；项目支出979.85万元，占31.33%。此外，结余分配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4.结转结余情况。2023年度年末结转和结余110.54万元，较上年决算数减少33.17万元，下降58.48%，主要原因是2022年度结余资金被使用于政府日常开销。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2023年度财政拨款收、支总计3019.28万元。与2022年相比，财政拨款收、支总计各减少308.93万元，下降9.04%。主要原因是年中人员变动及部分专项工作经费减少。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2943.21万元，较上年决算数减少272.08万元，下降8.46%。主要原因是年中人员变动。较年初预算数增加913.3万元，增长44.99%。主要原因是专项工作经费以及项目数量的增加。此外，年初财政拨款结转和结余104.8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3044.96万元，较上年决算数减少314.35万元，下降9.36%。主要原因是年中人员变动，人员经费减少。较年初预算数增加1015.05万元，增长50%。主要原因是专项工作经费以及项目数量的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3.结转结余情况。2023年度年末一般公共预算财政拨款结转和结余3.05万元，较上年决算数减少43.45万元，下降93.44%，主要原因是松材线虫除治经费支付了93.44%。</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4.比较情况。本部门2023年度一般公共预算财政拨款支出主要用于以下几个方面：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（1）一般公共服务支出787.1万元，占25.85%，较年初预算数增加75.42万元，增长1.6%，主要原因是年中人员增加，如：新进公务员、大学生公益岗人员增加。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（2）国防支出5.4万元，占0.18%，较年初预算数增加5.4万元，增长100%，主要原因是今年国防支出方面的需求有所增加，且无年初预算。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（3）公共安全支出5万元，占0.16%，较年初预算数增加0.00万元，增长0%，主要原因是收支平衡。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（4）教育支出5万元，占0.16%，较年初预算数增加0.00，增长0%，主要原因是收支平衡。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（5）文化旅游体育与传媒支出109.13万元，占3.58%，较年初预算数增加15.78万元，增长16.9%，主要原因是有上级专项资金拨款，如“树人镇文化服务中心免费开放资金”工作经费。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社会保障与就业支出544.96万元，占17.9%，较年初预算数增加217.91万元，增长66.63%，主要原因是有上级专项资金拨款，如“残疾人专职委员及阳光家园居家托养补助”、“公益性岗位补贴”、“村干部补助”等工作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（7）卫生健康支出70.29万元，占2.31%，较年初预算数增加0.00，增长0%，主要原因是收支平衡。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（8）城乡社区支出118.99万元，占3.91%，较年初预算数增加83.13万元，增长231.82%，主要原因是有专项体制经费“市政管理相关工作经费”。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（9）农林水支出1101.1万元，占36.16%，较年初预算数增加505.53万元，增长84.88%，主要原因是有上级专项资金拨款，如：“树人镇新农人培育提升项目”、“丰都县树人镇2023年林业有害生物防治项目”等。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（10）交通运输支出114.72万元，占3.77%，较年初预算数增加61.47万元，增长115.44%，主要原因是有上级专项资金拨款，如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“树人镇三口井村通畅工程”、“树人镇石盒撤并村村道公路工程”等项目。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（11）自然资源海洋气象等支出98.22万元，占3.23%，较年初预算数增加98.22万元，增长100.00%，主要原因是有上级专项资金拨款，如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“丰都县仙女湖镇等9个镇街国土绿化项目”、“2022年耕地保护项目”等项目。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（12）住房保障支出69.09万元，占2.27%，较年初预算数减少10.78万元，下降13.50%，主要原因是压减年初预算，减少业务经费支出。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（13）灾害防治及应急管理支出15.96万元，占0.52%，较年初预算数增加11.96万元，增长299.00%，主要原因是有上级专项资金拨款，如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“2022年中央自然灾害救灾资金”、“2022年中央水利救灾资金（抗旱）”等项目。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2126.37万元。其中：人员经费1775.96万元，较上年决算数增加169.02万元，增长10.52%，主要原因是人员的增减，形成人员经费出现差额。人员经费用途主要包括机关事业单位职工基本工资、公务员津补贴、事业单位绩效、社会保险缴费、其他工资福利待遇等。公用经费350.41万元，较上年决算数增加52.21万元，增长17.51%，主要原因是本年新增公务员7人，事业单位人员1人，办公经费随之增加。公用经费用途主要包括办公费、邮电费、差旅费、会议费、培训费、公务接待费、公务车辆运行维护费、其他商品和服务支出等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2023年度政府性基金预算财政拨款年初结转结余0.00万元，年末结转结余0.00万元。本年收入61.27万元，较上年决算数增加48.87万元，增长394.11%，主要原因是有上级专项资金拨款，如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“树人镇2022年公路养护资金”、“树人镇2020年养老服务业发展补助”等项目。本年支出61.27万元，较上年决算数增加48.87万元，增长394.11%，主要原因是有上级专项资金拨款，如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“树人镇2022年公路养护资金”、“树人镇2020年养老服务业发展补助”等项目。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本部门2023年度无国有资金经营预算财政拨款支出。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28.23万元，较年初预算数减少16.67万元，下降37.13%，主要原因是认真贯彻落实中央八项规定精神和厉行节约要求，按照只减不增的要求从严控制“三公”经费。较上年支出数增加12.88万元，增长83.91%，主要原因是单位四辆公务车多年未进行大修大保养，四辆车在今年分别进行了大修和大保养，且本年应乡村振兴等项目检查较往年有所增加故用车次数较去年增加，油费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2023年度本部门因公出国（境）费用0.00万元。费用支出较年初预算数无增减，主要原因是本部门2023年度未发生因公出国（境）支出。较上年支出数无增减，主要原因是本部门2023年度未发生因公出国（境）支出。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2023年度本单位公务车购置费0.00万元。费用支出较年初预算数无增减，主要原因是本单位2023年度未发生公务车购置费支出。较上年支出数无增减，主要原因是本单位2023年度未发生公务车购置费支出。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15.87万元，主要用于县内因公出行、项目检查等工作所需车辆的燃料费、维修费、过桥过路费、保险费等。费用支出较年初预算数减少0.13万元，下降0.81%，主要原因是部门四辆公务车多年未进行大修大保养，四辆车在今年分别进行了大修和大保养，且本年应乡村振兴等项目检查较往年有所增加故用车次数较去年增加，油费增加。较上年支出数增加12.68万元，增长397.49%，主要原因是部门四辆公务车多年未进行大修大保养，四辆车在今年分别进行了大修和大保养，且本年应乡村振兴等项目检查较往年有所增加故用车次数较去年增加，油费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12.36万元，主要用于接待招商引资工作、接受相关部门检查项目，指导工作。费用支出较年初预算数减少16.54万元，下降57.23%，主要原因是强化公务接待支出管理，严格遵守公务接待开支范围和开支标准，严格控制陪餐人数。较上年支出数增加0.2万元，增长1.64%，主要原因是本年应乡村振兴等项目检查较往年有所增加故公务接待费有少量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4辆；国内公务接待318批次2558人，其中：国内外事接待0批次，0人；国（境）外公务接待0批次，0人。2023年本部门人均接待费48.32元，车均购置费0万元，车均维护费3.97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2.64万元，较上年决算数增加1.93万元，增长271.83%，主要原因是本年召开了三次人大会议，故开支增加。本年度培训费支出1.23万元，较上年决算数减少0.33万元，下降21.15%，主要原因是认真贯彻落实中央八项规定精神和厉行节约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230.27万元，机关运行经费主要用于开支办公费、印刷费、手续费、日常维护费、水电费、物管费、邮电费、差旅费、租赁费、公务用车运行维护等。机关运行经费较上年支出数增加3.41万元，增长1.50%，主要原因是年中人员增加，办公开支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4辆，其中，副部（省）级及以上领导用车0辆、主要领导用车0辆、机要通信用车0辆、应急保障用车4辆、执法执勤用车0辆，特种专业技术用车0辆，离退休干部用车0辆。单价100万元（含）以上设备（不含车辆）0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2023年度本部门未发生政府采购事项，无相关经费支出。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eastAsia="方正仿宋_GBK" w:cs="Times New Roman"/>
          <w:sz w:val="32"/>
          <w:szCs w:val="32"/>
        </w:rPr>
        <w:t>根据预算绩效管理要求，本部门对部门整体和树人镇2023年乡村公路安保工程等85个项目开展了绩效自评，其中，以填报自评表形式开展自评85项，涉及资金979.86万元。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树人镇2023年度部门整体绩效自评表</w:t>
      </w:r>
    </w:p>
    <w:tbl>
      <w:tblPr>
        <w:tblStyle w:val="4"/>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67"/>
        <w:gridCol w:w="850"/>
        <w:gridCol w:w="992"/>
        <w:gridCol w:w="851"/>
        <w:gridCol w:w="709"/>
        <w:gridCol w:w="1043"/>
        <w:gridCol w:w="709"/>
        <w:gridCol w:w="799"/>
        <w:gridCol w:w="992"/>
        <w:gridCol w:w="9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683" w:type="dxa"/>
            <w:gridSpan w:val="1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2023年度部门整体绩效自评表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项目名称：</w:t>
            </w:r>
          </w:p>
        </w:tc>
        <w:tc>
          <w:tcPr>
            <w:tcW w:w="1417"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丰都县树人镇整体监控</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项目编码：</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50023000023P000071</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自评总分：</w:t>
            </w:r>
          </w:p>
        </w:tc>
        <w:tc>
          <w:tcPr>
            <w:tcW w:w="1508"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99.34</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项目主管部门：</w:t>
            </w:r>
          </w:p>
        </w:tc>
        <w:tc>
          <w:tcPr>
            <w:tcW w:w="1417"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913-丰都县树人镇人民政府</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财政归口处室：</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007-基财科</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right="483"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部门</w:t>
            </w:r>
          </w:p>
          <w:p>
            <w:pPr>
              <w:keepNext w:val="0"/>
              <w:keepLines w:val="0"/>
              <w:pageBreakBefore w:val="0"/>
              <w:widowControl/>
              <w:kinsoku/>
              <w:wordWrap/>
              <w:overflowPunct/>
              <w:topLinePunct w:val="0"/>
              <w:autoSpaceDE/>
              <w:autoSpaceDN/>
              <w:bidi w:val="0"/>
              <w:adjustRightInd/>
              <w:snapToGrid/>
              <w:spacing w:line="560" w:lineRule="exact"/>
              <w:ind w:right="161"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联系人：</w:t>
            </w:r>
          </w:p>
        </w:tc>
        <w:tc>
          <w:tcPr>
            <w:tcW w:w="1508"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杨娅</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right="181"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联系</w:t>
            </w:r>
          </w:p>
          <w:p>
            <w:pPr>
              <w:keepNext w:val="0"/>
              <w:keepLines w:val="0"/>
              <w:pageBreakBefore w:val="0"/>
              <w:widowControl/>
              <w:kinsoku/>
              <w:wordWrap/>
              <w:overflowPunct/>
              <w:topLinePunct w:val="0"/>
              <w:autoSpaceDE/>
              <w:autoSpaceDN/>
              <w:bidi w:val="0"/>
              <w:adjustRightInd/>
              <w:snapToGrid/>
              <w:spacing w:line="560" w:lineRule="exact"/>
              <w:ind w:right="181"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电话</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70658001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83" w:type="dxa"/>
            <w:gridSpan w:val="1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4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c>
          <w:tcPr>
            <w:tcW w:w="184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right="724"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年初预算数</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全年（调整）</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预算数</w:t>
            </w:r>
          </w:p>
        </w:tc>
        <w:tc>
          <w:tcPr>
            <w:tcW w:w="175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right="161"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全年执行数</w:t>
            </w:r>
          </w:p>
        </w:tc>
        <w:tc>
          <w:tcPr>
            <w:tcW w:w="1791"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right="322"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执行率</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执行率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权重</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执行率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年度总金额</w:t>
            </w:r>
          </w:p>
        </w:tc>
        <w:tc>
          <w:tcPr>
            <w:tcW w:w="184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22950092.17</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33369562.29</w:t>
            </w:r>
          </w:p>
        </w:tc>
        <w:tc>
          <w:tcPr>
            <w:tcW w:w="175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31177758.89</w:t>
            </w:r>
          </w:p>
        </w:tc>
        <w:tc>
          <w:tcPr>
            <w:tcW w:w="1791"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c>
          <w:tcPr>
            <w:tcW w:w="90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kern w:val="0"/>
                <w:sz w:val="16"/>
                <w:szCs w:val="16"/>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4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其中：财政拨款</w:t>
            </w:r>
          </w:p>
        </w:tc>
        <w:tc>
          <w:tcPr>
            <w:tcW w:w="184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22950092.17</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33369562.29</w:t>
            </w:r>
          </w:p>
        </w:tc>
        <w:tc>
          <w:tcPr>
            <w:tcW w:w="175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31177758.89</w:t>
            </w:r>
          </w:p>
        </w:tc>
        <w:tc>
          <w:tcPr>
            <w:tcW w:w="1791"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93.43</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10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4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一般公共预算</w:t>
            </w:r>
          </w:p>
        </w:tc>
        <w:tc>
          <w:tcPr>
            <w:tcW w:w="184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22446438.17</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32673908.29</w:t>
            </w:r>
          </w:p>
        </w:tc>
        <w:tc>
          <w:tcPr>
            <w:tcW w:w="1752"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30565104.89</w:t>
            </w:r>
          </w:p>
        </w:tc>
        <w:tc>
          <w:tcPr>
            <w:tcW w:w="1791"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93.54</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kern w:val="0"/>
                <w:sz w:val="16"/>
                <w:szCs w:val="16"/>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683" w:type="dxa"/>
            <w:gridSpan w:val="1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24"/>
                <w:szCs w:val="2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686" w:type="dxa"/>
            <w:gridSpan w:val="4"/>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年初绩效目标</w:t>
            </w:r>
          </w:p>
        </w:tc>
        <w:tc>
          <w:tcPr>
            <w:tcW w:w="3312" w:type="dxa"/>
            <w:gridSpan w:val="4"/>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全年（调整）绩效目标</w:t>
            </w:r>
          </w:p>
        </w:tc>
        <w:tc>
          <w:tcPr>
            <w:tcW w:w="3685" w:type="dxa"/>
            <w:gridSpan w:val="4"/>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686" w:type="dxa"/>
            <w:gridSpan w:val="4"/>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履行好纪检、宣传、统战、法制、武装、编制、人事、民宗侨台以及综合协调、文秘等职责;统筹负责基层党建、群团等工作;负责经济发展规划、农村经营管理、经济社会统计、扶贫开发、乡村振兴等工作;做好民政、教育、文化、体育、社会救助、残疾人事业、劳动就业、社会保障，统筹负责卫生、计生、老龄事业发展等工作;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312" w:type="dxa"/>
            <w:gridSpan w:val="4"/>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履行好纪检、宣传、统战、法制、武装、编制、人事、民宗侨台以及综合协调、文秘等职责;统筹负责基层党建、群团等工作;负责经济发展规划、农村经营管理、经济社会统计、扶贫开发、乡村振兴等工作;做好民政、教育、文化、体育、社会救助、残疾人事业、劳动就业、社会保障，统筹负责卫生、计生、老龄事业发展等工作;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685" w:type="dxa"/>
            <w:gridSpan w:val="4"/>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683" w:type="dxa"/>
            <w:gridSpan w:val="1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24"/>
                <w:szCs w:val="2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指标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名称</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计量单位</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指标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性质</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指标值</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全年完成值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偏离度（%）</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得分系数（%）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指标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权重</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指标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得分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是否核心指标</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rPr>
            </w:pPr>
            <w:r>
              <w:rPr>
                <w:rFonts w:hint="eastAsia" w:ascii="宋体" w:hAnsi="宋体" w:eastAsia="宋体" w:cs="宋体"/>
                <w:b/>
                <w:bCs/>
                <w:color w:val="000000"/>
                <w:kern w:val="0"/>
                <w:sz w:val="16"/>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color w:val="000000"/>
                <w:kern w:val="0"/>
                <w:sz w:val="16"/>
                <w:szCs w:val="16"/>
              </w:rPr>
              <w:t>机关事业单位人员</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人</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62</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62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20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r>
              <w:rPr>
                <w:rFonts w:hint="eastAsia" w:ascii="宋体" w:hAnsi="宋体" w:eastAsia="宋体" w:cs="宋体"/>
                <w:b/>
                <w:bCs/>
                <w:color w:val="000000"/>
                <w:kern w:val="0"/>
                <w:sz w:val="16"/>
                <w:szCs w:val="16"/>
              </w:rPr>
              <w:t>是</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项目时效</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否</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项目概算</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元</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2047560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2047560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经济社会发展及乡村振兴程度</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定性</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好</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tabs>
                <w:tab w:val="left" w:pos="485"/>
              </w:tabs>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平安建设、场镇建设、信访武装、文化阵地等工作</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定性</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好</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社会事业、民生保障、人居环境等</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定性</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好</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受益对象满意度</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43"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否</w:t>
            </w:r>
          </w:p>
        </w:tc>
        <w:tc>
          <w:tcPr>
            <w:tcW w:w="1894"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0"/>
                <w:sz w:val="16"/>
                <w:szCs w:val="16"/>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树人镇2023年乡村公路安保工程等85个项目支出绩效自评情况表详见附件。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（二）部门绩效评价情况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部门未组织开展绩效评价。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县财政局未委托第三方对我部门开展绩效评价。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六、专有名词解释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本部门决算公开信息反馈和联系方式：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杨娅     023-70658001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sectPr>
          <w:pgSz w:w="11906" w:h="16838"/>
          <w:pgMar w:top="2098" w:right="1587" w:bottom="1984" w:left="1474" w:header="851" w:footer="992" w:gutter="0"/>
          <w:cols w:space="425" w:num="1"/>
          <w:docGrid w:type="lines" w:linePitch="312" w:charSpace="0"/>
        </w:sectPr>
      </w:pPr>
    </w:p>
    <w:tbl>
      <w:tblPr>
        <w:tblStyle w:val="4"/>
        <w:tblW w:w="15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5"/>
        <w:gridCol w:w="2012"/>
        <w:gridCol w:w="4791"/>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5105"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2012" w:type="dxa"/>
            <w:tcBorders>
              <w:top w:val="nil"/>
              <w:left w:val="nil"/>
              <w:bottom w:val="nil"/>
              <w:right w:val="nil"/>
            </w:tcBorders>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4791"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3429"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r>
              <w:rPr>
                <w:rFonts w:hint="eastAsia" w:ascii="宋体" w:hAnsi="宋体" w:eastAsia="宋体" w:cs="宋体"/>
                <w:kern w:val="0"/>
                <w:sz w:val="20"/>
                <w:szCs w:val="20"/>
              </w:rPr>
              <w:t>公开部门：</w:t>
            </w:r>
            <w:r>
              <w:rPr>
                <w:rFonts w:hint="eastAsia" w:ascii="宋体" w:hAnsi="宋体" w:eastAsia="宋体" w:cs="Times New Roman"/>
                <w:kern w:val="0"/>
                <w:sz w:val="20"/>
                <w:u w:val="none" w:color="auto"/>
              </w:rPr>
              <w:t>重庆市丰都县树人镇人民政府</w:t>
            </w:r>
          </w:p>
        </w:tc>
        <w:tc>
          <w:tcPr>
            <w:tcW w:w="4791"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3429"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2,943.21</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803.16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61.27</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109.13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549.16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70.29</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151.05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1,101.10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114.72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15.96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30.13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3,004.47</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3,127.41</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168.84</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3429" w:type="dxa"/>
            <w:tcBorders>
              <w:top w:val="nil"/>
              <w:left w:val="nil"/>
              <w:bottom w:val="single" w:color="auto"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45.90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3,173.32</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3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3,173.32</w:t>
            </w:r>
            <w:r>
              <w:rPr>
                <w:rFonts w:hint="eastAsia" w:ascii="宋体" w:hAnsi="宋体" w:eastAsia="宋体" w:cs="Times New Roman"/>
                <w:color w:val="000000"/>
                <w:kern w:val="0"/>
                <w:sz w:val="20"/>
                <w:u w:val="none" w:color="auto"/>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备注：1.本表反映部门本年度的总收支和年末结转结余情况。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cs="宋体"/>
          <w:sz w:val="20"/>
          <w:szCs w:val="20"/>
        </w:rPr>
      </w:pPr>
      <w:r>
        <w:rPr>
          <w:rFonts w:hint="eastAsia" w:cs="宋体"/>
          <w:sz w:val="20"/>
          <w:szCs w:val="20"/>
          <w:lang w:val="en-US" w:eastAsia="zh-CN"/>
        </w:rPr>
        <w:t>2.</w:t>
      </w:r>
      <w:r>
        <w:rPr>
          <w:rFonts w:cs="宋体"/>
          <w:sz w:val="20"/>
          <w:szCs w:val="20"/>
        </w:rPr>
        <w:t>本套报表金额单位转换时可能存在尾数误差。</w:t>
      </w:r>
    </w:p>
    <w:tbl>
      <w:tblPr>
        <w:tblStyle w:val="4"/>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Times New Roman"/>
                <w:kern w:val="0"/>
                <w:sz w:val="20"/>
                <w:u w:val="none" w:color="auto"/>
              </w:rPr>
              <w:t>重庆市丰都县树人镇人民政府</w:t>
            </w: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6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02"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34"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56"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6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02"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34"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56"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3,004.47</w:t>
            </w:r>
            <w:r>
              <w:rPr>
                <w:rFonts w:hint="eastAsia" w:ascii="宋体" w:hAnsi="宋体" w:eastAsia="宋体" w:cs="Times New Roman"/>
                <w:b/>
                <w:color w:val="000000"/>
                <w:kern w:val="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3,004.47</w:t>
            </w:r>
            <w:r>
              <w:rPr>
                <w:rFonts w:hint="eastAsia" w:ascii="宋体" w:hAnsi="宋体" w:eastAsia="宋体" w:cs="Times New Roman"/>
                <w:b/>
                <w:color w:val="000000"/>
                <w:kern w:val="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30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4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45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785.15</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785.15</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2.46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2.46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778.73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778.73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2039999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司法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2040699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其他司法支出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其他教育支出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2059999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其他教育支出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549.16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549.16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2080705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2081006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大中型水库移民后期扶持基金支出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移民补助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2082850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145.93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145.93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118.99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118.99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1,045.09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1,045.09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612.54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612.54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42.30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42.30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2130234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30.15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30.15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2200106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78.19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78.19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2240699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22960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bl>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备注：1.本表反映部门本年度取得的各项收入情况。</w:t>
      </w:r>
    </w:p>
    <w:p>
      <w:pPr>
        <w:keepNext w:val="0"/>
        <w:keepLines w:val="0"/>
        <w:pageBreakBefore w:val="0"/>
        <w:numPr>
          <w:numId w:val="0"/>
        </w:numPr>
        <w:kinsoku/>
        <w:wordWrap/>
        <w:overflowPunct/>
        <w:topLinePunct w:val="0"/>
        <w:autoSpaceDE/>
        <w:autoSpaceDN/>
        <w:bidi w:val="0"/>
        <w:adjustRightInd/>
        <w:snapToGrid/>
        <w:spacing w:line="560" w:lineRule="exact"/>
        <w:ind w:firstLine="600" w:firstLineChars="300"/>
        <w:textAlignment w:val="auto"/>
        <w:rPr>
          <w:rFonts w:cs="宋体"/>
          <w:sz w:val="20"/>
          <w:szCs w:val="20"/>
        </w:rPr>
      </w:pP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4"/>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 xml:space="preserve">重庆市丰都县树人镇人民政府 </w:t>
            </w: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41"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41"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3,127.41</w:t>
            </w:r>
            <w:r>
              <w:rPr>
                <w:rFonts w:hint="eastAsia" w:ascii="宋体" w:hAnsi="宋体" w:eastAsia="宋体" w:cs="Times New Roman"/>
                <w:b/>
                <w:color w:val="000000"/>
                <w:kern w:val="0"/>
                <w:sz w:val="20"/>
                <w:u w:val="none" w:color="auto"/>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2,147.56</w:t>
            </w:r>
            <w:r>
              <w:rPr>
                <w:rFonts w:hint="eastAsia" w:ascii="宋体" w:hAnsi="宋体" w:eastAsia="宋体" w:cs="Times New Roman"/>
                <w:b/>
                <w:color w:val="000000"/>
                <w:kern w:val="0"/>
                <w:sz w:val="20"/>
                <w:u w:val="none" w:color="auto"/>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979.85</w:t>
            </w:r>
            <w:r>
              <w:rPr>
                <w:rFonts w:hint="eastAsia" w:ascii="宋体" w:hAnsi="宋体" w:eastAsia="宋体" w:cs="Times New Roman"/>
                <w:b/>
                <w:color w:val="000000"/>
                <w:kern w:val="0"/>
                <w:sz w:val="20"/>
                <w:u w:val="none" w:color="auto"/>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7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803.16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762.86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796.24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762.86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33.38</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28.56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16.08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2039999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司法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2040699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其他司法支出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2059999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549.16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423.46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125.70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2080705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2081006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大中型水库移民后期扶持基金支出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移民补助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2082850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151.05</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80.64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70.41</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124.11</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80.64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43.47</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124.11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80.64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43.47</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1,101.10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637.53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463.58</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616.14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383.53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232.61</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2130135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2130234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254.00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11.10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254.00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5.10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2140602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2200106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2240699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22960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bl>
    <w:p>
      <w:pPr>
        <w:ind w:left="600" w:hanging="600" w:hangingChars="300"/>
        <w:rPr>
          <w:rFonts w:cs="宋体"/>
          <w:sz w:val="20"/>
          <w:szCs w:val="20"/>
        </w:rPr>
      </w:pPr>
      <w:r>
        <w:rPr>
          <w:rFonts w:cs="宋体"/>
          <w:sz w:val="20"/>
          <w:szCs w:val="20"/>
        </w:rPr>
        <w:t>备注：1.本表反映部门本年度各项支出情况。</w:t>
      </w:r>
    </w:p>
    <w:p>
      <w:pPr>
        <w:ind w:left="598" w:leftChars="285" w:firstLine="0" w:firstLineChars="0"/>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4"/>
        <w:tblW w:w="1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9" w:type="dxa"/>
            <w:tcBorders>
              <w:top w:val="nil"/>
              <w:left w:val="nil"/>
              <w:bottom w:val="nil"/>
              <w:right w:val="nil"/>
            </w:tcBorders>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9"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2,943.21</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787.10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787.10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61.27</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109.13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109.13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549.16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544.96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4.20</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70.29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70.29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145.93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118.99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26.94</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1,101.10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1,101.10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114.72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114.72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98.22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98.22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69.09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69.09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30.13</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3,004.47</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3,106.23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3,044.96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61.27</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104.80</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3.05</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3.05</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104.80</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3,109.28</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3,109.28</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3,048.01</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61.27</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bl>
    <w:p>
      <w:pPr>
        <w:rPr>
          <w:rFonts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p>
    <w:p>
      <w:pPr>
        <w:ind w:firstLine="600" w:firstLineChars="300"/>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4"/>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3536"/>
        <w:gridCol w:w="3306"/>
        <w:gridCol w:w="3306"/>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3306"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22"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06"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22"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3,044.96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2,126.37</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918.59</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787.10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746.79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40.30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人大会议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其他人大事务支出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780.18</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746.79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33.38</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其他政府办公厅（室）及相关机构事务支出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0.01</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2013899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2039999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司法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2040699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其他司法支出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2059999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544.96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423.46</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121.50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民政管理事务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基层政权建设和社区治理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就业补助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2080705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公益性岗位补贴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2081006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残疾人康复</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2082850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其他行政事业单位医疗支出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75.52</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43.47</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75.52</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43.47</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118.99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75.52</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43.47</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1,101.10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637.53</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463.58</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616.14</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383.53</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232.61</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农村合作经济</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2130135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农业资源保护修复与利用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2130234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水利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其他水利支出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254.00</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11.10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254.00</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5.10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车辆购置税支出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2140602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车辆购置税用于农村公路建设支出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自然资源海洋气象等支出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2200106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自然资源利用与保护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2240699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其他自然灾害防治支出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自然灾害救灾补助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r>
    </w:tbl>
    <w:p>
      <w:pPr>
        <w:rPr>
          <w:rFonts w:cs="宋体"/>
          <w:sz w:val="20"/>
          <w:szCs w:val="20"/>
        </w:rPr>
      </w:pPr>
      <w:r>
        <w:rPr>
          <w:rFonts w:cs="宋体"/>
          <w:sz w:val="20"/>
          <w:szCs w:val="20"/>
        </w:rPr>
        <w:t>备注：1.本表反映部门本年度一般公共预算财政拨款支出情况。</w:t>
      </w:r>
    </w:p>
    <w:p>
      <w:pPr>
        <w:ind w:firstLine="600" w:firstLineChars="300"/>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4"/>
        <w:tblW w:w="15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1650"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05"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51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882"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50"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05"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51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882"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w:t>
            </w:r>
            <w:r>
              <w:rPr>
                <w:rFonts w:hint="eastAsia" w:ascii="宋体" w:hAnsi="宋体" w:eastAsia="宋体" w:cs="宋体"/>
                <w:b/>
                <w:color w:val="000000"/>
                <w:kern w:val="0"/>
                <w:sz w:val="18"/>
                <w:szCs w:val="18"/>
                <w:lang w:val="en-US" w:eastAsia="zh-CN"/>
              </w:rPr>
              <w:t>经济</w:t>
            </w:r>
            <w:r>
              <w:rPr>
                <w:rFonts w:hint="eastAsia" w:ascii="宋体" w:hAnsi="宋体" w:eastAsia="宋体" w:cs="宋体"/>
                <w:b/>
                <w:color w:val="000000"/>
                <w:kern w:val="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w:t>
            </w:r>
            <w:r>
              <w:rPr>
                <w:rFonts w:hint="eastAsia" w:ascii="宋体" w:hAnsi="宋体" w:eastAsia="宋体" w:cs="宋体"/>
                <w:b/>
                <w:color w:val="000000"/>
                <w:kern w:val="0"/>
                <w:sz w:val="18"/>
                <w:szCs w:val="18"/>
                <w:lang w:val="en-US" w:eastAsia="zh-CN"/>
              </w:rPr>
              <w:t>经济</w:t>
            </w:r>
            <w:r>
              <w:rPr>
                <w:rFonts w:hint="eastAsia" w:ascii="宋体" w:hAnsi="宋体" w:eastAsia="宋体" w:cs="宋体"/>
                <w:b/>
                <w:color w:val="000000"/>
                <w:kern w:val="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w:t>
            </w:r>
            <w:r>
              <w:rPr>
                <w:rFonts w:hint="eastAsia" w:ascii="宋体" w:hAnsi="宋体" w:eastAsia="宋体" w:cs="宋体"/>
                <w:b/>
                <w:color w:val="000000"/>
                <w:kern w:val="0"/>
                <w:sz w:val="18"/>
                <w:szCs w:val="18"/>
                <w:lang w:val="en-US" w:eastAsia="zh-CN"/>
              </w:rPr>
              <w:t>经济</w:t>
            </w:r>
            <w:r>
              <w:rPr>
                <w:rFonts w:hint="eastAsia" w:ascii="宋体" w:hAnsi="宋体" w:eastAsia="宋体" w:cs="宋体"/>
                <w:b/>
                <w:color w:val="000000"/>
                <w:kern w:val="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1,387.10</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341.20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9.21</w:t>
            </w: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300.34</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55.72</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175.26</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8.84</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9.21</w:t>
            </w: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181.71</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0.50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372.78</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1.47</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117.93</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5.71</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95.24</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8.05</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41.57</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16.23</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49.08</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71.20</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14.84</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16.09</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388.86</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12.36</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0.63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381.33</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53.63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3.28</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34.00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4.25</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15.87</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30.60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44.98</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1,775.96</w:t>
            </w:r>
            <w:r>
              <w:rPr>
                <w:rFonts w:hint="eastAsia" w:ascii="宋体" w:hAnsi="宋体" w:eastAsia="宋体" w:cs="Times New Roman"/>
                <w:color w:val="000000"/>
                <w:kern w:val="0"/>
                <w:sz w:val="18"/>
                <w:u w:val="none"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350.41</w:t>
            </w:r>
            <w:r>
              <w:rPr>
                <w:rFonts w:hint="eastAsia" w:ascii="宋体" w:hAnsi="宋体" w:eastAsia="宋体" w:cs="Times New Roman"/>
                <w:color w:val="000000"/>
                <w:kern w:val="0"/>
                <w:sz w:val="18"/>
                <w:u w:val="none" w:color="auto"/>
              </w:rPr>
              <w:t xml:space="preserve"> </w:t>
            </w:r>
          </w:p>
        </w:tc>
      </w:tr>
    </w:tbl>
    <w:p>
      <w:pPr>
        <w:rPr>
          <w:rFonts w:cs="宋体"/>
          <w:sz w:val="20"/>
          <w:szCs w:val="20"/>
        </w:rPr>
      </w:pPr>
      <w:r>
        <w:rPr>
          <w:rFonts w:cs="宋体"/>
          <w:sz w:val="20"/>
          <w:szCs w:val="20"/>
        </w:rPr>
        <w:t>备注：1.本表反映部门本年度一般公共预算财政拨款基本支出明细情况。</w:t>
      </w:r>
    </w:p>
    <w:p>
      <w:pPr>
        <w:ind w:firstLine="600" w:firstLineChars="300"/>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4"/>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6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829"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6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829"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61.27</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61.27</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61.27</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大中型水库移民后期扶持基金支出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2082201</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移民补助</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22960</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用于社会福利的彩票公益金支出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2296003</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用于体育事业的彩票公益金支出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用于其他社会公益事业的彩票公益金支出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bl>
    <w:p>
      <w:pPr>
        <w:rPr>
          <w:rFonts w:cs="宋体"/>
          <w:sz w:val="20"/>
          <w:szCs w:val="20"/>
        </w:rPr>
      </w:pPr>
      <w:r>
        <w:rPr>
          <w:rFonts w:cs="宋体"/>
          <w:sz w:val="20"/>
          <w:szCs w:val="20"/>
        </w:rPr>
        <w:t>备注：1.本表反映部门本年度政府性基金预算财政拨款收入支出及结转和结余情况。</w:t>
      </w:r>
    </w:p>
    <w:p>
      <w:pPr>
        <w:ind w:firstLine="600" w:firstLineChars="300"/>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4"/>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5"/>
        <w:gridCol w:w="3049"/>
        <w:gridCol w:w="3264"/>
        <w:gridCol w:w="199"/>
        <w:gridCol w:w="3463"/>
        <w:gridCol w:w="77"/>
        <w:gridCol w:w="3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3739" w:type="dxa"/>
            <w:gridSpan w:val="3"/>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95"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739" w:type="dxa"/>
            <w:gridSpan w:val="3"/>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95"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347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bl>
    <w:p>
      <w:pPr>
        <w:rPr>
          <w:rFonts w:cs="宋体"/>
          <w:sz w:val="20"/>
          <w:szCs w:val="20"/>
        </w:rPr>
      </w:pPr>
      <w:r>
        <w:rPr>
          <w:rFonts w:cs="宋体"/>
          <w:sz w:val="20"/>
          <w:szCs w:val="20"/>
        </w:rPr>
        <w:t>备注：本表反映部门本年度国有资本经营预算财政拨款支出情况。本部门无国有资本经营收支，故本表无数据。</w:t>
      </w:r>
    </w:p>
    <w:p>
      <w:pPr>
        <w:rPr>
          <w:rFonts w:cs="宋体"/>
          <w:sz w:val="20"/>
          <w:szCs w:val="20"/>
        </w:rPr>
      </w:pPr>
      <w:r>
        <w:rPr>
          <w:rFonts w:cs="宋体"/>
          <w:sz w:val="20"/>
          <w:szCs w:val="20"/>
        </w:rPr>
        <w:br w:type="page"/>
      </w:r>
    </w:p>
    <w:tbl>
      <w:tblPr>
        <w:tblStyle w:val="4"/>
        <w:tblW w:w="14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4004"/>
        <w:gridCol w:w="2146"/>
        <w:gridCol w:w="2093"/>
        <w:gridCol w:w="4482"/>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862" w:type="dxa"/>
            <w:gridSpan w:val="5"/>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2"/>
                <w:sz w:val="32"/>
                <w:szCs w:val="32"/>
              </w:rPr>
            </w:pPr>
            <w:r>
              <w:rPr>
                <w:rFonts w:hint="eastAsia" w:ascii="宋体" w:hAnsi="宋体" w:eastAsia="宋体"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4004" w:type="dxa"/>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p>
        </w:tc>
        <w:tc>
          <w:tcPr>
            <w:tcW w:w="2146" w:type="dxa"/>
            <w:tcMar>
              <w:top w:w="15" w:type="dxa"/>
              <w:left w:w="15" w:type="dxa"/>
              <w:right w:w="15" w:type="dxa"/>
            </w:tcMar>
            <w:vAlign w:val="bottom"/>
          </w:tcPr>
          <w:p>
            <w:pPr>
              <w:widowControl/>
              <w:spacing w:line="280" w:lineRule="exact"/>
              <w:jc w:val="center"/>
              <w:rPr>
                <w:rFonts w:hint="default" w:ascii="宋体" w:hAnsi="宋体" w:eastAsia="宋体" w:cs="宋体"/>
                <w:color w:val="000000"/>
                <w:kern w:val="2"/>
                <w:sz w:val="20"/>
                <w:szCs w:val="20"/>
              </w:rPr>
            </w:pPr>
          </w:p>
        </w:tc>
        <w:tc>
          <w:tcPr>
            <w:tcW w:w="2093" w:type="dxa"/>
            <w:tcMar>
              <w:top w:w="15" w:type="dxa"/>
              <w:left w:w="15" w:type="dxa"/>
              <w:right w:w="15" w:type="dxa"/>
            </w:tcMar>
            <w:vAlign w:val="bottom"/>
          </w:tcPr>
          <w:p>
            <w:pPr>
              <w:widowControl/>
              <w:spacing w:line="280" w:lineRule="exact"/>
              <w:jc w:val="right"/>
              <w:rPr>
                <w:rFonts w:hint="default" w:ascii="宋体" w:hAnsi="宋体" w:eastAsia="宋体" w:cs="宋体"/>
                <w:color w:val="000000"/>
                <w:kern w:val="2"/>
                <w:sz w:val="20"/>
                <w:szCs w:val="20"/>
              </w:rPr>
            </w:pPr>
          </w:p>
        </w:tc>
        <w:tc>
          <w:tcPr>
            <w:tcW w:w="4482" w:type="dxa"/>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p>
        </w:tc>
        <w:tc>
          <w:tcPr>
            <w:tcW w:w="2137" w:type="dxa"/>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2"/>
                <w:sz w:val="20"/>
                <w:szCs w:val="20"/>
              </w:rPr>
            </w:pPr>
            <w:r>
              <w:rPr>
                <w:rFonts w:hint="eastAsia" w:ascii="宋体" w:hAnsi="宋体" w:eastAsia="宋体" w:cs="宋体"/>
                <w:color w:val="000000"/>
                <w:kern w:val="2"/>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r>
              <w:rPr>
                <w:rFonts w:hint="eastAsia" w:ascii="宋体" w:hAnsi="宋体" w:eastAsia="宋体" w:cs="宋体"/>
                <w:kern w:val="2"/>
                <w:sz w:val="20"/>
                <w:szCs w:val="20"/>
              </w:rPr>
              <w:t>公开部门</w:t>
            </w:r>
            <w:r>
              <w:rPr>
                <w:rFonts w:hint="eastAsia" w:ascii="宋体" w:hAnsi="宋体" w:eastAsia="宋体" w:cs="宋体"/>
                <w:color w:val="000000"/>
                <w:kern w:val="2"/>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2093" w:type="dxa"/>
            <w:tcBorders>
              <w:top w:val="nil"/>
              <w:left w:val="nil"/>
              <w:bottom w:val="single" w:color="auto" w:sz="4" w:space="0"/>
              <w:right w:val="nil"/>
            </w:tcBorders>
            <w:tcMar>
              <w:top w:w="15" w:type="dxa"/>
              <w:left w:w="15" w:type="dxa"/>
              <w:right w:w="15" w:type="dxa"/>
            </w:tcMar>
            <w:vAlign w:val="bottom"/>
          </w:tcPr>
          <w:p>
            <w:pPr>
              <w:widowControl/>
              <w:spacing w:line="280" w:lineRule="exact"/>
              <w:jc w:val="right"/>
              <w:rPr>
                <w:rFonts w:hint="default" w:ascii="宋体" w:hAnsi="宋体" w:eastAsia="宋体" w:cs="宋体"/>
                <w:color w:val="000000"/>
                <w:kern w:val="2"/>
                <w:sz w:val="20"/>
                <w:szCs w:val="20"/>
              </w:rPr>
            </w:pPr>
          </w:p>
        </w:tc>
        <w:tc>
          <w:tcPr>
            <w:tcW w:w="4482" w:type="dxa"/>
            <w:tcBorders>
              <w:top w:val="nil"/>
              <w:left w:val="nil"/>
              <w:bottom w:val="single" w:color="auto" w:sz="4" w:space="0"/>
              <w:right w:val="nil"/>
            </w:tcBorders>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p>
        </w:tc>
        <w:tc>
          <w:tcPr>
            <w:tcW w:w="2137" w:type="dxa"/>
            <w:tcBorders>
              <w:top w:val="nil"/>
              <w:left w:val="nil"/>
              <w:bottom w:val="single" w:color="auto" w:sz="4" w:space="0"/>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2"/>
                <w:sz w:val="20"/>
                <w:szCs w:val="20"/>
              </w:rPr>
            </w:pPr>
            <w:r>
              <w:rPr>
                <w:rFonts w:hint="eastAsia" w:ascii="宋体" w:hAnsi="宋体" w:eastAsia="宋体" w:cs="宋体"/>
                <w:color w:val="000000"/>
                <w:kern w:val="2"/>
                <w:sz w:val="20"/>
                <w:szCs w:val="20"/>
              </w:rPr>
              <w:t>单位：</w:t>
            </w:r>
            <w:r>
              <w:rPr>
                <w:rFonts w:hint="eastAsia" w:ascii="宋体" w:hAnsi="宋体" w:eastAsia="宋体"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230.27</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28.23</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28.23</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230.27</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4</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12.36</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12.36</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12.36</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4</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4</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318</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2,558</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2.64</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rPr>
                <w:rFonts w:hint="default" w:ascii="宋体" w:hAnsi="宋体" w:eastAsia="宋体"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rPr>
                <w:rFonts w:hint="default" w:ascii="宋体" w:hAnsi="宋体" w:eastAsia="宋体" w:cs="宋体"/>
                <w:color w:val="000000"/>
                <w:kern w:val="2"/>
                <w:sz w:val="16"/>
                <w:szCs w:val="16"/>
              </w:rPr>
            </w:pPr>
          </w:p>
        </w:tc>
      </w:tr>
    </w:tbl>
    <w:p>
      <w:pPr>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p>
    <w:p>
      <w:pPr>
        <w:ind w:firstLine="600" w:firstLineChars="300"/>
        <w:rPr>
          <w:rFonts w:hint="default" w:cs="宋体"/>
          <w:sz w:val="20"/>
          <w:szCs w:val="20"/>
        </w:rPr>
      </w:pPr>
      <w:r>
        <w:rPr>
          <w:rFonts w:cs="宋体"/>
          <w:sz w:val="20"/>
          <w:szCs w:val="20"/>
        </w:rPr>
        <w:t>2.本套报表金额单位转换时可能存在尾数误差。</w:t>
      </w: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jQ1OTZmZDBmZWQyYTJiM2M0OTU1ZTg1YWNhMWMifQ=="/>
  </w:docVars>
  <w:rsids>
    <w:rsidRoot w:val="00000000"/>
    <w:rsid w:val="48FB4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2024-09-26T07:24:53Z</dcterms:created>
  <dc:creator>Administrator</dc:creator>
  <cp:lastModifiedBy>咖啡思语</cp:lastModifiedBy>
  <dcterms:modified xsi:type="dcterms:W3CDTF">2024-09-26T07:58:33Z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E17F72A25CEE45808D2A2B9CCB58AFB6_12</vt:lpwstr>
  </property>
</Properties>
</file>