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丰都县太平坝乡人民政府</w:t>
      </w:r>
    </w:p>
    <w:p>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7"/>
        <w:shd w:val="clear" w:color="auto" w:fill="FFFFFF"/>
        <w:ind w:firstLine="642" w:firstLineChars="200"/>
        <w:rPr>
          <w:rFonts w:hint="default" w:ascii="黑体" w:hAnsi="黑体" w:eastAsia="黑体" w:cs="黑体"/>
          <w:sz w:val="32"/>
          <w:szCs w:val="32"/>
        </w:rPr>
      </w:pPr>
      <w:r>
        <w:rPr>
          <w:rStyle w:val="12"/>
          <w:rFonts w:ascii="黑体" w:hAnsi="黑体" w:eastAsia="黑体" w:cs="黑体"/>
          <w:sz w:val="32"/>
          <w:szCs w:val="32"/>
          <w:shd w:val="clear" w:color="auto" w:fill="FFFFFF"/>
        </w:rPr>
        <w:t>一、部门基本情况</w:t>
      </w:r>
    </w:p>
    <w:p>
      <w:pPr>
        <w:pStyle w:val="7"/>
        <w:shd w:val="clear" w:color="auto" w:fill="FFFFFF"/>
        <w:ind w:firstLine="420"/>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（一）职能职责</w:t>
      </w:r>
    </w:p>
    <w:p>
      <w:pPr>
        <w:pStyle w:val="7"/>
        <w:shd w:val="clear" w:color="auto" w:fill="FFFFFF"/>
        <w:spacing w:line="560" w:lineRule="exact"/>
        <w:ind w:firstLine="640" w:firstLineChars="200"/>
        <w:jc w:val="both"/>
        <w:rPr>
          <w:rStyle w:val="12"/>
          <w:rFonts w:hint="default" w:ascii="方正仿宋_GBK" w:hAnsi="方正仿宋_GBK" w:eastAsia="方正仿宋_GBK" w:cs="方正仿宋_GBK"/>
          <w:b w:val="0"/>
          <w:bCs/>
          <w:sz w:val="32"/>
          <w:szCs w:val="32"/>
          <w:shd w:val="clear" w:color="auto" w:fill="FFFFFF"/>
        </w:rPr>
      </w:pPr>
      <w:r>
        <w:rPr>
          <w:rStyle w:val="12"/>
          <w:rFonts w:ascii="方正仿宋_GBK" w:hAnsi="方正仿宋_GBK" w:eastAsia="方正仿宋_GBK" w:cs="方正仿宋_GBK"/>
          <w:b w:val="0"/>
          <w:bCs/>
          <w:sz w:val="32"/>
          <w:szCs w:val="32"/>
          <w:shd w:val="clear" w:color="auto" w:fill="FFFFFF"/>
        </w:rPr>
        <w:t>执行本级人民代表大会的决议和上级国家行政机关的决定和命令，发布决定和命令；执行本行政区域内的经济和社会发展计划，加强公共设施的建设和管理，发展各项服务事业。依法管理本级财政、执行本级预算；为农民提供有效的科技、教育、文化、信息、卫生、体育、医疗、人才开发、劳动就业、安全生产等方面的服务；保护国有资产和集体所有的财产，保护公民私人所有的合法财产、保障公民的人身权利、民主权利和其他权利，保护各种组织的合法权益；开展社会主义民主与法制教育，加强社会治安综合治理，调解民事纠纷，维护社会秩序；推行计划生育，控制人口增长，保护妇女、儿童和老人的合法权益；负责民政工作，发展社会福利事业，做好社会保障工作，办理兵役事项；承办上级人民政府交办的其他事项。</w:t>
      </w:r>
    </w:p>
    <w:p>
      <w:pPr>
        <w:pStyle w:val="7"/>
        <w:shd w:val="clear" w:color="auto" w:fill="FFFFFF"/>
        <w:ind w:firstLine="420"/>
        <w:rPr>
          <w:rFonts w:hint="default" w:ascii="楷体" w:hAnsi="楷体" w:eastAsia="楷体" w:cs="楷体"/>
          <w:sz w:val="32"/>
          <w:szCs w:val="32"/>
        </w:rPr>
      </w:pPr>
      <w:r>
        <w:rPr>
          <w:rStyle w:val="12"/>
          <w:rFonts w:ascii="楷体" w:hAnsi="楷体" w:eastAsia="楷体" w:cs="楷体"/>
          <w:sz w:val="32"/>
          <w:szCs w:val="32"/>
          <w:shd w:val="clear" w:color="auto" w:fill="FFFFFF"/>
        </w:rPr>
        <w:t>（二）机构设置</w:t>
      </w:r>
    </w:p>
    <w:p>
      <w:pPr>
        <w:spacing w:line="560" w:lineRule="exact"/>
        <w:ind w:firstLine="640" w:firstLineChars="200"/>
        <w:jc w:val="both"/>
        <w:rPr>
          <w:rFonts w:hint="default" w:ascii="Times New Roman" w:hAnsi="Times New Roman" w:eastAsia="方正仿宋_GBK"/>
          <w:color w:val="000000"/>
          <w:sz w:val="32"/>
          <w:szCs w:val="32"/>
          <w:shd w:val="clear" w:color="auto" w:fill="FFFFFF"/>
        </w:rPr>
      </w:pPr>
      <w:r>
        <w:rPr>
          <w:rFonts w:hint="default" w:ascii="Times New Roman" w:hAnsi="Times New Roman" w:eastAsia="方正仿宋_GBK"/>
          <w:color w:val="000000"/>
          <w:sz w:val="32"/>
          <w:szCs w:val="32"/>
          <w:shd w:val="clear" w:color="auto" w:fill="FFFFFF"/>
        </w:rPr>
        <w:t>政府设置党政内设机构11个：党政办公室（挂党群工作办公室牌子）、经济发展办公室（挂统计办公室、农村经营管理办公室牌子）、民政和社会事务办公室（挂卫生健康办公室牌子）、平安建设办公室（挂应急管理办公室牌子）、规划建设管理环保办公室、财政办公室。事业机构5个：农业服务中心、文化服务中心、劳动就业和社会保障服务所、退役军人服务站和综合行政执法大队。太平坝乡人民政府核定编制人数共34名，其中机关行政编制17名、事业编制17名。现有在职人员合计3</w:t>
      </w:r>
      <w:r>
        <w:rPr>
          <w:rFonts w:ascii="Times New Roman" w:hAnsi="Times New Roman" w:eastAsia="方正仿宋_GBK"/>
          <w:color w:val="000000"/>
          <w:sz w:val="32"/>
          <w:szCs w:val="32"/>
          <w:shd w:val="clear" w:color="auto" w:fill="FFFFFF"/>
        </w:rPr>
        <w:t>0</w:t>
      </w:r>
      <w:r>
        <w:rPr>
          <w:rFonts w:hint="default" w:ascii="Times New Roman" w:hAnsi="Times New Roman" w:eastAsia="方正仿宋_GBK"/>
          <w:color w:val="000000"/>
          <w:sz w:val="32"/>
          <w:szCs w:val="32"/>
          <w:shd w:val="clear" w:color="auto" w:fill="FFFFFF"/>
        </w:rPr>
        <w:t>人，其中行政1</w:t>
      </w:r>
      <w:r>
        <w:rPr>
          <w:rFonts w:ascii="Times New Roman" w:hAnsi="Times New Roman" w:eastAsia="方正仿宋_GBK"/>
          <w:color w:val="000000"/>
          <w:sz w:val="32"/>
          <w:szCs w:val="32"/>
          <w:shd w:val="clear" w:color="auto" w:fill="FFFFFF"/>
        </w:rPr>
        <w:t>6</w:t>
      </w:r>
      <w:r>
        <w:rPr>
          <w:rFonts w:hint="default" w:ascii="Times New Roman" w:hAnsi="Times New Roman" w:eastAsia="方正仿宋_GBK"/>
          <w:color w:val="000000"/>
          <w:sz w:val="32"/>
          <w:szCs w:val="32"/>
          <w:shd w:val="clear" w:color="auto" w:fill="FFFFFF"/>
        </w:rPr>
        <w:t>人，事业</w:t>
      </w:r>
      <w:r>
        <w:rPr>
          <w:rFonts w:ascii="Times New Roman" w:hAnsi="Times New Roman" w:eastAsia="方正仿宋_GBK"/>
          <w:color w:val="000000"/>
          <w:sz w:val="32"/>
          <w:szCs w:val="32"/>
          <w:shd w:val="clear" w:color="auto" w:fill="FFFFFF"/>
        </w:rPr>
        <w:t>14</w:t>
      </w:r>
      <w:r>
        <w:rPr>
          <w:rFonts w:hint="default" w:ascii="Times New Roman" w:hAnsi="Times New Roman" w:eastAsia="方正仿宋_GBK"/>
          <w:color w:val="000000"/>
          <w:sz w:val="32"/>
          <w:szCs w:val="32"/>
          <w:shd w:val="clear" w:color="auto" w:fill="FFFFFF"/>
        </w:rPr>
        <w:t xml:space="preserve">人。 </w:t>
      </w:r>
    </w:p>
    <w:p>
      <w:pPr>
        <w:pStyle w:val="7"/>
        <w:shd w:val="clear" w:color="auto" w:fill="FFFFFF"/>
        <w:ind w:firstLine="642" w:firstLineChars="200"/>
        <w:rPr>
          <w:rFonts w:hint="default" w:ascii="黑体" w:hAnsi="黑体" w:eastAsia="黑体" w:cs="黑体"/>
          <w:b/>
          <w:sz w:val="32"/>
          <w:szCs w:val="32"/>
          <w:shd w:val="clear" w:color="auto" w:fill="FFFFFF"/>
        </w:rPr>
      </w:pPr>
      <w:r>
        <w:rPr>
          <w:rStyle w:val="12"/>
          <w:rFonts w:ascii="黑体" w:hAnsi="黑体" w:eastAsia="黑体" w:cs="黑体"/>
          <w:sz w:val="32"/>
          <w:szCs w:val="32"/>
          <w:shd w:val="clear" w:color="auto" w:fill="FFFFFF"/>
        </w:rPr>
        <w:t>二、部门决算情况说明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7"/>
        <w:shd w:val="clear" w:color="auto" w:fill="FFFFFF"/>
        <w:spacing w:line="56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1.总体情况。</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年度收入总计</w:t>
      </w:r>
      <w:r>
        <w:rPr>
          <w:rFonts w:hint="default" w:ascii="Times New Roman" w:hAnsi="Times New Roman" w:eastAsia="方正仿宋_GBK"/>
          <w:sz w:val="32"/>
          <w:szCs w:val="32"/>
          <w:shd w:val="clear" w:color="auto" w:fill="FFFFFF"/>
        </w:rPr>
        <w:t>1962.17</w:t>
      </w:r>
      <w:r>
        <w:rPr>
          <w:rFonts w:ascii="方正仿宋_GBK" w:hAnsi="方正仿宋_GBK" w:eastAsia="方正仿宋_GBK" w:cs="方正仿宋_GBK"/>
          <w:sz w:val="32"/>
          <w:szCs w:val="32"/>
          <w:shd w:val="clear" w:color="auto" w:fill="FFFFFF"/>
        </w:rPr>
        <w:t>万元，支出总计</w:t>
      </w:r>
      <w:r>
        <w:rPr>
          <w:rFonts w:hint="default" w:ascii="Times New Roman" w:hAnsi="Times New Roman" w:eastAsia="方正仿宋_GBK"/>
          <w:sz w:val="32"/>
          <w:szCs w:val="32"/>
        </w:rPr>
        <w:t>1962.17</w:t>
      </w:r>
      <w:r>
        <w:rPr>
          <w:rFonts w:ascii="方正仿宋_GBK" w:hAnsi="方正仿宋_GBK" w:eastAsia="方正仿宋_GBK" w:cs="方正仿宋_GBK"/>
          <w:sz w:val="32"/>
          <w:szCs w:val="32"/>
          <w:shd w:val="clear" w:color="auto" w:fill="FFFFFF"/>
        </w:rPr>
        <w:t>万元。收支较上年决算数减少</w:t>
      </w:r>
      <w:r>
        <w:rPr>
          <w:rFonts w:hint="default" w:ascii="Times New Roman" w:hAnsi="Times New Roman" w:eastAsia="方正仿宋_GBK"/>
          <w:sz w:val="32"/>
          <w:szCs w:val="32"/>
          <w:shd w:val="clear" w:color="auto" w:fill="FFFFFF"/>
        </w:rPr>
        <w:t>19.83</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default" w:ascii="Times New Roman" w:hAnsi="Times New Roman" w:eastAsia="方正仿宋_GBK"/>
          <w:color w:val="000000"/>
          <w:sz w:val="32"/>
          <w:szCs w:val="32"/>
          <w:shd w:val="clear" w:color="auto" w:fill="FFFFFF"/>
        </w:rPr>
        <w:t>业务活动（压减公用经费）、专项项目减少（河道水毁修复项目、湿地保护修复项目等），上级财政拨款减少，收入减少。</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1773.20</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sz w:val="32"/>
          <w:szCs w:val="32"/>
          <w:shd w:val="clear" w:color="auto" w:fill="FFFFFF"/>
        </w:rPr>
        <w:t>39.80</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2.20%</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default" w:ascii="Times New Roman" w:hAnsi="Times New Roman" w:eastAsia="方正仿宋_GBK"/>
          <w:color w:val="000000"/>
          <w:sz w:val="32"/>
          <w:szCs w:val="32"/>
          <w:shd w:val="clear" w:color="auto" w:fill="FFFFFF"/>
        </w:rPr>
        <w:t>业务活动（压减公用经费）、专项项目减少（河道水毁修复项目、湿地保护修复项目等），上级财政拨款减少，收入减少。</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rPr>
        <w:t>1773.20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。此外，使用非财政拨款结余和专用结余</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rPr>
        <w:t>188.98</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rPr>
        <w:t>1880.05</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sz w:val="32"/>
          <w:szCs w:val="32"/>
          <w:shd w:val="clear" w:color="auto" w:fill="FFFFFF"/>
        </w:rPr>
        <w:t>19.83</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1.04%</w:t>
      </w:r>
      <w:r>
        <w:rPr>
          <w:rFonts w:ascii="方正仿宋_GBK" w:hAnsi="方正仿宋_GBK" w:eastAsia="方正仿宋_GBK" w:cs="方正仿宋_GBK"/>
          <w:sz w:val="32"/>
          <w:szCs w:val="32"/>
          <w:shd w:val="clear" w:color="auto" w:fill="FFFFFF"/>
        </w:rPr>
        <w:t>，主要原因是本年度实施项目减少（河道水毁修复项目、湿地保护修复项目等）、上级专款减少（村级供水运行维护经费、动物防疫资金等）</w:t>
      </w:r>
      <w:r>
        <w:rPr>
          <w:rFonts w:hint="default" w:ascii="Times New Roman" w:hAnsi="Times New Roman" w:eastAsia="方正仿宋_GBK"/>
          <w:color w:val="000000"/>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rPr>
        <w:t>1212.64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64.50%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rPr>
        <w:t>667.41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35.50%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rPr>
        <w:t>82.13</w:t>
      </w:r>
      <w:r>
        <w:rPr>
          <w:rFonts w:ascii="方正仿宋_GBK" w:hAnsi="方正仿宋_GBK" w:eastAsia="方正仿宋_GBK" w:cs="方正仿宋_GBK"/>
          <w:sz w:val="32"/>
          <w:szCs w:val="32"/>
          <w:shd w:val="clear" w:color="auto" w:fill="FFFFFF"/>
        </w:rPr>
        <w:t>万元，与上年决算数持平。</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年度财政拨款收、支总计</w:t>
      </w:r>
      <w:r>
        <w:rPr>
          <w:rFonts w:hint="default" w:ascii="Times New Roman" w:hAnsi="Times New Roman" w:eastAsia="方正仿宋_GBK"/>
          <w:sz w:val="32"/>
          <w:szCs w:val="32"/>
          <w:shd w:val="clear" w:color="auto" w:fill="FFFFFF"/>
        </w:rPr>
        <w:t>1962.17</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2022</w:t>
      </w:r>
      <w:r>
        <w:rPr>
          <w:rFonts w:ascii="方正仿宋_GBK" w:hAnsi="方正仿宋_GBK" w:eastAsia="方正仿宋_GBK" w:cs="方正仿宋_GBK"/>
          <w:sz w:val="32"/>
          <w:szCs w:val="32"/>
          <w:shd w:val="clear" w:color="auto" w:fill="FFFFFF"/>
        </w:rPr>
        <w:t>年相比，财政拨款收、支总计各减少</w:t>
      </w:r>
      <w:r>
        <w:rPr>
          <w:rFonts w:hint="default" w:ascii="Times New Roman" w:hAnsi="Times New Roman" w:eastAsia="方正仿宋_GBK"/>
          <w:sz w:val="32"/>
          <w:szCs w:val="32"/>
          <w:shd w:val="clear" w:color="auto" w:fill="FFFFFF"/>
        </w:rPr>
        <w:t>19.83</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default" w:ascii="Times New Roman" w:hAnsi="Times New Roman" w:eastAsia="方正仿宋_GBK"/>
          <w:color w:val="000000"/>
          <w:sz w:val="32"/>
          <w:szCs w:val="32"/>
          <w:shd w:val="clear" w:color="auto" w:fill="FFFFFF"/>
        </w:rPr>
        <w:t>业务活动（压减公用经费）、专项项目减少（河道水毁修复项目、湿地保护修复项目等）</w:t>
      </w:r>
      <w:r>
        <w:rPr>
          <w:rFonts w:ascii="Times New Roman" w:hAnsi="Times New Roman" w:eastAsia="方正仿宋_GBK"/>
          <w:color w:val="000000"/>
          <w:sz w:val="32"/>
          <w:szCs w:val="32"/>
          <w:shd w:val="clear" w:color="auto" w:fill="FFFFFF"/>
        </w:rPr>
        <w:t>、</w:t>
      </w:r>
      <w:r>
        <w:rPr>
          <w:rFonts w:ascii="方正仿宋_GBK" w:hAnsi="方正仿宋_GBK" w:eastAsia="方正仿宋_GBK" w:cs="方正仿宋_GBK"/>
          <w:sz w:val="32"/>
          <w:szCs w:val="32"/>
          <w:shd w:val="clear" w:color="auto" w:fill="FFFFFF"/>
        </w:rPr>
        <w:t>上级专款减少（村级供水运行维护经费、动物防疫资金等）</w:t>
      </w:r>
      <w:r>
        <w:rPr>
          <w:rFonts w:hint="default" w:ascii="Times New Roman" w:hAnsi="Times New Roman" w:eastAsia="方正仿宋_GBK"/>
          <w:color w:val="000000"/>
          <w:sz w:val="32"/>
          <w:szCs w:val="32"/>
          <w:shd w:val="clear" w:color="auto" w:fill="FFFFFF"/>
        </w:rPr>
        <w:t>。</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rPr>
        <w:t>1729.95</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sz w:val="32"/>
          <w:szCs w:val="32"/>
          <w:shd w:val="clear" w:color="auto" w:fill="FFFFFF"/>
        </w:rPr>
        <w:t>69.93</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3.89%</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业务活动（压减公用经费）、专项项目减少（河道水毁修复项目、湿地保护修复项目等），上级财政拨款减少，收入减少。较年初预算数增加</w:t>
      </w:r>
      <w:r>
        <w:rPr>
          <w:rFonts w:hint="default" w:ascii="Times New Roman" w:hAnsi="Times New Roman" w:eastAsia="方正仿宋_GBK"/>
          <w:sz w:val="32"/>
          <w:szCs w:val="32"/>
          <w:shd w:val="clear" w:color="auto" w:fill="FFFFFF"/>
        </w:rPr>
        <w:t>701.73</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68.25%</w:t>
      </w:r>
      <w:r>
        <w:rPr>
          <w:rFonts w:ascii="方正仿宋_GBK" w:hAnsi="方正仿宋_GBK" w:eastAsia="方正仿宋_GBK" w:cs="方正仿宋_GBK"/>
          <w:sz w:val="32"/>
          <w:szCs w:val="32"/>
          <w:shd w:val="clear" w:color="auto" w:fill="FFFFFF"/>
        </w:rPr>
        <w:t>。主要原因是专项工作经费增加，如：“</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人制社会足球场地基础设施建设”、“三馆一站免费开放”、“</w:t>
      </w:r>
      <w:r>
        <w:rPr>
          <w:rFonts w:hint="default" w:ascii="Times New Roman" w:hAnsi="Times New Roman" w:eastAsia="方正仿宋_GBK"/>
          <w:sz w:val="32"/>
          <w:szCs w:val="32"/>
          <w:shd w:val="clear" w:color="auto" w:fill="FFFFFF"/>
        </w:rPr>
        <w:t>2019</w:t>
      </w:r>
      <w:r>
        <w:rPr>
          <w:rFonts w:ascii="方正仿宋_GBK" w:hAnsi="方正仿宋_GBK" w:eastAsia="方正仿宋_GBK" w:cs="方正仿宋_GBK"/>
          <w:sz w:val="32"/>
          <w:szCs w:val="32"/>
          <w:shd w:val="clear" w:color="auto" w:fill="FFFFFF"/>
        </w:rPr>
        <w:t>年星级乡村酒店补助”、</w:t>
      </w:r>
      <w:r>
        <w:rPr>
          <w:rFonts w:ascii="Times New Roman" w:hAnsi="Times New Roman" w:eastAsia="方正仿宋_GBK"/>
          <w:color w:val="000000"/>
          <w:sz w:val="32"/>
          <w:szCs w:val="32"/>
          <w:shd w:val="clear" w:color="auto" w:fill="FFFFFF"/>
        </w:rPr>
        <w:t>“烟叶统筹返还”、“兑现烟农户产后补贴”、“新农人培育提升工程”、“茅林沟桃花谷农旅融合配套项目”等</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rPr>
        <w:t>188.98</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2.支出情况。</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rPr>
        <w:t>1836.80</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sz w:val="32"/>
          <w:szCs w:val="32"/>
          <w:shd w:val="clear" w:color="auto" w:fill="FFFFFF"/>
        </w:rPr>
        <w:t>49.95</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2.65%</w:t>
      </w:r>
      <w:r>
        <w:rPr>
          <w:rFonts w:ascii="方正仿宋_GBK" w:hAnsi="方正仿宋_GBK" w:eastAsia="方正仿宋_GBK" w:cs="方正仿宋_GBK"/>
          <w:sz w:val="32"/>
          <w:szCs w:val="32"/>
          <w:shd w:val="clear" w:color="auto" w:fill="FFFFFF"/>
        </w:rPr>
        <w:t>。主要原因是本年度实施项目减少（河道水毁修复项目、湿地保护修复项目等）、上级专款减少（村级供水运行维护经费、动物防疫资金等）。较年初预算数增加</w:t>
      </w:r>
      <w:r>
        <w:rPr>
          <w:rFonts w:hint="default" w:ascii="Times New Roman" w:hAnsi="Times New Roman" w:eastAsia="方正仿宋_GBK"/>
          <w:sz w:val="32"/>
          <w:szCs w:val="32"/>
          <w:shd w:val="clear" w:color="auto" w:fill="FFFFFF"/>
        </w:rPr>
        <w:t>808.58</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78.64%</w:t>
      </w:r>
      <w:r>
        <w:rPr>
          <w:rFonts w:ascii="方正仿宋_GBK" w:hAnsi="方正仿宋_GBK" w:eastAsia="方正仿宋_GBK" w:cs="方正仿宋_GBK"/>
          <w:sz w:val="32"/>
          <w:szCs w:val="32"/>
          <w:shd w:val="clear" w:color="auto" w:fill="FFFFFF"/>
        </w:rPr>
        <w:t>。主要原因是专项工作经费增加，如：“</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人制社会足球场地基础设施建设”、“三馆一站免费开放”、“</w:t>
      </w:r>
      <w:r>
        <w:rPr>
          <w:rFonts w:hint="default" w:ascii="Times New Roman" w:hAnsi="Times New Roman" w:eastAsia="方正仿宋_GBK"/>
          <w:sz w:val="32"/>
          <w:szCs w:val="32"/>
          <w:shd w:val="clear" w:color="auto" w:fill="FFFFFF"/>
        </w:rPr>
        <w:t>2019</w:t>
      </w:r>
      <w:r>
        <w:rPr>
          <w:rFonts w:ascii="方正仿宋_GBK" w:hAnsi="方正仿宋_GBK" w:eastAsia="方正仿宋_GBK" w:cs="方正仿宋_GBK"/>
          <w:sz w:val="32"/>
          <w:szCs w:val="32"/>
          <w:shd w:val="clear" w:color="auto" w:fill="FFFFFF"/>
        </w:rPr>
        <w:t>年星级乡村酒店补助”、</w:t>
      </w:r>
      <w:r>
        <w:rPr>
          <w:rFonts w:ascii="Times New Roman" w:hAnsi="Times New Roman" w:eastAsia="方正仿宋_GBK"/>
          <w:color w:val="000000"/>
          <w:sz w:val="32"/>
          <w:szCs w:val="32"/>
          <w:shd w:val="clear" w:color="auto" w:fill="FFFFFF"/>
        </w:rPr>
        <w:t>“烟叶统筹返还”、“兑现烟农户产后补贴”、“新农人培育提升工程”、“茅林沟桃花谷农旅融合配套项目”、“公路养护补助”、“2021年公路灾毁抢险保通”等</w:t>
      </w:r>
      <w:r>
        <w:rPr>
          <w:rFonts w:ascii="方正仿宋_GBK" w:hAnsi="方正仿宋_GBK" w:eastAsia="方正仿宋_GBK" w:cs="方正仿宋_GBK"/>
          <w:sz w:val="32"/>
          <w:szCs w:val="32"/>
          <w:shd w:val="clear" w:color="auto" w:fill="FFFFFF"/>
        </w:rPr>
        <w:t>。</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rPr>
        <w:t>82.13</w:t>
      </w:r>
      <w:r>
        <w:rPr>
          <w:rFonts w:ascii="方正仿宋_GBK" w:hAnsi="方正仿宋_GBK" w:eastAsia="方正仿宋_GBK" w:cs="方正仿宋_GBK"/>
          <w:sz w:val="32"/>
          <w:szCs w:val="32"/>
          <w:shd w:val="clear" w:color="auto" w:fill="FFFFFF"/>
        </w:rPr>
        <w:t>万元，与上年决算数持平。</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年度一般公共预算财政拨款支出主要用于以下几个方面：</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hint="default" w:ascii="Times New Roman" w:hAnsi="Times New Roman" w:eastAsia="方正仿宋_GBK"/>
          <w:sz w:val="32"/>
          <w:szCs w:val="32"/>
        </w:rPr>
        <w:t>703.10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rPr>
        <w:t>38.28</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sz w:val="32"/>
          <w:szCs w:val="32"/>
          <w:shd w:val="clear" w:color="auto" w:fill="FFFFFF"/>
        </w:rPr>
        <w:t>275.26</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64.34%</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olor w:val="000000"/>
          <w:sz w:val="32"/>
          <w:szCs w:val="32"/>
          <w:shd w:val="clear" w:color="auto" w:fill="FFFFFF"/>
        </w:rPr>
        <w:t>专项工作经费增加</w:t>
      </w:r>
      <w:r>
        <w:rPr>
          <w:rFonts w:ascii="Times New Roman" w:hAnsi="Times New Roman" w:eastAsia="方正仿宋_GBK"/>
          <w:color w:val="000000"/>
          <w:sz w:val="32"/>
          <w:szCs w:val="32"/>
          <w:shd w:val="clear" w:color="auto" w:fill="FFFFFF"/>
        </w:rPr>
        <w:t>，</w:t>
      </w:r>
      <w:r>
        <w:rPr>
          <w:rFonts w:hint="default" w:ascii="Times New Roman" w:hAnsi="Times New Roman" w:eastAsia="方正仿宋_GBK"/>
          <w:color w:val="000000"/>
          <w:sz w:val="32"/>
          <w:szCs w:val="32"/>
          <w:shd w:val="clear" w:color="auto" w:fill="FFFFFF"/>
        </w:rPr>
        <w:t>如：</w:t>
      </w:r>
      <w:r>
        <w:rPr>
          <w:rFonts w:ascii="Times New Roman" w:hAnsi="Times New Roman" w:eastAsia="方正仿宋_GBK"/>
          <w:color w:val="000000"/>
          <w:sz w:val="32"/>
          <w:szCs w:val="32"/>
          <w:shd w:val="clear" w:color="auto" w:fill="FFFFFF"/>
        </w:rPr>
        <w:t>“烟叶统筹返还”、“兑现烟农户产后补贴”等。</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（2）国防支出</w:t>
      </w:r>
      <w:r>
        <w:rPr>
          <w:rFonts w:hint="default" w:ascii="Times New Roman" w:hAnsi="Times New Roman" w:eastAsia="方正仿宋_GBK"/>
          <w:sz w:val="32"/>
          <w:szCs w:val="32"/>
        </w:rPr>
        <w:t>5.00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rPr>
        <w:t>0.27</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sz w:val="32"/>
          <w:szCs w:val="32"/>
          <w:shd w:val="clear" w:color="auto" w:fill="FFFFFF"/>
        </w:rPr>
        <w:t>5.00</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100.00%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年中新增了“基层人武部规范化建设经费”</w:t>
      </w:r>
      <w:r>
        <w:rPr>
          <w:rFonts w:ascii="方正仿宋_GBK" w:hAnsi="方正仿宋_GBK" w:eastAsia="方正仿宋_GBK" w:cs="方正仿宋_GBK"/>
          <w:sz w:val="32"/>
          <w:szCs w:val="32"/>
          <w:shd w:val="clear" w:color="auto" w:fill="FFFFFF"/>
        </w:rPr>
        <w:t>。</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（3）文化旅游体育与传媒支出</w:t>
      </w:r>
      <w:r>
        <w:rPr>
          <w:rFonts w:hint="default" w:ascii="Times New Roman" w:hAnsi="Times New Roman" w:eastAsia="方正仿宋_GBK"/>
          <w:sz w:val="32"/>
          <w:szCs w:val="32"/>
        </w:rPr>
        <w:t>145.84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rPr>
        <w:t>7.94</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sz w:val="32"/>
          <w:szCs w:val="32"/>
          <w:shd w:val="clear" w:color="auto" w:fill="FFFFFF"/>
        </w:rPr>
        <w:t>70.20</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92.81%</w:t>
      </w:r>
      <w:r>
        <w:rPr>
          <w:rFonts w:ascii="方正仿宋_GBK" w:hAnsi="方正仿宋_GBK" w:eastAsia="方正仿宋_GBK" w:cs="方正仿宋_GBK"/>
          <w:sz w:val="32"/>
          <w:szCs w:val="32"/>
          <w:shd w:val="clear" w:color="auto" w:fill="FFFFFF"/>
        </w:rPr>
        <w:t>，主要原因是</w:t>
      </w:r>
      <w:r>
        <w:rPr>
          <w:rFonts w:hint="default" w:ascii="方正仿宋_GBK" w:hAnsi="方正仿宋_GBK" w:eastAsia="方正仿宋_GBK" w:cs="方正仿宋_GBK"/>
          <w:sz w:val="32"/>
          <w:szCs w:val="32"/>
          <w:shd w:val="clear" w:color="auto" w:fill="FFFFFF"/>
        </w:rPr>
        <w:t>专项工作经费增加</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如：“</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人制社会足球场地基础设施建设</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三馆一站免费开放”、“</w:t>
      </w:r>
      <w:r>
        <w:rPr>
          <w:rFonts w:hint="default" w:ascii="Times New Roman" w:hAnsi="Times New Roman" w:eastAsia="方正仿宋_GBK"/>
          <w:sz w:val="32"/>
          <w:szCs w:val="32"/>
          <w:shd w:val="clear" w:color="auto" w:fill="FFFFFF"/>
        </w:rPr>
        <w:t>2019</w:t>
      </w:r>
      <w:r>
        <w:rPr>
          <w:rFonts w:ascii="方正仿宋_GBK" w:hAnsi="方正仿宋_GBK" w:eastAsia="方正仿宋_GBK" w:cs="方正仿宋_GBK"/>
          <w:sz w:val="32"/>
          <w:szCs w:val="32"/>
          <w:shd w:val="clear" w:color="auto" w:fill="FFFFFF"/>
        </w:rPr>
        <w:t>年星级乡村酒店补助”等。</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（4）社会保障与就业支出</w:t>
      </w:r>
      <w:r>
        <w:rPr>
          <w:rFonts w:hint="default" w:ascii="Times New Roman" w:hAnsi="Times New Roman" w:eastAsia="方正仿宋_GBK"/>
          <w:sz w:val="32"/>
          <w:szCs w:val="32"/>
        </w:rPr>
        <w:t>261.89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rPr>
        <w:t>14.26</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sz w:val="32"/>
          <w:szCs w:val="32"/>
          <w:shd w:val="clear" w:color="auto" w:fill="FFFFFF"/>
        </w:rPr>
        <w:t>87.79</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50.43%</w:t>
      </w:r>
      <w:r>
        <w:rPr>
          <w:rFonts w:ascii="方正仿宋_GBK" w:hAnsi="方正仿宋_GBK" w:eastAsia="方正仿宋_GBK" w:cs="方正仿宋_GBK"/>
          <w:sz w:val="32"/>
          <w:szCs w:val="32"/>
          <w:shd w:val="clear" w:color="auto" w:fill="FFFFFF"/>
        </w:rPr>
        <w:t>，主要原因是</w:t>
      </w:r>
      <w:r>
        <w:rPr>
          <w:rFonts w:hint="default" w:ascii="方正仿宋_GBK" w:hAnsi="方正仿宋_GBK" w:eastAsia="方正仿宋_GBK" w:cs="方正仿宋_GBK"/>
          <w:sz w:val="32"/>
          <w:szCs w:val="32"/>
          <w:shd w:val="clear" w:color="auto" w:fill="FFFFFF"/>
        </w:rPr>
        <w:t>专项工作经费增加</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如：“金鸡华裕农科公益性岗位补贴”、“金鸡华裕农科公益性岗位补贴”</w:t>
      </w:r>
      <w:r>
        <w:rPr>
          <w:rFonts w:ascii="方正仿宋_GBK" w:hAnsi="方正仿宋_GBK" w:eastAsia="方正仿宋_GBK" w:cs="方正仿宋_GBK"/>
          <w:sz w:val="32"/>
          <w:szCs w:val="32"/>
          <w:shd w:val="clear" w:color="auto" w:fill="FFFFFF"/>
        </w:rPr>
        <w:t>、“网格员补助”、“养老服务业发展补助”等。</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（5）卫生健康支出</w:t>
      </w:r>
      <w:r>
        <w:rPr>
          <w:rFonts w:hint="default" w:ascii="Times New Roman" w:hAnsi="Times New Roman" w:eastAsia="方正仿宋_GBK"/>
          <w:sz w:val="32"/>
          <w:szCs w:val="32"/>
        </w:rPr>
        <w:t>28.15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rPr>
        <w:t>1.53</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，较年初预算数减少</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3.43%</w:t>
      </w:r>
      <w:r>
        <w:rPr>
          <w:rFonts w:ascii="方正仿宋_GBK" w:hAnsi="方正仿宋_GBK" w:eastAsia="方正仿宋_GBK" w:cs="方正仿宋_GBK"/>
          <w:sz w:val="32"/>
          <w:szCs w:val="32"/>
          <w:shd w:val="clear" w:color="auto" w:fill="FFFFFF"/>
        </w:rPr>
        <w:t>，主要原因是人员调出</w:t>
      </w:r>
      <w:r>
        <w:rPr>
          <w:rFonts w:hint="default" w:ascii="方正仿宋_GBK" w:hAnsi="方正仿宋_GBK" w:eastAsia="方正仿宋_GBK" w:cs="方正仿宋_GBK"/>
          <w:sz w:val="32"/>
          <w:szCs w:val="32"/>
          <w:shd w:val="clear" w:color="auto" w:fill="FFFFFF"/>
        </w:rPr>
        <w:t>医疗保险缴费等支出</w:t>
      </w:r>
      <w:r>
        <w:rPr>
          <w:rFonts w:ascii="方正仿宋_GBK" w:hAnsi="方正仿宋_GBK" w:eastAsia="方正仿宋_GBK" w:cs="方正仿宋_GBK"/>
          <w:sz w:val="32"/>
          <w:szCs w:val="32"/>
          <w:shd w:val="clear" w:color="auto" w:fill="FFFFFF"/>
        </w:rPr>
        <w:t>减少。</w:t>
      </w:r>
    </w:p>
    <w:p>
      <w:pPr>
        <w:pStyle w:val="15"/>
        <w:spacing w:beforeAutospacing="0" w:afterAutospacing="0" w:line="56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6</w:t>
      </w:r>
      <w:r>
        <w:rPr>
          <w:rFonts w:ascii="方正仿宋_GBK" w:hAnsi="方正仿宋_GBK" w:eastAsia="方正仿宋_GBK" w:cs="方正仿宋_GBK"/>
          <w:sz w:val="32"/>
          <w:szCs w:val="32"/>
          <w:shd w:val="clear" w:color="auto" w:fill="FFFFFF"/>
        </w:rPr>
        <w:t>）城乡社区支出</w:t>
      </w:r>
      <w:r>
        <w:rPr>
          <w:rFonts w:ascii="Times New Roman" w:hAnsi="Times New Roman" w:eastAsia="方正仿宋_GBK"/>
          <w:sz w:val="32"/>
          <w:szCs w:val="32"/>
        </w:rPr>
        <w:t>65.77</w:t>
      </w:r>
      <w:r>
        <w:rPr>
          <w:rFonts w:ascii="方正仿宋_GBK" w:hAnsi="方正仿宋_GBK" w:eastAsia="方正仿宋_GBK" w:cs="方正仿宋_GBK"/>
          <w:sz w:val="32"/>
          <w:szCs w:val="32"/>
          <w:shd w:val="clear" w:color="auto" w:fill="FFFFFF"/>
        </w:rPr>
        <w:t>万元，占</w:t>
      </w:r>
      <w:r>
        <w:rPr>
          <w:rFonts w:ascii="Times New Roman" w:hAnsi="Times New Roman" w:eastAsia="方正仿宋_GBK"/>
          <w:sz w:val="32"/>
          <w:szCs w:val="32"/>
        </w:rPr>
        <w:t>3.58</w:t>
      </w:r>
      <w:r>
        <w:rPr>
          <w:rFonts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，较年初预算数增加</w:t>
      </w:r>
      <w:r>
        <w:rPr>
          <w:rFonts w:ascii="Times New Roman" w:hAnsi="Times New Roman" w:eastAsia="方正仿宋_GBK"/>
          <w:sz w:val="32"/>
          <w:szCs w:val="32"/>
          <w:shd w:val="clear" w:color="auto" w:fill="FFFFFF"/>
        </w:rPr>
        <w:t>3.68</w:t>
      </w:r>
      <w:r>
        <w:rPr>
          <w:rFonts w:ascii="方正仿宋_GBK" w:hAnsi="方正仿宋_GBK" w:eastAsia="方正仿宋_GBK" w:cs="方正仿宋_GBK"/>
          <w:sz w:val="32"/>
          <w:szCs w:val="32"/>
          <w:shd w:val="clear" w:color="auto" w:fill="FFFFFF"/>
        </w:rPr>
        <w:t>万元，增长</w:t>
      </w:r>
      <w:r>
        <w:rPr>
          <w:rFonts w:ascii="Times New Roman" w:hAnsi="Times New Roman" w:eastAsia="方正仿宋_GBK"/>
          <w:sz w:val="32"/>
          <w:szCs w:val="32"/>
          <w:shd w:val="clear" w:color="auto" w:fill="FFFFFF"/>
        </w:rPr>
        <w:t>5.93%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工资津补贴社保基数增加。</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（7）农林水支出</w:t>
      </w:r>
      <w:r>
        <w:rPr>
          <w:rFonts w:hint="default" w:ascii="Times New Roman" w:hAnsi="Times New Roman" w:eastAsia="方正仿宋_GBK"/>
          <w:sz w:val="32"/>
          <w:szCs w:val="32"/>
        </w:rPr>
        <w:t>537.22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rPr>
        <w:t>29.25</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sz w:val="32"/>
          <w:szCs w:val="32"/>
          <w:shd w:val="clear" w:color="auto" w:fill="FFFFFF"/>
        </w:rPr>
        <w:t>329.79</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158.99%</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olor w:val="000000"/>
          <w:sz w:val="32"/>
          <w:szCs w:val="32"/>
          <w:shd w:val="clear" w:color="auto" w:fill="FFFFFF"/>
        </w:rPr>
        <w:t>专项工作经费增加</w:t>
      </w:r>
      <w:r>
        <w:rPr>
          <w:rFonts w:ascii="Times New Roman" w:hAnsi="Times New Roman" w:eastAsia="方正仿宋_GBK"/>
          <w:color w:val="000000"/>
          <w:sz w:val="32"/>
          <w:szCs w:val="32"/>
          <w:shd w:val="clear" w:color="auto" w:fill="FFFFFF"/>
        </w:rPr>
        <w:t>，</w:t>
      </w:r>
      <w:r>
        <w:rPr>
          <w:rFonts w:hint="default" w:ascii="Times New Roman" w:hAnsi="Times New Roman" w:eastAsia="方正仿宋_GBK"/>
          <w:color w:val="000000"/>
          <w:sz w:val="32"/>
          <w:szCs w:val="32"/>
          <w:shd w:val="clear" w:color="auto" w:fill="FFFFFF"/>
        </w:rPr>
        <w:t>如：</w:t>
      </w:r>
      <w:r>
        <w:rPr>
          <w:rFonts w:ascii="Times New Roman" w:hAnsi="Times New Roman" w:eastAsia="方正仿宋_GBK"/>
          <w:color w:val="000000"/>
          <w:sz w:val="32"/>
          <w:szCs w:val="32"/>
          <w:shd w:val="clear" w:color="auto" w:fill="FFFFFF"/>
        </w:rPr>
        <w:t>“兑现烟农户产后补贴”、“新农人培育提升工程”、“茅林沟桃花谷农旅融合配套项目”等。</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（8）交通运输支出</w:t>
      </w:r>
      <w:r>
        <w:rPr>
          <w:rFonts w:hint="default" w:ascii="Times New Roman" w:hAnsi="Times New Roman" w:eastAsia="方正仿宋_GBK"/>
          <w:sz w:val="32"/>
          <w:szCs w:val="32"/>
        </w:rPr>
        <w:t>28.19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rPr>
        <w:t>1.53</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sz w:val="32"/>
          <w:szCs w:val="32"/>
          <w:shd w:val="clear" w:color="auto" w:fill="FFFFFF"/>
        </w:rPr>
        <w:t>28.19</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100.00%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olor w:val="000000"/>
          <w:sz w:val="32"/>
          <w:szCs w:val="32"/>
          <w:shd w:val="clear" w:color="auto" w:fill="FFFFFF"/>
        </w:rPr>
        <w:t>专项工作经费增加</w:t>
      </w:r>
      <w:r>
        <w:rPr>
          <w:rFonts w:ascii="Times New Roman" w:hAnsi="Times New Roman" w:eastAsia="方正仿宋_GBK"/>
          <w:color w:val="000000"/>
          <w:sz w:val="32"/>
          <w:szCs w:val="32"/>
          <w:shd w:val="clear" w:color="auto" w:fill="FFFFFF"/>
        </w:rPr>
        <w:t>，</w:t>
      </w:r>
      <w:r>
        <w:rPr>
          <w:rFonts w:hint="default" w:ascii="Times New Roman" w:hAnsi="Times New Roman" w:eastAsia="方正仿宋_GBK"/>
          <w:color w:val="000000"/>
          <w:sz w:val="32"/>
          <w:szCs w:val="32"/>
          <w:shd w:val="clear" w:color="auto" w:fill="FFFFFF"/>
        </w:rPr>
        <w:t>如：</w:t>
      </w:r>
      <w:r>
        <w:rPr>
          <w:rFonts w:ascii="Times New Roman" w:hAnsi="Times New Roman" w:eastAsia="方正仿宋_GBK"/>
          <w:color w:val="000000"/>
          <w:sz w:val="32"/>
          <w:szCs w:val="32"/>
          <w:shd w:val="clear" w:color="auto" w:fill="FFFFFF"/>
        </w:rPr>
        <w:t>“公路养护补助”、“2021年公路灾毁抢险保通”。</w:t>
      </w:r>
    </w:p>
    <w:p>
      <w:pPr>
        <w:spacing w:line="56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（9）</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rPr>
        <w:t>35.97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rPr>
        <w:t>1.96</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，较年初预算数减少</w:t>
      </w:r>
      <w:r>
        <w:rPr>
          <w:rFonts w:hint="default" w:ascii="Times New Roman" w:hAnsi="Times New Roman" w:eastAsia="方正仿宋_GBK"/>
          <w:sz w:val="32"/>
          <w:szCs w:val="32"/>
          <w:shd w:val="clear" w:color="auto" w:fill="FFFFFF"/>
        </w:rPr>
        <w:t>2.25</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5.89%</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olor w:val="000000"/>
          <w:sz w:val="32"/>
          <w:szCs w:val="32"/>
          <w:shd w:val="clear" w:color="auto" w:fill="FFFFFF"/>
        </w:rPr>
        <w:t>人员调出住房公积金</w:t>
      </w:r>
      <w:r>
        <w:rPr>
          <w:rFonts w:hint="default" w:ascii="Times New Roman" w:hAnsi="Times New Roman" w:eastAsia="方正仿宋_GBK"/>
          <w:color w:val="000000"/>
          <w:sz w:val="32"/>
          <w:szCs w:val="32"/>
          <w:shd w:val="clear" w:color="auto" w:fill="FFFFFF"/>
        </w:rPr>
        <w:t>缴费支出</w:t>
      </w:r>
      <w:r>
        <w:rPr>
          <w:rFonts w:ascii="Times New Roman" w:hAnsi="Times New Roman" w:eastAsia="方正仿宋_GBK"/>
          <w:color w:val="000000"/>
          <w:sz w:val="32"/>
          <w:szCs w:val="32"/>
          <w:shd w:val="clear" w:color="auto" w:fill="FFFFFF"/>
        </w:rPr>
        <w:t>减少。</w:t>
      </w:r>
    </w:p>
    <w:p>
      <w:pPr>
        <w:spacing w:line="56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（10）</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rPr>
        <w:t>25.68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rPr>
        <w:t>1.40</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sz w:val="32"/>
          <w:szCs w:val="32"/>
          <w:shd w:val="clear" w:color="auto" w:fill="FFFFFF"/>
        </w:rPr>
        <w:t>22.80</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791.67%</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olor w:val="000000"/>
          <w:sz w:val="32"/>
          <w:szCs w:val="32"/>
          <w:shd w:val="clear" w:color="auto" w:fill="FFFFFF"/>
        </w:rPr>
        <w:t>专项工作经费增加</w:t>
      </w:r>
      <w:r>
        <w:rPr>
          <w:rFonts w:ascii="Times New Roman" w:hAnsi="Times New Roman" w:eastAsia="方正仿宋_GBK"/>
          <w:color w:val="000000"/>
          <w:sz w:val="32"/>
          <w:szCs w:val="32"/>
          <w:shd w:val="clear" w:color="auto" w:fill="FFFFFF"/>
        </w:rPr>
        <w:t>，</w:t>
      </w:r>
      <w:r>
        <w:rPr>
          <w:rFonts w:hint="default" w:ascii="Times New Roman" w:hAnsi="Times New Roman" w:eastAsia="方正仿宋_GBK"/>
          <w:color w:val="000000"/>
          <w:sz w:val="32"/>
          <w:szCs w:val="32"/>
          <w:shd w:val="clear" w:color="auto" w:fill="FFFFFF"/>
        </w:rPr>
        <w:t>如：</w:t>
      </w:r>
      <w:r>
        <w:rPr>
          <w:rFonts w:ascii="Times New Roman" w:hAnsi="Times New Roman" w:eastAsia="方正仿宋_GBK"/>
          <w:color w:val="000000"/>
          <w:sz w:val="32"/>
          <w:szCs w:val="32"/>
          <w:shd w:val="clear" w:color="auto" w:fill="FFFFFF"/>
        </w:rPr>
        <w:t>“旱灾生活救助”、“2022年自然灾害救助补助”、“2022年防旱抗旱救灾”等。</w:t>
      </w:r>
    </w:p>
    <w:p>
      <w:pPr>
        <w:spacing w:line="56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（11）</w:t>
      </w:r>
      <w:r>
        <w:rPr>
          <w:rFonts w:ascii="方正仿宋_GBK" w:hAnsi="方正仿宋_GBK" w:eastAsia="方正仿宋_GBK" w:cs="方正仿宋_GBK"/>
          <w:sz w:val="32"/>
          <w:szCs w:val="32"/>
        </w:rPr>
        <w:t>其他支出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，较年初预算数减少</w:t>
      </w:r>
      <w:r>
        <w:rPr>
          <w:rFonts w:hint="default" w:ascii="Times New Roman" w:hAnsi="Times New Roman" w:eastAsia="方正仿宋_GBK"/>
          <w:sz w:val="32"/>
          <w:szCs w:val="32"/>
          <w:shd w:val="clear" w:color="auto" w:fill="FFFFFF"/>
        </w:rPr>
        <w:t>10.89</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100.00%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olor w:val="000000"/>
          <w:sz w:val="32"/>
          <w:szCs w:val="32"/>
          <w:shd w:val="clear" w:color="auto" w:fill="FFFFFF"/>
        </w:rPr>
        <w:t>预备费的科目调整</w:t>
      </w:r>
      <w:r>
        <w:rPr>
          <w:rFonts w:ascii="Times New Roman" w:hAnsi="Times New Roman" w:eastAsia="方正仿宋_GBK"/>
          <w:color w:val="000000"/>
          <w:sz w:val="32"/>
          <w:szCs w:val="32"/>
          <w:shd w:val="clear" w:color="auto" w:fill="FFFFFF"/>
        </w:rPr>
        <w:t>。</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15"/>
        <w:spacing w:line="560" w:lineRule="exact"/>
        <w:ind w:firstLine="640" w:firstLineChars="200"/>
        <w:rPr>
          <w:rFonts w:ascii="Times New Roman" w:hAnsi="Times New Roman" w:eastAsia="方正仿宋_GBK"/>
          <w:color w:val="000000"/>
          <w:sz w:val="32"/>
          <w:szCs w:val="32"/>
          <w:shd w:val="clear" w:color="auto" w:fill="FFFFFF"/>
        </w:rPr>
      </w:pPr>
      <w:r>
        <w:rPr>
          <w:rFonts w:ascii="方正仿宋_GBK" w:hAnsi="方正仿宋_GBK" w:eastAsia="方正仿宋_GBK" w:cs="方正仿宋_GBK"/>
          <w:sz w:val="32"/>
          <w:szCs w:val="32"/>
          <w:shd w:val="clear" w:color="auto" w:fill="FFFFFF"/>
        </w:rPr>
        <w:t> </w:t>
      </w:r>
      <w:r>
        <w:rPr>
          <w:rFonts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年度一般公共财政拨款基本支出</w:t>
      </w:r>
      <w:r>
        <w:rPr>
          <w:rFonts w:ascii="Times New Roman" w:hAnsi="Times New Roman" w:eastAsia="方正仿宋_GBK"/>
          <w:sz w:val="32"/>
          <w:szCs w:val="32"/>
        </w:rPr>
        <w:t>1212.64</w:t>
      </w:r>
      <w:r>
        <w:rPr>
          <w:rFonts w:ascii="方正仿宋_GBK" w:hAnsi="方正仿宋_GBK" w:eastAsia="方正仿宋_GBK" w:cs="方正仿宋_GBK"/>
          <w:sz w:val="32"/>
          <w:szCs w:val="32"/>
          <w:shd w:val="clear" w:color="auto" w:fill="FFFFFF"/>
        </w:rPr>
        <w:t>万元。其中：人员经费</w:t>
      </w:r>
      <w:r>
        <w:rPr>
          <w:rFonts w:ascii="Times New Roman" w:hAnsi="Times New Roman" w:eastAsia="方正仿宋_GBK"/>
          <w:sz w:val="32"/>
          <w:szCs w:val="32"/>
        </w:rPr>
        <w:t>946.81</w:t>
      </w:r>
      <w:r>
        <w:rPr>
          <w:rFonts w:ascii="方正仿宋_GBK" w:hAnsi="方正仿宋_GBK" w:eastAsia="方正仿宋_GBK" w:cs="方正仿宋_GBK"/>
          <w:sz w:val="32"/>
          <w:szCs w:val="32"/>
          <w:shd w:val="clear" w:color="auto" w:fill="FFFFFF"/>
        </w:rPr>
        <w:t>万元，较上年决算数增加</w:t>
      </w:r>
      <w:r>
        <w:rPr>
          <w:rFonts w:ascii="Times New Roman" w:hAnsi="Times New Roman" w:eastAsia="方正仿宋_GBK"/>
          <w:sz w:val="32"/>
          <w:szCs w:val="32"/>
          <w:shd w:val="clear" w:color="auto" w:fill="FFFFFF"/>
        </w:rPr>
        <w:t>169.42</w:t>
      </w:r>
      <w:r>
        <w:rPr>
          <w:rFonts w:ascii="方正仿宋_GBK" w:hAnsi="方正仿宋_GBK" w:eastAsia="方正仿宋_GBK" w:cs="方正仿宋_GBK"/>
          <w:sz w:val="32"/>
          <w:szCs w:val="32"/>
          <w:shd w:val="clear" w:color="auto" w:fill="FFFFFF"/>
        </w:rPr>
        <w:t>万元，增长</w:t>
      </w:r>
      <w:r>
        <w:rPr>
          <w:rFonts w:ascii="Times New Roman" w:hAnsi="Times New Roman" w:eastAsia="方正仿宋_GBK"/>
          <w:sz w:val="32"/>
          <w:szCs w:val="32"/>
          <w:shd w:val="clear" w:color="auto" w:fill="FFFFFF"/>
        </w:rPr>
        <w:t>21.79%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本年度职业年金做实、新增</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三支一扶</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人员入编、补缴</w:t>
      </w:r>
      <w:r>
        <w:rPr>
          <w:rFonts w:ascii="Times New Roman" w:hAnsi="Times New Roman" w:eastAsia="方正仿宋_GBK"/>
          <w:sz w:val="32"/>
          <w:szCs w:val="32"/>
          <w:shd w:val="clear" w:color="auto" w:fill="FFFFFF"/>
        </w:rPr>
        <w:t>2022</w:t>
      </w:r>
      <w:r>
        <w:rPr>
          <w:rFonts w:hint="eastAsia" w:ascii="方正仿宋_GBK" w:hAnsi="方正仿宋_GBK" w:eastAsia="方正仿宋_GBK" w:cs="方正仿宋_GBK"/>
          <w:sz w:val="32"/>
          <w:szCs w:val="32"/>
          <w:shd w:val="clear" w:color="auto" w:fill="FFFFFF"/>
        </w:rPr>
        <w:t>年养老保险职业年金、工资津补贴社保基数增加</w:t>
      </w:r>
      <w:r>
        <w:rPr>
          <w:rFonts w:ascii="方正仿宋_GBK" w:hAnsi="方正仿宋_GBK" w:eastAsia="方正仿宋_GBK" w:cs="方正仿宋_GBK"/>
          <w:sz w:val="32"/>
          <w:szCs w:val="32"/>
          <w:shd w:val="clear" w:color="auto" w:fill="FFFFFF"/>
        </w:rPr>
        <w:t>。人员经费用途主要包括</w:t>
      </w:r>
      <w:r>
        <w:rPr>
          <w:rFonts w:ascii="Times New Roman" w:hAnsi="Times New Roman" w:eastAsia="方正仿宋_GBK"/>
          <w:color w:val="000000"/>
          <w:sz w:val="32"/>
          <w:szCs w:val="32"/>
          <w:shd w:val="clear" w:color="auto" w:fill="FFFFFF"/>
        </w:rPr>
        <w:t>基本工资、津贴补贴、奖金、社会保障缴费、其他工资福利待遇、对个人和家庭的补助等费用</w:t>
      </w:r>
      <w:r>
        <w:rPr>
          <w:rFonts w:ascii="方正仿宋_GBK" w:hAnsi="方正仿宋_GBK" w:eastAsia="方正仿宋_GBK" w:cs="方正仿宋_GBK"/>
          <w:sz w:val="32"/>
          <w:szCs w:val="32"/>
          <w:shd w:val="clear" w:color="auto" w:fill="FFFFFF"/>
        </w:rPr>
        <w:t>。公用经费</w:t>
      </w:r>
      <w:r>
        <w:rPr>
          <w:rFonts w:ascii="Times New Roman" w:hAnsi="Times New Roman" w:eastAsia="方正仿宋_GBK"/>
          <w:sz w:val="32"/>
          <w:szCs w:val="32"/>
        </w:rPr>
        <w:t>265.82</w:t>
      </w:r>
      <w:r>
        <w:rPr>
          <w:rFonts w:ascii="方正仿宋_GBK" w:hAnsi="方正仿宋_GBK" w:eastAsia="方正仿宋_GBK" w:cs="方正仿宋_GBK"/>
          <w:sz w:val="32"/>
          <w:szCs w:val="32"/>
          <w:shd w:val="clear" w:color="auto" w:fill="FFFFFF"/>
        </w:rPr>
        <w:t>万元，较上年决算数减少</w:t>
      </w:r>
      <w:r>
        <w:rPr>
          <w:rFonts w:ascii="Times New Roman" w:hAnsi="Times New Roman" w:eastAsia="方正仿宋_GBK"/>
          <w:sz w:val="32"/>
          <w:szCs w:val="32"/>
          <w:shd w:val="clear" w:color="auto" w:fill="FFFFFF"/>
        </w:rPr>
        <w:t>0.01</w:t>
      </w:r>
      <w:r>
        <w:rPr>
          <w:rFonts w:ascii="方正仿宋_GBK" w:hAnsi="方正仿宋_GBK" w:eastAsia="方正仿宋_GBK" w:cs="方正仿宋_GBK"/>
          <w:sz w:val="32"/>
          <w:szCs w:val="32"/>
          <w:shd w:val="clear" w:color="auto" w:fill="FFFFFF"/>
        </w:rPr>
        <w:t>万元，下降</w:t>
      </w:r>
      <w:r>
        <w:rPr>
          <w:rFonts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olor w:val="000000"/>
          <w:sz w:val="32"/>
          <w:szCs w:val="32"/>
          <w:shd w:val="clear" w:color="auto" w:fill="FFFFFF"/>
        </w:rPr>
        <w:t>认真贯彻落实中央八项规定精神和厉行节约要求。</w:t>
      </w:r>
      <w:r>
        <w:rPr>
          <w:rFonts w:ascii="方正仿宋_GBK" w:hAnsi="方正仿宋_GBK" w:eastAsia="方正仿宋_GBK" w:cs="方正仿宋_GBK"/>
          <w:sz w:val="32"/>
          <w:szCs w:val="32"/>
          <w:shd w:val="clear" w:color="auto" w:fill="FFFFFF"/>
        </w:rPr>
        <w:t>公用经费用途主要包括</w:t>
      </w:r>
      <w:r>
        <w:rPr>
          <w:rFonts w:ascii="Times New Roman" w:hAnsi="Times New Roman" w:eastAsia="方正仿宋_GBK"/>
          <w:color w:val="000000"/>
          <w:sz w:val="32"/>
          <w:szCs w:val="32"/>
          <w:shd w:val="clear" w:color="auto" w:fill="FFFFFF"/>
        </w:rPr>
        <w:t>办公费、</w:t>
      </w:r>
      <w:r>
        <w:rPr>
          <w:rFonts w:hint="eastAsia" w:ascii="Times New Roman" w:hAnsi="Times New Roman" w:eastAsia="方正仿宋_GBK"/>
          <w:color w:val="000000"/>
          <w:sz w:val="32"/>
          <w:szCs w:val="32"/>
          <w:shd w:val="clear" w:color="auto" w:fill="FFFFFF"/>
        </w:rPr>
        <w:t>印刷费</w:t>
      </w:r>
      <w:r>
        <w:rPr>
          <w:rFonts w:ascii="Times New Roman" w:hAnsi="Times New Roman" w:eastAsia="方正仿宋_GBK"/>
          <w:color w:val="000000"/>
          <w:sz w:val="32"/>
          <w:szCs w:val="32"/>
          <w:shd w:val="clear" w:color="auto" w:fill="FFFFFF"/>
        </w:rPr>
        <w:t>、咨询费</w:t>
      </w:r>
      <w:r>
        <w:rPr>
          <w:rFonts w:hint="eastAsia" w:ascii="Times New Roman" w:hAnsi="Times New Roman" w:eastAsia="方正仿宋_GBK"/>
          <w:color w:val="000000"/>
          <w:sz w:val="32"/>
          <w:szCs w:val="32"/>
          <w:shd w:val="clear" w:color="auto" w:fill="FFFFFF"/>
        </w:rPr>
        <w:t>、电费、邮电费、</w:t>
      </w:r>
      <w:r>
        <w:rPr>
          <w:rFonts w:ascii="Times New Roman" w:hAnsi="Times New Roman" w:eastAsia="方正仿宋_GBK"/>
          <w:color w:val="000000"/>
          <w:sz w:val="32"/>
          <w:szCs w:val="32"/>
          <w:shd w:val="clear" w:color="auto" w:fill="FFFFFF"/>
        </w:rPr>
        <w:t>差旅费、维修</w:t>
      </w:r>
      <w:r>
        <w:rPr>
          <w:rFonts w:hint="eastAsia" w:ascii="Times New Roman" w:hAnsi="Times New Roman" w:eastAsia="方正仿宋_GBK"/>
          <w:color w:val="000000"/>
          <w:sz w:val="32"/>
          <w:szCs w:val="32"/>
          <w:shd w:val="clear" w:color="auto" w:fill="FFFFFF"/>
        </w:rPr>
        <w:t>（护）费、</w:t>
      </w:r>
      <w:r>
        <w:rPr>
          <w:rFonts w:ascii="Times New Roman" w:hAnsi="Times New Roman" w:eastAsia="方正仿宋_GBK"/>
          <w:color w:val="000000"/>
          <w:sz w:val="32"/>
          <w:szCs w:val="32"/>
          <w:shd w:val="clear" w:color="auto" w:fill="FFFFFF"/>
        </w:rPr>
        <w:t>培训费、公务接待费、专用材料费</w:t>
      </w:r>
      <w:r>
        <w:rPr>
          <w:rFonts w:hint="eastAsia" w:ascii="Times New Roman" w:hAnsi="Times New Roman" w:eastAsia="方正仿宋_GBK"/>
          <w:color w:val="000000"/>
          <w:sz w:val="32"/>
          <w:szCs w:val="32"/>
          <w:shd w:val="clear" w:color="auto" w:fill="FFFFFF"/>
        </w:rPr>
        <w:t>、劳务费、委托业务费、工会经费、</w:t>
      </w:r>
      <w:r>
        <w:rPr>
          <w:rFonts w:ascii="Times New Roman" w:hAnsi="Times New Roman" w:eastAsia="方正仿宋_GBK"/>
          <w:color w:val="000000"/>
          <w:sz w:val="32"/>
          <w:szCs w:val="32"/>
          <w:shd w:val="clear" w:color="auto" w:fill="FFFFFF"/>
        </w:rPr>
        <w:t>公务</w:t>
      </w:r>
      <w:r>
        <w:rPr>
          <w:rFonts w:hint="eastAsia" w:ascii="Times New Roman" w:hAnsi="Times New Roman" w:eastAsia="方正仿宋_GBK"/>
          <w:color w:val="000000"/>
          <w:sz w:val="32"/>
          <w:szCs w:val="32"/>
          <w:shd w:val="clear" w:color="auto" w:fill="FFFFFF"/>
        </w:rPr>
        <w:t>用车</w:t>
      </w:r>
      <w:r>
        <w:rPr>
          <w:rFonts w:ascii="Times New Roman" w:hAnsi="Times New Roman" w:eastAsia="方正仿宋_GBK"/>
          <w:color w:val="000000"/>
          <w:sz w:val="32"/>
          <w:szCs w:val="32"/>
          <w:shd w:val="clear" w:color="auto" w:fill="FFFFFF"/>
        </w:rPr>
        <w:t>运行维护费、其他交通费用</w:t>
      </w:r>
      <w:r>
        <w:rPr>
          <w:rFonts w:hint="eastAsia" w:ascii="Times New Roman" w:hAnsi="Times New Roman" w:eastAsia="方正仿宋_GBK"/>
          <w:color w:val="000000"/>
          <w:sz w:val="32"/>
          <w:szCs w:val="32"/>
          <w:shd w:val="clear" w:color="auto" w:fill="FFFFFF"/>
        </w:rPr>
        <w:t>、</w:t>
      </w:r>
      <w:r>
        <w:rPr>
          <w:rFonts w:ascii="Times New Roman" w:hAnsi="Times New Roman" w:eastAsia="方正仿宋_GBK"/>
          <w:color w:val="000000"/>
          <w:sz w:val="32"/>
          <w:szCs w:val="32"/>
          <w:shd w:val="clear" w:color="auto" w:fill="FFFFFF"/>
        </w:rPr>
        <w:t>其他商品和服务支出</w:t>
      </w:r>
      <w:r>
        <w:rPr>
          <w:rFonts w:hint="eastAsia" w:ascii="Times New Roman" w:hAnsi="Times New Roman" w:eastAsia="方正仿宋_GBK"/>
          <w:color w:val="000000"/>
          <w:sz w:val="32"/>
          <w:szCs w:val="32"/>
          <w:shd w:val="clear" w:color="auto" w:fill="FFFFFF"/>
        </w:rPr>
        <w:t>、办公</w:t>
      </w:r>
      <w:r>
        <w:rPr>
          <w:rFonts w:ascii="Times New Roman" w:hAnsi="Times New Roman" w:eastAsia="方正仿宋_GBK"/>
          <w:color w:val="000000"/>
          <w:sz w:val="32"/>
          <w:szCs w:val="32"/>
          <w:shd w:val="clear" w:color="auto" w:fill="FFFFFF"/>
        </w:rPr>
        <w:t>设备购置等费用。</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rPr>
        <w:t>43.25</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sz w:val="32"/>
          <w:szCs w:val="32"/>
          <w:shd w:val="clear" w:color="auto" w:fill="FFFFFF"/>
        </w:rPr>
        <w:t>30.12</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229.40%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olor w:val="000000"/>
          <w:sz w:val="32"/>
          <w:szCs w:val="32"/>
          <w:shd w:val="clear" w:color="auto" w:fill="FFFFFF"/>
        </w:rPr>
        <w:t>专项工作经费增加</w:t>
      </w:r>
      <w:r>
        <w:rPr>
          <w:rFonts w:ascii="Times New Roman" w:hAnsi="Times New Roman" w:eastAsia="方正仿宋_GBK"/>
          <w:color w:val="000000"/>
          <w:sz w:val="32"/>
          <w:szCs w:val="32"/>
          <w:shd w:val="clear" w:color="auto" w:fill="FFFFFF"/>
        </w:rPr>
        <w:t>，</w:t>
      </w:r>
      <w:r>
        <w:rPr>
          <w:rFonts w:hint="default" w:ascii="Times New Roman" w:hAnsi="Times New Roman" w:eastAsia="方正仿宋_GBK"/>
          <w:color w:val="000000"/>
          <w:sz w:val="32"/>
          <w:szCs w:val="32"/>
          <w:shd w:val="clear" w:color="auto" w:fill="FFFFFF"/>
        </w:rPr>
        <w:t>如：</w:t>
      </w:r>
      <w:r>
        <w:rPr>
          <w:rFonts w:ascii="Times New Roman" w:hAnsi="Times New Roman" w:eastAsia="方正仿宋_GBK"/>
          <w:color w:val="000000"/>
          <w:sz w:val="32"/>
          <w:szCs w:val="32"/>
          <w:shd w:val="clear" w:color="auto" w:fill="FFFFFF"/>
        </w:rPr>
        <w:t>“实施城镇规划建设（太平坝乡广场）、（太平坝乡停车场）耕地开垦费”、“2022年公路养护补助”、“篮球场升级改造”、“养老服务业发展补助资金”、“残疾人文化体育示范点”</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rPr>
        <w:t>43.25</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sz w:val="32"/>
          <w:szCs w:val="32"/>
          <w:shd w:val="clear" w:color="auto" w:fill="FFFFFF"/>
        </w:rPr>
        <w:t>30.12</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229.40%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olor w:val="000000"/>
          <w:sz w:val="32"/>
          <w:szCs w:val="32"/>
          <w:shd w:val="clear" w:color="auto" w:fill="FFFFFF"/>
        </w:rPr>
        <w:t>专项工作经费增加</w:t>
      </w:r>
      <w:r>
        <w:rPr>
          <w:rFonts w:ascii="Times New Roman" w:hAnsi="Times New Roman" w:eastAsia="方正仿宋_GBK"/>
          <w:color w:val="000000"/>
          <w:sz w:val="32"/>
          <w:szCs w:val="32"/>
          <w:shd w:val="clear" w:color="auto" w:fill="FFFFFF"/>
        </w:rPr>
        <w:t>，</w:t>
      </w:r>
      <w:r>
        <w:rPr>
          <w:rFonts w:hint="default" w:ascii="Times New Roman" w:hAnsi="Times New Roman" w:eastAsia="方正仿宋_GBK"/>
          <w:color w:val="000000"/>
          <w:sz w:val="32"/>
          <w:szCs w:val="32"/>
          <w:shd w:val="clear" w:color="auto" w:fill="FFFFFF"/>
        </w:rPr>
        <w:t>如：</w:t>
      </w:r>
      <w:r>
        <w:rPr>
          <w:rFonts w:ascii="Times New Roman" w:hAnsi="Times New Roman" w:eastAsia="方正仿宋_GBK"/>
          <w:color w:val="000000"/>
          <w:sz w:val="32"/>
          <w:szCs w:val="32"/>
          <w:shd w:val="clear" w:color="auto" w:fill="FFFFFF"/>
        </w:rPr>
        <w:t>“实施城镇规划建设（太平坝乡广场）、（太平坝乡停车场）耕地开垦费”、“2022年公路养护补助”、“篮球场升级改造”、“养老服务业发展补助资金”、“残疾人文化体育示范点”</w:t>
      </w:r>
      <w:r>
        <w:rPr>
          <w:rFonts w:ascii="方正仿宋_GBK" w:hAnsi="方正仿宋_GBK" w:eastAsia="方正仿宋_GBK" w:cs="方正仿宋_GBK"/>
          <w:sz w:val="32"/>
          <w:szCs w:val="32"/>
          <w:shd w:val="clear" w:color="auto" w:fill="FFFFFF"/>
        </w:rPr>
        <w:t>。</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Style w:val="19"/>
          <w:rFonts w:hint="eastAsia" w:eastAsia="方正仿宋_GBK"/>
          <w:b w:val="0"/>
          <w:bCs w:val="0"/>
          <w:color w:val="000000"/>
          <w:sz w:val="32"/>
          <w:szCs w:val="32"/>
          <w:shd w:val="clear" w:color="auto" w:fill="FFFFFF"/>
        </w:rPr>
        <w:t>本部门2023年度无国有资本经营预算财政拨款支出。</w:t>
      </w:r>
    </w:p>
    <w:p>
      <w:pPr>
        <w:pStyle w:val="7"/>
        <w:shd w:val="clear" w:color="auto" w:fill="FFFFFF"/>
        <w:ind w:firstLine="642" w:firstLineChars="200"/>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三、“三公”经费情况说明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7"/>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rPr>
        <w:t>24.38</w:t>
      </w:r>
      <w:r>
        <w:rPr>
          <w:rFonts w:ascii="方正仿宋_GBK" w:hAnsi="方正仿宋_GBK" w:eastAsia="方正仿宋_GBK" w:cs="方正仿宋_GBK"/>
          <w:sz w:val="32"/>
          <w:szCs w:val="32"/>
          <w:shd w:val="clear" w:color="auto" w:fill="FFFFFF"/>
        </w:rPr>
        <w:t>万元，较年初预算数增加</w:t>
      </w:r>
      <w:r>
        <w:rPr>
          <w:rFonts w:hint="default" w:ascii="Times New Roman" w:hAnsi="Times New Roman" w:eastAsia="方正仿宋_GBK"/>
          <w:sz w:val="32"/>
          <w:szCs w:val="32"/>
          <w:shd w:val="clear" w:color="auto" w:fill="FFFFFF"/>
        </w:rPr>
        <w:t>1.68</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7.40%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olor w:val="000000"/>
          <w:sz w:val="32"/>
          <w:szCs w:val="32"/>
          <w:shd w:val="clear" w:color="auto" w:fill="FFFFFF"/>
        </w:rPr>
        <w:t>“百日攻坚”三大行动</w:t>
      </w:r>
      <w:r>
        <w:rPr>
          <w:rFonts w:hint="default" w:ascii="Times New Roman" w:hAnsi="Times New Roman" w:eastAsia="方正仿宋_GBK"/>
          <w:color w:val="000000"/>
          <w:sz w:val="32"/>
          <w:szCs w:val="32"/>
          <w:shd w:val="clear" w:color="auto" w:fill="FFFFFF"/>
        </w:rPr>
        <w:t>工作需要，导致公务用车运行维护费用增加。</w:t>
      </w:r>
      <w:r>
        <w:rPr>
          <w:rFonts w:ascii="方正仿宋_GBK" w:hAnsi="方正仿宋_GBK" w:eastAsia="方正仿宋_GBK" w:cs="方正仿宋_GBK"/>
          <w:sz w:val="32"/>
          <w:szCs w:val="32"/>
          <w:shd w:val="clear" w:color="auto" w:fill="FFFFFF"/>
        </w:rPr>
        <w:t>较上年支出数减少</w:t>
      </w:r>
      <w:r>
        <w:rPr>
          <w:rFonts w:hint="default" w:ascii="Times New Roman" w:hAnsi="Times New Roman" w:eastAsia="方正仿宋_GBK"/>
          <w:sz w:val="32"/>
          <w:szCs w:val="32"/>
          <w:shd w:val="clear" w:color="auto" w:fill="FFFFFF"/>
        </w:rPr>
        <w:t>0.09</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0.37%</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olor w:val="000000"/>
          <w:sz w:val="32"/>
          <w:szCs w:val="32"/>
          <w:shd w:val="clear" w:color="auto" w:fill="FFFFFF"/>
        </w:rPr>
        <w:t>落实三公经费只减不增要求</w:t>
      </w:r>
      <w:r>
        <w:rPr>
          <w:rFonts w:hint="default" w:ascii="Times New Roman" w:hAnsi="Times New Roman" w:eastAsia="方正仿宋_GBK"/>
          <w:color w:val="000000"/>
          <w:sz w:val="32"/>
          <w:szCs w:val="32"/>
          <w:shd w:val="clear" w:color="auto" w:fill="FFFFFF"/>
        </w:rPr>
        <w:t>。</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7"/>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本部门</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年度未发生因公出国（境）费用</w:t>
      </w:r>
      <w:r>
        <w:rPr>
          <w:rFonts w:hint="default" w:ascii="Times New Roman" w:hAnsi="Times New Roman" w:eastAsia="方正仿宋_GBK"/>
          <w:color w:val="000000"/>
          <w:sz w:val="32"/>
          <w:szCs w:val="32"/>
          <w:shd w:val="clear" w:color="auto" w:fill="FFFFFF"/>
        </w:rPr>
        <w:t>，与上年决算数持平。</w:t>
      </w:r>
    </w:p>
    <w:p>
      <w:pPr>
        <w:pStyle w:val="7"/>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color w:val="000000"/>
          <w:sz w:val="32"/>
          <w:szCs w:val="32"/>
          <w:shd w:val="clear" w:color="auto" w:fill="FFFFFF"/>
        </w:rPr>
        <w:t>本</w:t>
      </w:r>
      <w:r>
        <w:rPr>
          <w:rFonts w:ascii="Times New Roman" w:hAnsi="Times New Roman" w:eastAsia="方正仿宋_GBK"/>
          <w:color w:val="000000"/>
          <w:sz w:val="32"/>
          <w:szCs w:val="32"/>
          <w:shd w:val="clear" w:color="auto" w:fill="FFFFFF"/>
        </w:rPr>
        <w:t>部门</w:t>
      </w:r>
      <w:r>
        <w:rPr>
          <w:rFonts w:hint="default" w:ascii="Times New Roman" w:hAnsi="Times New Roman" w:eastAsia="方正仿宋_GBK"/>
          <w:color w:val="000000"/>
          <w:sz w:val="32"/>
          <w:szCs w:val="32"/>
          <w:shd w:val="clear" w:color="auto" w:fill="FFFFFF"/>
        </w:rPr>
        <w:t>202</w:t>
      </w:r>
      <w:r>
        <w:rPr>
          <w:rFonts w:ascii="Times New Roman" w:hAnsi="Times New Roman" w:eastAsia="方正仿宋_GBK"/>
          <w:color w:val="000000"/>
          <w:sz w:val="32"/>
          <w:szCs w:val="32"/>
          <w:shd w:val="clear" w:color="auto" w:fill="FFFFFF"/>
        </w:rPr>
        <w:t>3</w:t>
      </w:r>
      <w:r>
        <w:rPr>
          <w:rFonts w:hint="default" w:ascii="Times New Roman" w:hAnsi="Times New Roman" w:eastAsia="方正仿宋_GBK"/>
          <w:color w:val="000000"/>
          <w:sz w:val="32"/>
          <w:szCs w:val="32"/>
          <w:shd w:val="clear" w:color="auto" w:fill="FFFFFF"/>
        </w:rPr>
        <w:t>年</w:t>
      </w:r>
      <w:r>
        <w:rPr>
          <w:rFonts w:ascii="Times New Roman" w:hAnsi="Times New Roman" w:eastAsia="方正仿宋_GBK"/>
          <w:color w:val="000000"/>
          <w:sz w:val="32"/>
          <w:szCs w:val="32"/>
          <w:shd w:val="clear" w:color="auto" w:fill="FFFFFF"/>
        </w:rPr>
        <w:t>度</w:t>
      </w:r>
      <w:r>
        <w:rPr>
          <w:rFonts w:hint="default" w:ascii="Times New Roman" w:hAnsi="Times New Roman" w:eastAsia="方正仿宋_GBK"/>
          <w:color w:val="000000"/>
          <w:sz w:val="32"/>
          <w:szCs w:val="32"/>
          <w:shd w:val="clear" w:color="auto" w:fill="FFFFFF"/>
        </w:rPr>
        <w:t>未发生公务车购置费，与上年决算数持平。</w:t>
      </w:r>
    </w:p>
    <w:p>
      <w:pPr>
        <w:pStyle w:val="15"/>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w:t>
      </w:r>
      <w:r>
        <w:rPr>
          <w:rFonts w:hint="eastAsia" w:ascii="方正仿宋_GBK" w:hAnsi="方正仿宋_GBK" w:eastAsia="方正仿宋_GBK" w:cs="方正仿宋_GBK"/>
          <w:sz w:val="32"/>
          <w:szCs w:val="32"/>
          <w:shd w:val="clear" w:color="auto" w:fill="FFFFFF"/>
          <w:lang w:eastAsia="zh-CN"/>
        </w:rPr>
        <w:t>用</w:t>
      </w:r>
      <w:bookmarkStart w:id="0" w:name="_GoBack"/>
      <w:bookmarkEnd w:id="0"/>
      <w:r>
        <w:rPr>
          <w:rFonts w:ascii="方正仿宋_GBK" w:hAnsi="方正仿宋_GBK" w:eastAsia="方正仿宋_GBK" w:cs="方正仿宋_GBK"/>
          <w:sz w:val="32"/>
          <w:szCs w:val="32"/>
          <w:shd w:val="clear" w:color="auto" w:fill="FFFFFF"/>
        </w:rPr>
        <w:t>车运行维护费</w:t>
      </w:r>
      <w:r>
        <w:rPr>
          <w:rFonts w:ascii="Times New Roman" w:hAnsi="Times New Roman" w:eastAsia="方正仿宋_GBK"/>
          <w:sz w:val="32"/>
          <w:szCs w:val="32"/>
        </w:rPr>
        <w:t>10.43</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color w:val="000000"/>
          <w:sz w:val="32"/>
          <w:szCs w:val="32"/>
          <w:shd w:val="clear" w:color="auto" w:fill="FFFFFF"/>
        </w:rPr>
        <w:t>县内因公出行、项目检查等工作所需车辆的燃料费、维修费、过桥过路费、保险费等。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费用支出较年初预算数增加</w:t>
      </w:r>
      <w:r>
        <w:rPr>
          <w:rFonts w:ascii="Times New Roman" w:hAnsi="Times New Roman" w:eastAsia="方正仿宋_GBK"/>
          <w:sz w:val="32"/>
          <w:szCs w:val="32"/>
          <w:shd w:val="clear" w:color="auto" w:fill="FFFFFF"/>
        </w:rPr>
        <w:t>2.43</w:t>
      </w:r>
      <w:r>
        <w:rPr>
          <w:rFonts w:ascii="方正仿宋_GBK" w:hAnsi="方正仿宋_GBK" w:eastAsia="方正仿宋_GBK" w:cs="方正仿宋_GBK"/>
          <w:sz w:val="32"/>
          <w:szCs w:val="32"/>
          <w:shd w:val="clear" w:color="auto" w:fill="FFFFFF"/>
        </w:rPr>
        <w:t>万元，增长</w:t>
      </w:r>
      <w:r>
        <w:rPr>
          <w:rFonts w:ascii="Times New Roman" w:hAnsi="Times New Roman" w:eastAsia="方正仿宋_GBK"/>
          <w:sz w:val="32"/>
          <w:szCs w:val="32"/>
          <w:shd w:val="clear" w:color="auto" w:fill="FFFFFF"/>
        </w:rPr>
        <w:t>30.38%</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olor w:val="000000"/>
          <w:sz w:val="32"/>
          <w:szCs w:val="32"/>
          <w:shd w:val="clear" w:color="auto" w:fill="FFFFFF"/>
        </w:rPr>
        <w:t>车辆老化严重，其修理费燃油费增加。</w:t>
      </w:r>
      <w:r>
        <w:rPr>
          <w:rFonts w:ascii="方正仿宋_GBK" w:hAnsi="方正仿宋_GBK" w:eastAsia="方正仿宋_GBK" w:cs="方正仿宋_GBK"/>
          <w:sz w:val="32"/>
          <w:szCs w:val="32"/>
          <w:shd w:val="clear" w:color="auto" w:fill="FFFFFF"/>
        </w:rPr>
        <w:t>较上年支出数减少</w:t>
      </w:r>
      <w:r>
        <w:rPr>
          <w:rFonts w:ascii="Times New Roman" w:hAnsi="Times New Roman" w:eastAsia="方正仿宋_GBK"/>
          <w:sz w:val="32"/>
          <w:szCs w:val="32"/>
          <w:shd w:val="clear" w:color="auto" w:fill="FFFFFF"/>
        </w:rPr>
        <w:t>0.06</w:t>
      </w:r>
      <w:r>
        <w:rPr>
          <w:rFonts w:ascii="方正仿宋_GBK" w:hAnsi="方正仿宋_GBK" w:eastAsia="方正仿宋_GBK" w:cs="方正仿宋_GBK"/>
          <w:sz w:val="32"/>
          <w:szCs w:val="32"/>
          <w:shd w:val="clear" w:color="auto" w:fill="FFFFFF"/>
        </w:rPr>
        <w:t>万元，下降</w:t>
      </w:r>
      <w:r>
        <w:rPr>
          <w:rFonts w:ascii="Times New Roman" w:hAnsi="Times New Roman" w:eastAsia="方正仿宋_GBK"/>
          <w:sz w:val="32"/>
          <w:szCs w:val="32"/>
          <w:shd w:val="clear" w:color="auto" w:fill="FFFFFF"/>
        </w:rPr>
        <w:t>0.57%</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olor w:val="000000"/>
          <w:sz w:val="32"/>
          <w:szCs w:val="32"/>
          <w:shd w:val="clear" w:color="auto" w:fill="FFFFFF"/>
        </w:rPr>
        <w:t>落实三公经费只减不增要求。</w:t>
      </w:r>
    </w:p>
    <w:p>
      <w:pPr>
        <w:pStyle w:val="15"/>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Times New Roman" w:hAnsi="Times New Roman" w:eastAsia="方正仿宋_GBK"/>
          <w:sz w:val="32"/>
          <w:szCs w:val="32"/>
        </w:rPr>
        <w:t>13.95</w:t>
      </w:r>
      <w:r>
        <w:rPr>
          <w:rFonts w:ascii="方正仿宋_GBK" w:hAnsi="方正仿宋_GBK" w:eastAsia="方正仿宋_GBK" w:cs="方正仿宋_GBK"/>
          <w:sz w:val="32"/>
          <w:szCs w:val="32"/>
          <w:shd w:val="clear" w:color="auto" w:fill="FFFFFF"/>
        </w:rPr>
        <w:t>万元，主要用于接待</w:t>
      </w:r>
      <w:r>
        <w:rPr>
          <w:rFonts w:ascii="Times New Roman" w:hAnsi="Times New Roman" w:eastAsia="方正仿宋_GBK"/>
          <w:color w:val="000000"/>
          <w:sz w:val="32"/>
          <w:szCs w:val="32"/>
          <w:shd w:val="clear" w:color="auto" w:fill="FFFFFF"/>
        </w:rPr>
        <w:t>招商引资工作、接受相关部门检查项目指导工作发生的接待支出。</w:t>
      </w:r>
      <w:r>
        <w:rPr>
          <w:rFonts w:ascii="方正仿宋_GBK" w:hAnsi="方正仿宋_GBK" w:eastAsia="方正仿宋_GBK" w:cs="方正仿宋_GBK"/>
          <w:sz w:val="32"/>
          <w:szCs w:val="32"/>
          <w:shd w:val="clear" w:color="auto" w:fill="FFFFFF"/>
        </w:rPr>
        <w:t>费用支出较年初预算数减少</w:t>
      </w:r>
      <w:r>
        <w:rPr>
          <w:rFonts w:ascii="Times New Roman" w:hAnsi="Times New Roman" w:eastAsia="方正仿宋_GBK"/>
          <w:sz w:val="32"/>
          <w:szCs w:val="32"/>
          <w:shd w:val="clear" w:color="auto" w:fill="FFFFFF"/>
        </w:rPr>
        <w:t>0.75</w:t>
      </w:r>
      <w:r>
        <w:rPr>
          <w:rFonts w:ascii="方正仿宋_GBK" w:hAnsi="方正仿宋_GBK" w:eastAsia="方正仿宋_GBK" w:cs="方正仿宋_GBK"/>
          <w:sz w:val="32"/>
          <w:szCs w:val="32"/>
          <w:shd w:val="clear" w:color="auto" w:fill="FFFFFF"/>
        </w:rPr>
        <w:t>万元，下降</w:t>
      </w:r>
      <w:r>
        <w:rPr>
          <w:rFonts w:ascii="Times New Roman" w:hAnsi="Times New Roman" w:eastAsia="方正仿宋_GBK"/>
          <w:sz w:val="32"/>
          <w:szCs w:val="32"/>
          <w:shd w:val="clear" w:color="auto" w:fill="FFFFFF"/>
        </w:rPr>
        <w:t>5.10%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olor w:val="000000"/>
          <w:sz w:val="32"/>
          <w:szCs w:val="32"/>
          <w:shd w:val="clear" w:color="auto" w:fill="FFFFFF"/>
        </w:rPr>
        <w:t>强化公务接待支出管理，严格遵守公务接待开支范围和开支标准，严格控制陪餐人数。</w:t>
      </w:r>
      <w:r>
        <w:rPr>
          <w:rFonts w:ascii="方正仿宋_GBK" w:hAnsi="方正仿宋_GBK" w:eastAsia="方正仿宋_GBK" w:cs="方正仿宋_GBK"/>
          <w:sz w:val="32"/>
          <w:szCs w:val="32"/>
          <w:shd w:val="clear" w:color="auto" w:fill="FFFFFF"/>
        </w:rPr>
        <w:t>较上年支出数减少</w:t>
      </w:r>
      <w:r>
        <w:rPr>
          <w:rFonts w:ascii="Times New Roman" w:hAnsi="Times New Roman" w:eastAsia="方正仿宋_GBK"/>
          <w:sz w:val="32"/>
          <w:szCs w:val="32"/>
          <w:shd w:val="clear" w:color="auto" w:fill="FFFFFF"/>
        </w:rPr>
        <w:t>0.03</w:t>
      </w:r>
      <w:r>
        <w:rPr>
          <w:rFonts w:ascii="方正仿宋_GBK" w:hAnsi="方正仿宋_GBK" w:eastAsia="方正仿宋_GBK" w:cs="方正仿宋_GBK"/>
          <w:sz w:val="32"/>
          <w:szCs w:val="32"/>
          <w:shd w:val="clear" w:color="auto" w:fill="FFFFFF"/>
        </w:rPr>
        <w:t>万元，下降</w:t>
      </w:r>
      <w:r>
        <w:rPr>
          <w:rFonts w:ascii="Times New Roman" w:hAnsi="Times New Roman" w:eastAsia="方正仿宋_GBK"/>
          <w:sz w:val="32"/>
          <w:szCs w:val="32"/>
          <w:shd w:val="clear" w:color="auto" w:fill="FFFFFF"/>
        </w:rPr>
        <w:t>0.21%</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olor w:val="000000"/>
          <w:sz w:val="32"/>
          <w:szCs w:val="32"/>
          <w:shd w:val="clear" w:color="auto" w:fill="FFFFFF"/>
        </w:rPr>
        <w:t>落实三公经费只减不增要求。</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7"/>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rPr>
        <w:t>3</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rPr>
        <w:t>246</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rPr>
        <w:t>1551</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rPr>
        <w:t>89.94</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rPr>
        <w:t>3.48</w:t>
      </w:r>
      <w:r>
        <w:rPr>
          <w:rFonts w:ascii="方正仿宋_GBK" w:hAnsi="方正仿宋_GBK" w:eastAsia="方正仿宋_GBK" w:cs="方正仿宋_GBK"/>
          <w:sz w:val="32"/>
          <w:szCs w:val="32"/>
          <w:shd w:val="clear" w:color="auto" w:fill="FFFFFF"/>
        </w:rPr>
        <w:t>万元。</w:t>
      </w:r>
    </w:p>
    <w:p>
      <w:pPr>
        <w:pStyle w:val="7"/>
        <w:shd w:val="clear" w:color="auto" w:fill="FFFFFF"/>
        <w:ind w:firstLine="642" w:firstLineChars="200"/>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四、其他需要说明的事项</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snapToGrid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rPr>
        <w:t>1.40</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sz w:val="32"/>
          <w:szCs w:val="32"/>
          <w:shd w:val="clear" w:color="auto" w:fill="FFFFFF"/>
        </w:rPr>
        <w:t>0.61</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30.35%</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olor w:val="000000"/>
          <w:sz w:val="32"/>
          <w:szCs w:val="32"/>
          <w:shd w:val="clear" w:color="auto" w:fill="FFFFFF"/>
        </w:rPr>
        <w:t>认真贯彻落实中央八项规定精神和厉行节约要求。</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rPr>
        <w:t>0.13</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sz w:val="32"/>
          <w:szCs w:val="32"/>
          <w:shd w:val="clear" w:color="auto" w:fill="FFFFFF"/>
        </w:rPr>
        <w:t>0.34</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72.34%</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olor w:val="000000"/>
          <w:sz w:val="32"/>
          <w:szCs w:val="32"/>
          <w:shd w:val="clear" w:color="auto" w:fill="FFFFFF"/>
        </w:rPr>
        <w:t>认真贯彻落实中央八项规定精神和厉行节约要求。</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rPr>
        <w:t>200.17</w:t>
      </w:r>
      <w:r>
        <w:rPr>
          <w:rFonts w:ascii="方正仿宋_GBK" w:hAnsi="方正仿宋_GBK" w:eastAsia="方正仿宋_GBK" w:cs="方正仿宋_GBK"/>
          <w:sz w:val="32"/>
          <w:szCs w:val="32"/>
          <w:shd w:val="clear" w:color="auto" w:fill="FFFFFF"/>
        </w:rPr>
        <w:t>万元，机关运行经费主要用于开支</w:t>
      </w:r>
      <w:r>
        <w:rPr>
          <w:rFonts w:ascii="Times New Roman" w:hAnsi="Times New Roman" w:eastAsia="方正仿宋_GBK"/>
          <w:color w:val="000000"/>
          <w:sz w:val="32"/>
          <w:szCs w:val="32"/>
          <w:shd w:val="clear" w:color="auto" w:fill="FFFFFF"/>
        </w:rPr>
        <w:t>办公费47.07万元、印刷费0.99万元、咨询费0.27万元、电费11.20万元、邮电费7.96万元、差旅费18.17万元、维修（护）费9.60万元、会培训费0.13万元、公务接待费13.95万元、专用材料费3.52万元、劳务费16.73万元、委托业务费10.38万元、工会经费25.15万元、公务用车运行维护费10.43万元、其他交通费用14.48万元、其他商品和服务支出39.88万元</w:t>
      </w:r>
      <w:r>
        <w:rPr>
          <w:rFonts w:hint="default" w:ascii="Times New Roman" w:hAnsi="Times New Roman" w:eastAsia="方正仿宋_GBK"/>
          <w:color w:val="000000"/>
          <w:sz w:val="32"/>
          <w:szCs w:val="32"/>
          <w:shd w:val="clear" w:color="auto" w:fill="FFFFFF"/>
        </w:rPr>
        <w:t>。</w:t>
      </w:r>
      <w:r>
        <w:rPr>
          <w:rFonts w:ascii="方正仿宋_GBK" w:hAnsi="方正仿宋_GBK" w:eastAsia="方正仿宋_GBK" w:cs="方正仿宋_GBK"/>
          <w:sz w:val="32"/>
          <w:szCs w:val="32"/>
          <w:shd w:val="clear" w:color="auto" w:fill="FFFFFF"/>
        </w:rPr>
        <w:t>机关运行经费较上年支出数减少</w:t>
      </w:r>
      <w:r>
        <w:rPr>
          <w:rFonts w:hint="default" w:ascii="Times New Roman" w:hAnsi="Times New Roman" w:eastAsia="方正仿宋_GBK"/>
          <w:sz w:val="32"/>
          <w:szCs w:val="32"/>
          <w:shd w:val="clear" w:color="auto" w:fill="FFFFFF"/>
        </w:rPr>
        <w:t>5.06</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2.47%</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olor w:val="000000"/>
          <w:sz w:val="32"/>
          <w:szCs w:val="32"/>
          <w:shd w:val="clear" w:color="auto" w:fill="FFFFFF"/>
        </w:rPr>
        <w:t>人员减少，运行经费减少。</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辆、</w:t>
      </w:r>
      <w:r>
        <w:rPr>
          <w:rFonts w:ascii="Times New Roman" w:hAnsi="Times New Roman" w:eastAsia="方正仿宋_GBK"/>
          <w:sz w:val="32"/>
          <w:szCs w:val="32"/>
        </w:rPr>
        <w:t>主要领导干部</w:t>
      </w:r>
      <w:r>
        <w:rPr>
          <w:rFonts w:ascii="方正仿宋_GBK" w:hAnsi="方正仿宋_GBK" w:eastAsia="方正仿宋_GBK" w:cs="方正仿宋_GBK"/>
          <w:sz w:val="32"/>
          <w:szCs w:val="32"/>
          <w:shd w:val="clear" w:color="auto" w:fill="FFFFFF"/>
        </w:rPr>
        <w:t>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rPr>
        <w:t>3</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辆。</w:t>
      </w:r>
      <w:r>
        <w:rPr>
          <w:rFonts w:ascii="Times New Roman" w:hAnsi="Times New Roman" w:eastAsia="方正仿宋_GBK"/>
          <w:sz w:val="32"/>
          <w:szCs w:val="32"/>
        </w:rPr>
        <w:t>单价100万元（含）以上设备（不含车辆）</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台（套）。</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年度我部门未发生政府采购事项，无相关经费支出。</w:t>
      </w:r>
    </w:p>
    <w:p>
      <w:pPr>
        <w:pStyle w:val="7"/>
        <w:numPr>
          <w:ilvl w:val="0"/>
          <w:numId w:val="1"/>
        </w:numPr>
        <w:shd w:val="clear" w:color="auto" w:fill="FFFFFF"/>
        <w:ind w:firstLine="642" w:firstLineChars="200"/>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预算绩效管理情况说明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5"/>
        <w:autoSpaceDE w:val="0"/>
        <w:spacing w:before="0" w:beforeAutospacing="0" w:line="560" w:lineRule="exact"/>
        <w:ind w:firstLine="640" w:firstLineChars="200"/>
        <w:jc w:val="both"/>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w:t>
      </w:r>
      <w:r>
        <w:rPr>
          <w:rFonts w:ascii="Times New Roman" w:hAnsi="Times New Roman" w:eastAsia="方正仿宋_GBK"/>
          <w:color w:val="333333"/>
          <w:sz w:val="32"/>
          <w:szCs w:val="32"/>
          <w:shd w:val="clear" w:color="auto" w:fill="FFFFFF"/>
        </w:rPr>
        <w:t>70</w:t>
      </w:r>
      <w:r>
        <w:rPr>
          <w:rFonts w:hint="eastAsia" w:ascii="方正仿宋_GBK" w:hAnsi="方正仿宋_GBK" w:eastAsia="方正仿宋_GBK" w:cs="方正仿宋_GBK"/>
          <w:sz w:val="32"/>
          <w:szCs w:val="32"/>
          <w:shd w:val="clear" w:color="auto" w:fill="FFFFFF"/>
        </w:rPr>
        <w:t>个项目开展了绩效自评，涉及财政拨款项目支出资金</w:t>
      </w:r>
      <w:r>
        <w:rPr>
          <w:rFonts w:ascii="Times New Roman" w:hAnsi="Times New Roman" w:eastAsia="方正仿宋_GBK"/>
          <w:color w:val="333333"/>
          <w:sz w:val="32"/>
          <w:szCs w:val="32"/>
          <w:shd w:val="clear" w:color="auto" w:fill="FFFFFF"/>
        </w:rPr>
        <w:t>1157.89</w:t>
      </w:r>
      <w:r>
        <w:rPr>
          <w:rFonts w:hint="eastAsia" w:ascii="方正仿宋_GBK" w:hAnsi="方正仿宋_GBK" w:eastAsia="方正仿宋_GBK" w:cs="方正仿宋_GBK"/>
          <w:color w:val="333333"/>
          <w:sz w:val="32"/>
          <w:szCs w:val="32"/>
          <w:shd w:val="clear" w:color="auto" w:fill="FFFFFF"/>
        </w:rPr>
        <w:t>万</w:t>
      </w:r>
      <w:r>
        <w:rPr>
          <w:rFonts w:hint="eastAsia" w:ascii="方正仿宋_GBK" w:hAnsi="方正仿宋_GBK" w:eastAsia="方正仿宋_GBK" w:cs="方正仿宋_GBK"/>
          <w:sz w:val="32"/>
          <w:szCs w:val="32"/>
          <w:shd w:val="clear" w:color="auto" w:fill="FFFFFF"/>
        </w:rPr>
        <w:t>元；从评价情况来看，项目立项较为规范，绩效目标明确，预算编制合理，管理科学规范，资金到位及时，总体完成情况较好，有力保障了项目的正常开展及机关事业单位正常运行，项目基本达到了预期绩效目标，评价等级均为中等及以上等级。</w:t>
      </w:r>
    </w:p>
    <w:p>
      <w:pPr>
        <w:pStyle w:val="15"/>
        <w:autoSpaceDE w:val="0"/>
        <w:spacing w:before="0" w:beforeAutospacing="0" w:line="560" w:lineRule="exact"/>
        <w:jc w:val="both"/>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丰都县太平坝乡人民政府</w:t>
      </w:r>
      <w:r>
        <w:rPr>
          <w:rFonts w:ascii="Times New Roman" w:hAnsi="Times New Roman" w:eastAsia="方正仿宋_GBK"/>
          <w:sz w:val="32"/>
          <w:szCs w:val="32"/>
          <w:shd w:val="clear" w:color="auto" w:fill="FFFFFF"/>
        </w:rPr>
        <w:t>2023</w:t>
      </w:r>
      <w:r>
        <w:rPr>
          <w:rFonts w:hint="eastAsia" w:ascii="方正仿宋_GBK" w:hAnsi="方正仿宋_GBK" w:eastAsia="方正仿宋_GBK" w:cs="方正仿宋_GBK"/>
          <w:sz w:val="32"/>
          <w:szCs w:val="32"/>
          <w:shd w:val="clear" w:color="auto" w:fill="FFFFFF"/>
        </w:rPr>
        <w:t>年度部门整体绩效自评表</w:t>
      </w:r>
    </w:p>
    <w:tbl>
      <w:tblPr>
        <w:tblStyle w:val="9"/>
        <w:tblW w:w="11019" w:type="dxa"/>
        <w:jc w:val="center"/>
        <w:tblLayout w:type="fixed"/>
        <w:tblCellMar>
          <w:top w:w="0" w:type="dxa"/>
          <w:left w:w="108" w:type="dxa"/>
          <w:bottom w:w="0" w:type="dxa"/>
          <w:right w:w="108" w:type="dxa"/>
        </w:tblCellMar>
      </w:tblPr>
      <w:tblGrid>
        <w:gridCol w:w="1277"/>
        <w:gridCol w:w="567"/>
        <w:gridCol w:w="850"/>
        <w:gridCol w:w="992"/>
        <w:gridCol w:w="1034"/>
        <w:gridCol w:w="862"/>
        <w:gridCol w:w="1043"/>
        <w:gridCol w:w="822"/>
        <w:gridCol w:w="686"/>
        <w:gridCol w:w="992"/>
        <w:gridCol w:w="902"/>
        <w:gridCol w:w="992"/>
      </w:tblGrid>
      <w:tr>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000000"/>
                <w:sz w:val="36"/>
                <w:szCs w:val="40"/>
              </w:rPr>
            </w:pPr>
            <w:r>
              <w:rPr>
                <w:rFonts w:ascii="微软雅黑" w:hAnsi="微软雅黑" w:eastAsia="微软雅黑" w:cs="宋体"/>
                <w:b/>
                <w:bCs/>
                <w:color w:val="000000"/>
                <w:sz w:val="32"/>
                <w:szCs w:val="40"/>
              </w:rPr>
              <w:t>2023年度部门整体绩效自评表</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项目名称：</w:t>
            </w:r>
          </w:p>
        </w:tc>
        <w:tc>
          <w:tcPr>
            <w:tcW w:w="1417" w:type="dxa"/>
            <w:gridSpan w:val="2"/>
            <w:tcBorders>
              <w:top w:val="nil"/>
              <w:left w:val="nil"/>
              <w:bottom w:val="single" w:color="auto" w:sz="4" w:space="0"/>
              <w:right w:val="single" w:color="auto" w:sz="4" w:space="0"/>
            </w:tcBorders>
            <w:noWrap/>
            <w:vAlign w:val="center"/>
          </w:tcPr>
          <w:p>
            <w:pPr>
              <w:spacing w:line="240" w:lineRule="atLeast"/>
              <w:rPr>
                <w:rFonts w:hint="default" w:cs="宋体"/>
                <w:color w:val="000000"/>
                <w:sz w:val="16"/>
                <w:szCs w:val="16"/>
              </w:rPr>
            </w:pPr>
            <w:r>
              <w:rPr>
                <w:rFonts w:cs="宋体"/>
                <w:color w:val="000000" w:themeColor="text1"/>
                <w:sz w:val="16"/>
                <w:szCs w:val="16"/>
                <w:lang w:bidi="ar"/>
              </w:rPr>
              <w:t>太平坝乡2023年整体绩效</w:t>
            </w:r>
          </w:p>
        </w:tc>
        <w:tc>
          <w:tcPr>
            <w:tcW w:w="992" w:type="dxa"/>
            <w:tcBorders>
              <w:top w:val="nil"/>
              <w:left w:val="nil"/>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项目编码：</w:t>
            </w:r>
          </w:p>
        </w:tc>
        <w:tc>
          <w:tcPr>
            <w:tcW w:w="1896" w:type="dxa"/>
            <w:gridSpan w:val="2"/>
            <w:tcBorders>
              <w:top w:val="nil"/>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50023000023P000080</w:t>
            </w:r>
          </w:p>
        </w:tc>
        <w:tc>
          <w:tcPr>
            <w:tcW w:w="1043" w:type="dxa"/>
            <w:tcBorders>
              <w:top w:val="nil"/>
              <w:left w:val="nil"/>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自评总分：</w:t>
            </w:r>
          </w:p>
        </w:tc>
        <w:tc>
          <w:tcPr>
            <w:tcW w:w="1508" w:type="dxa"/>
            <w:gridSpan w:val="2"/>
            <w:tcBorders>
              <w:top w:val="nil"/>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99.73</w:t>
            </w:r>
          </w:p>
        </w:tc>
        <w:tc>
          <w:tcPr>
            <w:tcW w:w="992" w:type="dxa"/>
            <w:tcBorders>
              <w:top w:val="nil"/>
              <w:left w:val="nil"/>
              <w:bottom w:val="single" w:color="auto" w:sz="4" w:space="0"/>
              <w:right w:val="single" w:color="auto" w:sz="4" w:space="0"/>
            </w:tcBorders>
            <w:noWrap/>
            <w:vAlign w:val="center"/>
          </w:tcPr>
          <w:p>
            <w:pP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pPr>
              <w:spacing w:line="240" w:lineRule="atLeast"/>
              <w:rPr>
                <w:rFonts w:hint="default" w:cs="宋体"/>
                <w:color w:val="000000"/>
                <w:sz w:val="16"/>
                <w:szCs w:val="16"/>
              </w:rPr>
            </w:pPr>
            <w:r>
              <w:rPr>
                <w:rFonts w:cs="宋体"/>
                <w:color w:val="000000"/>
                <w:sz w:val="16"/>
                <w:szCs w:val="16"/>
                <w:lang w:bidi="ar"/>
              </w:rPr>
              <w:t>923-丰都县太平坝乡人民政府</w:t>
            </w:r>
          </w:p>
        </w:tc>
        <w:tc>
          <w:tcPr>
            <w:tcW w:w="992" w:type="dxa"/>
            <w:tcBorders>
              <w:top w:val="nil"/>
              <w:left w:val="nil"/>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lang w:bidi="ar"/>
              </w:rPr>
              <w:t>007-基财科</w:t>
            </w:r>
            <w:r>
              <w:rPr>
                <w:rFonts w:cs="宋体"/>
                <w:color w:val="000000"/>
                <w:sz w:val="16"/>
                <w:szCs w:val="16"/>
              </w:rPr>
              <w:t>　</w:t>
            </w:r>
          </w:p>
        </w:tc>
        <w:tc>
          <w:tcPr>
            <w:tcW w:w="1043" w:type="dxa"/>
            <w:tcBorders>
              <w:top w:val="nil"/>
              <w:left w:val="nil"/>
              <w:bottom w:val="single" w:color="auto" w:sz="4" w:space="0"/>
              <w:right w:val="single" w:color="auto" w:sz="4" w:space="0"/>
            </w:tcBorders>
            <w:noWrap/>
            <w:vAlign w:val="center"/>
          </w:tcPr>
          <w:p>
            <w:pPr>
              <w:spacing w:line="240" w:lineRule="atLeast"/>
              <w:ind w:right="483"/>
              <w:jc w:val="center"/>
              <w:rPr>
                <w:rFonts w:hint="default" w:cs="宋体"/>
                <w:b/>
                <w:bCs/>
                <w:color w:val="000000"/>
                <w:sz w:val="16"/>
                <w:szCs w:val="16"/>
              </w:rPr>
            </w:pPr>
            <w:r>
              <w:rPr>
                <w:rFonts w:cs="宋体"/>
                <w:b/>
                <w:bCs/>
                <w:color w:val="000000"/>
                <w:sz w:val="16"/>
                <w:szCs w:val="16"/>
              </w:rPr>
              <w:t>部门</w:t>
            </w:r>
          </w:p>
          <w:p>
            <w:pPr>
              <w:spacing w:line="240" w:lineRule="atLeast"/>
              <w:ind w:right="161"/>
              <w:jc w:val="center"/>
              <w:rPr>
                <w:rFonts w:hint="default" w:cs="宋体"/>
                <w:b/>
                <w:bCs/>
                <w:color w:val="000000"/>
                <w:sz w:val="16"/>
                <w:szCs w:val="16"/>
              </w:rPr>
            </w:pPr>
            <w:r>
              <w:rPr>
                <w:rFonts w:cs="宋体"/>
                <w:b/>
                <w:bCs/>
                <w:color w:val="000000"/>
                <w:sz w:val="16"/>
                <w:szCs w:val="16"/>
              </w:rPr>
              <w:t>联系人：</w:t>
            </w:r>
          </w:p>
        </w:tc>
        <w:tc>
          <w:tcPr>
            <w:tcW w:w="1508" w:type="dxa"/>
            <w:gridSpan w:val="2"/>
            <w:tcBorders>
              <w:top w:val="single" w:color="auto" w:sz="4" w:space="0"/>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田地</w:t>
            </w:r>
          </w:p>
        </w:tc>
        <w:tc>
          <w:tcPr>
            <w:tcW w:w="992" w:type="dxa"/>
            <w:tcBorders>
              <w:top w:val="nil"/>
              <w:left w:val="nil"/>
              <w:bottom w:val="single" w:color="auto" w:sz="4" w:space="0"/>
              <w:right w:val="single" w:color="auto" w:sz="4" w:space="0"/>
            </w:tcBorders>
            <w:noWrap/>
            <w:vAlign w:val="center"/>
          </w:tcPr>
          <w:p>
            <w:pPr>
              <w:spacing w:line="240" w:lineRule="atLeast"/>
              <w:ind w:right="181"/>
              <w:jc w:val="center"/>
              <w:rPr>
                <w:rFonts w:hint="default" w:cs="宋体"/>
                <w:b/>
                <w:bCs/>
                <w:color w:val="000000"/>
                <w:sz w:val="16"/>
                <w:szCs w:val="16"/>
              </w:rPr>
            </w:pPr>
            <w:r>
              <w:rPr>
                <w:rFonts w:cs="宋体"/>
                <w:b/>
                <w:bCs/>
                <w:color w:val="000000"/>
                <w:sz w:val="16"/>
                <w:szCs w:val="16"/>
              </w:rPr>
              <w:t>联系</w:t>
            </w:r>
          </w:p>
          <w:p>
            <w:pPr>
              <w:spacing w:line="240" w:lineRule="atLeast"/>
              <w:ind w:right="181"/>
              <w:jc w:val="center"/>
              <w:rPr>
                <w:rFonts w:hint="default" w:cs="宋体"/>
                <w:b/>
                <w:bCs/>
                <w:color w:val="000000"/>
                <w:sz w:val="16"/>
                <w:szCs w:val="16"/>
              </w:rPr>
            </w:pPr>
            <w:r>
              <w:rPr>
                <w:rFonts w:cs="宋体"/>
                <w:b/>
                <w:bCs/>
                <w:color w:val="000000"/>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15703066995　</w:t>
            </w:r>
          </w:p>
        </w:tc>
      </w:tr>
      <w:tr>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18"/>
                <w:szCs w:val="28"/>
              </w:rPr>
              <w:t>资金情况</w:t>
            </w:r>
          </w:p>
        </w:tc>
      </w:tr>
      <w:tr>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pPr>
              <w:ind w:right="724"/>
              <w:jc w:val="center"/>
              <w:rPr>
                <w:rFonts w:hint="default" w:cs="宋体"/>
                <w:b/>
                <w:bCs/>
                <w:color w:val="000000"/>
                <w:sz w:val="16"/>
                <w:szCs w:val="16"/>
              </w:rPr>
            </w:pPr>
            <w:r>
              <w:rPr>
                <w:rFonts w:cs="宋体"/>
                <w:b/>
                <w:bCs/>
                <w:color w:val="00000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b/>
                <w:bCs/>
                <w:color w:val="000000"/>
                <w:sz w:val="16"/>
                <w:szCs w:val="16"/>
              </w:rPr>
            </w:pPr>
            <w:r>
              <w:rPr>
                <w:rFonts w:cs="宋体"/>
                <w:b/>
                <w:bCs/>
                <w:color w:val="000000"/>
                <w:sz w:val="16"/>
                <w:szCs w:val="16"/>
              </w:rPr>
              <w:t>全年（调整）</w:t>
            </w:r>
          </w:p>
          <w:p>
            <w:pPr>
              <w:jc w:val="center"/>
              <w:rPr>
                <w:rFonts w:hint="default" w:cs="宋体"/>
                <w:b/>
                <w:bCs/>
                <w:color w:val="000000"/>
                <w:sz w:val="16"/>
                <w:szCs w:val="16"/>
              </w:rPr>
            </w:pPr>
            <w:r>
              <w:rPr>
                <w:rFonts w:cs="宋体"/>
                <w:b/>
                <w:bCs/>
                <w:color w:val="000000"/>
                <w:sz w:val="16"/>
                <w:szCs w:val="16"/>
              </w:rPr>
              <w:t>预算数</w:t>
            </w:r>
          </w:p>
        </w:tc>
        <w:tc>
          <w:tcPr>
            <w:tcW w:w="1865" w:type="dxa"/>
            <w:gridSpan w:val="2"/>
            <w:tcBorders>
              <w:top w:val="single" w:color="auto" w:sz="4" w:space="0"/>
              <w:left w:val="nil"/>
              <w:bottom w:val="single" w:color="auto" w:sz="4" w:space="0"/>
              <w:right w:val="single" w:color="000000" w:sz="4" w:space="0"/>
            </w:tcBorders>
            <w:noWrap/>
            <w:vAlign w:val="center"/>
          </w:tcPr>
          <w:p>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执行率</w:t>
            </w:r>
          </w:p>
          <w:p>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执行率</w:t>
            </w:r>
          </w:p>
          <w:p>
            <w:pPr>
              <w:jc w:val="center"/>
              <w:rPr>
                <w:rFonts w:hint="default" w:cs="宋体"/>
                <w:b/>
                <w:bCs/>
                <w:color w:val="000000"/>
                <w:sz w:val="16"/>
                <w:szCs w:val="16"/>
              </w:rPr>
            </w:pPr>
            <w:r>
              <w:rPr>
                <w:rFonts w:cs="宋体"/>
                <w:b/>
                <w:bCs/>
                <w:color w:val="000000"/>
                <w:sz w:val="16"/>
                <w:szCs w:val="16"/>
              </w:rPr>
              <w:t>得分</w:t>
            </w:r>
          </w:p>
        </w:tc>
      </w:tr>
      <w:tr>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pPr>
              <w:jc w:val="center"/>
              <w:rPr>
                <w:rFonts w:hint="default" w:cs="宋体"/>
                <w:color w:val="000000"/>
                <w:sz w:val="16"/>
                <w:szCs w:val="16"/>
              </w:rPr>
            </w:pPr>
            <w:r>
              <w:rPr>
                <w:rFonts w:cs="宋体"/>
                <w:color w:val="000000"/>
                <w:sz w:val="16"/>
                <w:szCs w:val="16"/>
                <w:lang w:bidi="ar"/>
              </w:rPr>
              <w:t>10,959,670.16</w:t>
            </w:r>
          </w:p>
        </w:tc>
        <w:tc>
          <w:tcPr>
            <w:tcW w:w="1896"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19,836,834.58</w:t>
            </w:r>
          </w:p>
        </w:tc>
        <w:tc>
          <w:tcPr>
            <w:tcW w:w="1865"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19,302,326.23</w:t>
            </w:r>
          </w:p>
        </w:tc>
        <w:tc>
          <w:tcPr>
            <w:tcW w:w="1678" w:type="dxa"/>
            <w:gridSpan w:val="2"/>
            <w:tcBorders>
              <w:top w:val="single" w:color="auto" w:sz="4" w:space="0"/>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p>
        </w:tc>
        <w:tc>
          <w:tcPr>
            <w:tcW w:w="902" w:type="dxa"/>
            <w:tcBorders>
              <w:top w:val="nil"/>
              <w:left w:val="nil"/>
              <w:bottom w:val="single" w:color="auto" w:sz="4" w:space="0"/>
              <w:right w:val="single" w:color="auto" w:sz="4" w:space="0"/>
            </w:tcBorders>
            <w:noWrap/>
            <w:vAlign w:val="center"/>
          </w:tcPr>
          <w:p>
            <w:pPr>
              <w:ind w:firstLine="160" w:firstLineChars="100"/>
              <w:jc w:val="center"/>
              <w:rPr>
                <w:rFonts w:hint="default" w:cs="宋体"/>
                <w:sz w:val="16"/>
                <w:szCs w:val="16"/>
              </w:rPr>
            </w:pP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hint="default" w:cs="宋体"/>
                <w:sz w:val="16"/>
                <w:szCs w:val="16"/>
              </w:rPr>
            </w:pPr>
          </w:p>
        </w:tc>
      </w:tr>
      <w:tr>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其中：财政拨款</w:t>
            </w:r>
          </w:p>
        </w:tc>
        <w:tc>
          <w:tcPr>
            <w:tcW w:w="184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10,959,670.16</w:t>
            </w:r>
          </w:p>
        </w:tc>
        <w:tc>
          <w:tcPr>
            <w:tcW w:w="1896"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19,836,834.58</w:t>
            </w:r>
          </w:p>
        </w:tc>
        <w:tc>
          <w:tcPr>
            <w:tcW w:w="1865"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19,302,326.23</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97.3</w:t>
            </w:r>
          </w:p>
        </w:tc>
        <w:tc>
          <w:tcPr>
            <w:tcW w:w="902"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9.73</w:t>
            </w:r>
          </w:p>
        </w:tc>
      </w:tr>
      <w:tr>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一般公共预算</w:t>
            </w:r>
          </w:p>
        </w:tc>
        <w:tc>
          <w:tcPr>
            <w:tcW w:w="184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10,841,782.16</w:t>
            </w:r>
          </w:p>
        </w:tc>
        <w:tc>
          <w:tcPr>
            <w:tcW w:w="1896"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19,404,324.58</w:t>
            </w:r>
          </w:p>
        </w:tc>
        <w:tc>
          <w:tcPr>
            <w:tcW w:w="1865"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18,869,816.23</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97.24</w:t>
            </w:r>
          </w:p>
        </w:tc>
        <w:tc>
          <w:tcPr>
            <w:tcW w:w="902" w:type="dxa"/>
            <w:tcBorders>
              <w:top w:val="nil"/>
              <w:left w:val="nil"/>
              <w:bottom w:val="single" w:color="auto" w:sz="4" w:space="0"/>
              <w:right w:val="single" w:color="auto" w:sz="4" w:space="0"/>
            </w:tcBorders>
            <w:noWrap/>
            <w:vAlign w:val="center"/>
          </w:tcPr>
          <w:p>
            <w:pPr>
              <w:ind w:firstLine="160" w:firstLineChars="100"/>
              <w:jc w:val="center"/>
              <w:rPr>
                <w:rFonts w:hint="default" w:cs="宋体"/>
                <w:sz w:val="16"/>
                <w:szCs w:val="16"/>
              </w:rPr>
            </w:pP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hint="default" w:cs="宋体"/>
                <w:sz w:val="16"/>
                <w:szCs w:val="16"/>
              </w:rPr>
            </w:pPr>
          </w:p>
        </w:tc>
      </w:tr>
      <w:tr>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绩效目标</w:t>
            </w:r>
          </w:p>
        </w:tc>
      </w:tr>
      <w:tr>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年初绩效目标</w:t>
            </w:r>
          </w:p>
        </w:tc>
        <w:tc>
          <w:tcPr>
            <w:tcW w:w="3761" w:type="dxa"/>
            <w:gridSpan w:val="4"/>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全年目标实际完成情况</w:t>
            </w:r>
          </w:p>
        </w:tc>
      </w:tr>
      <w:tr>
        <w:tblPrEx>
          <w:tblCellMar>
            <w:top w:w="0" w:type="dxa"/>
            <w:left w:w="108" w:type="dxa"/>
            <w:bottom w:w="0" w:type="dxa"/>
            <w:right w:w="108" w:type="dxa"/>
          </w:tblCellMar>
        </w:tblPrEx>
        <w:trPr>
          <w:trHeight w:val="1602" w:hRule="atLeast"/>
          <w:jc w:val="center"/>
        </w:trPr>
        <w:tc>
          <w:tcPr>
            <w:tcW w:w="3686" w:type="dxa"/>
            <w:gridSpan w:val="4"/>
            <w:tcBorders>
              <w:top w:val="single" w:color="auto" w:sz="4" w:space="0"/>
              <w:left w:val="single" w:color="auto" w:sz="4" w:space="0"/>
              <w:bottom w:val="single" w:color="auto" w:sz="4" w:space="0"/>
              <w:right w:val="single" w:color="auto" w:sz="4" w:space="0"/>
            </w:tcBorders>
          </w:tcPr>
          <w:p>
            <w:pPr>
              <w:rPr>
                <w:rFonts w:hint="default" w:cs="宋体"/>
                <w:color w:val="000000"/>
                <w:sz w:val="16"/>
                <w:szCs w:val="16"/>
              </w:rPr>
            </w:pPr>
            <w:r>
              <w:rPr>
                <w:rFonts w:cs="宋体"/>
                <w:color w:val="000000"/>
                <w:sz w:val="16"/>
                <w:szCs w:val="16"/>
              </w:rPr>
              <w:t>　统筹负责信访、社会治安综合治理、防范和处理邪教、安全生产综合监管、应急管理、消防管理等职责。;宗旨：为退役军人服务。</w:t>
            </w:r>
          </w:p>
          <w:p>
            <w:pPr>
              <w:rPr>
                <w:rFonts w:hint="default" w:cs="宋体"/>
                <w:color w:val="000000"/>
                <w:sz w:val="16"/>
                <w:szCs w:val="16"/>
              </w:rPr>
            </w:pPr>
            <w:r>
              <w:rPr>
                <w:rFonts w:cs="宋体"/>
                <w:color w:val="000000"/>
                <w:sz w:val="16"/>
                <w:szCs w:val="16"/>
              </w:rPr>
              <w:t>主要职责任务：负责辖区内退役军人保障服务工作，做好关系转接、信息采集、情况反映、慰问帮扶等工作。</w:t>
            </w:r>
          </w:p>
          <w:p>
            <w:pPr>
              <w:rPr>
                <w:rFonts w:hint="default" w:cs="宋体"/>
                <w:color w:val="000000"/>
                <w:sz w:val="16"/>
                <w:szCs w:val="16"/>
              </w:rPr>
            </w:pPr>
            <w:r>
              <w:rPr>
                <w:rFonts w:cs="宋体"/>
                <w:color w:val="000000"/>
                <w:sz w:val="16"/>
                <w:szCs w:val="16"/>
              </w:rPr>
              <w:t>;扎实做好本单位纪检、宣传、统战、法制、武装、编制、人事、民宗侨台以及综合协调、文秘等职责，统筹负责基层党建、群团等工作。;宗旨：为劳动就业、社会保障等工作服务。</w:t>
            </w:r>
          </w:p>
          <w:p>
            <w:pPr>
              <w:rPr>
                <w:rFonts w:hint="default" w:cs="宋体"/>
                <w:color w:val="000000"/>
                <w:sz w:val="16"/>
                <w:szCs w:val="16"/>
              </w:rPr>
            </w:pPr>
            <w:r>
              <w:rPr>
                <w:rFonts w:cs="宋体"/>
                <w:color w:val="000000"/>
                <w:sz w:val="16"/>
                <w:szCs w:val="16"/>
              </w:rPr>
              <w:t>主要职责任务：主要承担失业人员就业培训、职业介绍、就业创业指导、就业再就业小额贷款推荐审核等管理服务工作；负责养老保险、失业保险、城乡居民医疗保险等社会保险管理服务工作；做好农村五保供养对象服务以及劳动就业和社会保障其他方面的服务工作。</w:t>
            </w:r>
          </w:p>
          <w:p>
            <w:pPr>
              <w:rPr>
                <w:rFonts w:hint="default" w:cs="宋体"/>
                <w:color w:val="000000"/>
                <w:sz w:val="16"/>
                <w:szCs w:val="16"/>
              </w:rPr>
            </w:pPr>
            <w:r>
              <w:rPr>
                <w:rFonts w:cs="宋体"/>
                <w:color w:val="000000"/>
                <w:sz w:val="16"/>
                <w:szCs w:val="16"/>
              </w:rPr>
              <w:t>;负责民政、教育、文化、体育、社会救助、残疾人事业、劳动就业、社会保障，统筹负责卫生、计生、老龄事业发展等职责。;负责经济发展规划、农村经营管理、经济社会统计、扶贫开发、乡村振兴等职责。;主要承担集中行使依法授权或委托的行政执法权。</w:t>
            </w:r>
          </w:p>
          <w:p>
            <w:pPr>
              <w:rPr>
                <w:rFonts w:hint="default" w:cs="宋体"/>
                <w:color w:val="000000"/>
                <w:sz w:val="16"/>
                <w:szCs w:val="16"/>
              </w:rPr>
            </w:pPr>
            <w:r>
              <w:rPr>
                <w:rFonts w:cs="宋体"/>
                <w:color w:val="000000"/>
                <w:sz w:val="16"/>
                <w:szCs w:val="16"/>
              </w:rPr>
              <w:t>不再保留食品药品监督管理办公室，其涉及市场监督管理职能职责划由所辖市场监督管理所承担。</w:t>
            </w:r>
          </w:p>
          <w:p>
            <w:pPr>
              <w:rPr>
                <w:rFonts w:hint="default" w:cs="宋体"/>
                <w:color w:val="000000"/>
                <w:sz w:val="16"/>
                <w:szCs w:val="16"/>
              </w:rPr>
            </w:pPr>
            <w:r>
              <w:rPr>
                <w:rFonts w:cs="宋体"/>
                <w:color w:val="000000"/>
                <w:sz w:val="16"/>
                <w:szCs w:val="16"/>
              </w:rPr>
              <w:t>;主要负责村镇规划、村镇建设、市政公用、市容环卫、环境保护、河长制等职责。;主要负责人大主席团日常工作。;宗旨：依法执法，确保执法公平、公正。</w:t>
            </w:r>
          </w:p>
          <w:p>
            <w:pPr>
              <w:rPr>
                <w:rFonts w:hint="default" w:cs="宋体"/>
                <w:color w:val="000000"/>
                <w:sz w:val="16"/>
                <w:szCs w:val="16"/>
              </w:rPr>
            </w:pPr>
            <w:r>
              <w:rPr>
                <w:rFonts w:cs="宋体"/>
                <w:color w:val="000000"/>
                <w:sz w:val="16"/>
                <w:szCs w:val="16"/>
              </w:rPr>
              <w:t>主要职责任务：根据授权或委托，承担辖区范围内集中行使农林水利、规划建设、市政管理、环境保护、卫生计生、文化旅游、民政管理等领域的行政处罚权。</w:t>
            </w:r>
          </w:p>
          <w:p>
            <w:pPr>
              <w:rPr>
                <w:rFonts w:hint="default" w:cs="宋体"/>
                <w:color w:val="000000"/>
                <w:sz w:val="16"/>
                <w:szCs w:val="16"/>
              </w:rPr>
            </w:pPr>
            <w:r>
              <w:rPr>
                <w:rFonts w:cs="宋体"/>
                <w:color w:val="000000"/>
                <w:sz w:val="16"/>
                <w:szCs w:val="16"/>
              </w:rPr>
              <w:t>;宗旨：为农技、农机、林业、水利、畜牧等工作服务。</w:t>
            </w:r>
          </w:p>
          <w:p>
            <w:pPr>
              <w:rPr>
                <w:rFonts w:hint="default" w:cs="宋体"/>
                <w:color w:val="000000"/>
                <w:sz w:val="16"/>
                <w:szCs w:val="16"/>
              </w:rPr>
            </w:pPr>
            <w:r>
              <w:rPr>
                <w:rFonts w:cs="宋体"/>
                <w:color w:val="000000"/>
                <w:sz w:val="16"/>
                <w:szCs w:val="16"/>
              </w:rPr>
              <w:t>主要职责任务：主要承担农技、农机、林业、水利水保、水产、畜牧兽医等方面的技术推广、信息、资源环境保护、灾害防治、水利工程等服务工作。</w:t>
            </w:r>
          </w:p>
          <w:p>
            <w:pPr>
              <w:rPr>
                <w:rFonts w:hint="default" w:cs="宋体"/>
                <w:color w:val="000000"/>
                <w:sz w:val="16"/>
                <w:szCs w:val="16"/>
              </w:rPr>
            </w:pPr>
            <w:r>
              <w:rPr>
                <w:rFonts w:cs="宋体"/>
                <w:color w:val="000000"/>
                <w:sz w:val="16"/>
                <w:szCs w:val="16"/>
              </w:rPr>
              <w:t>;主要负责财政收支、预决算、总会计、惠农资金兑付、财政资金监督检查、绩效评价、村级财务管理等职责。;宗旨：为文化、宣传、体育等工作服务。</w:t>
            </w:r>
          </w:p>
          <w:p>
            <w:pPr>
              <w:rPr>
                <w:rFonts w:hint="default" w:cs="宋体"/>
                <w:color w:val="000000"/>
                <w:sz w:val="16"/>
                <w:szCs w:val="16"/>
              </w:rPr>
            </w:pPr>
            <w:r>
              <w:rPr>
                <w:rFonts w:cs="宋体"/>
                <w:color w:val="000000"/>
                <w:sz w:val="16"/>
                <w:szCs w:val="16"/>
              </w:rPr>
              <w:t>主要职责任务：主要承担文化、宣传、广播电视、体育、乡村旅游、科技培训等方面服务工作。</w:t>
            </w:r>
          </w:p>
        </w:tc>
        <w:tc>
          <w:tcPr>
            <w:tcW w:w="3761" w:type="dxa"/>
            <w:gridSpan w:val="4"/>
            <w:tcBorders>
              <w:top w:val="single" w:color="auto" w:sz="4" w:space="0"/>
              <w:left w:val="nil"/>
              <w:bottom w:val="single" w:color="auto" w:sz="4" w:space="0"/>
              <w:right w:val="single" w:color="auto" w:sz="4" w:space="0"/>
            </w:tcBorders>
          </w:tcPr>
          <w:p>
            <w:pPr>
              <w:rPr>
                <w:rFonts w:hint="default" w:cs="宋体"/>
                <w:color w:val="000000"/>
                <w:sz w:val="16"/>
                <w:szCs w:val="16"/>
              </w:rPr>
            </w:pPr>
            <w:r>
              <w:rPr>
                <w:rFonts w:cs="宋体"/>
                <w:color w:val="000000"/>
                <w:sz w:val="16"/>
                <w:szCs w:val="16"/>
              </w:rPr>
              <w:t>　统筹负责信访、社会治安综合治理、防范和处理邪教、安全生产综合监管、应急管理、消防管理等职责。;宗旨：为退役军人服务。</w:t>
            </w:r>
          </w:p>
          <w:p>
            <w:pPr>
              <w:rPr>
                <w:rFonts w:hint="default" w:cs="宋体"/>
                <w:color w:val="000000"/>
                <w:sz w:val="16"/>
                <w:szCs w:val="16"/>
              </w:rPr>
            </w:pPr>
            <w:r>
              <w:rPr>
                <w:rFonts w:cs="宋体"/>
                <w:color w:val="000000"/>
                <w:sz w:val="16"/>
                <w:szCs w:val="16"/>
              </w:rPr>
              <w:t>主要职责任务：负责辖区内退役军人保障服务工作，做好关系转接、信息采集、情况反映、慰问帮扶等工作。</w:t>
            </w:r>
          </w:p>
          <w:p>
            <w:pPr>
              <w:rPr>
                <w:rFonts w:hint="default" w:cs="宋体"/>
                <w:color w:val="000000"/>
                <w:sz w:val="16"/>
                <w:szCs w:val="16"/>
              </w:rPr>
            </w:pPr>
            <w:r>
              <w:rPr>
                <w:rFonts w:cs="宋体"/>
                <w:color w:val="000000"/>
                <w:sz w:val="16"/>
                <w:szCs w:val="16"/>
              </w:rPr>
              <w:t>;扎实做好本单位纪检、宣传、统战、法制、武装、编制、人事、民宗侨台以及综合协调、文秘等职责，统筹负责基层党建、群团等工作。;宗旨：为劳动就业、社会保障等工作服务。</w:t>
            </w:r>
          </w:p>
          <w:p>
            <w:pPr>
              <w:rPr>
                <w:rFonts w:hint="default" w:cs="宋体"/>
                <w:color w:val="000000"/>
                <w:sz w:val="16"/>
                <w:szCs w:val="16"/>
              </w:rPr>
            </w:pPr>
            <w:r>
              <w:rPr>
                <w:rFonts w:cs="宋体"/>
                <w:color w:val="000000"/>
                <w:sz w:val="16"/>
                <w:szCs w:val="16"/>
              </w:rPr>
              <w:t>主要职责任务：主要承担失业人员就业培训、职业介绍、就业创业指导、就业再就业小额贷款推荐审核等管理服务工作；负责养老保险、失业保险、城乡居民医疗保险等社会保险管理服务工作；做好农村五保供养对象服务以及劳动就业和社会保障其他方面的服务工作。</w:t>
            </w:r>
          </w:p>
          <w:p>
            <w:pPr>
              <w:rPr>
                <w:rFonts w:hint="default" w:cs="宋体"/>
                <w:color w:val="000000"/>
                <w:sz w:val="16"/>
                <w:szCs w:val="16"/>
              </w:rPr>
            </w:pPr>
            <w:r>
              <w:rPr>
                <w:rFonts w:cs="宋体"/>
                <w:color w:val="000000"/>
                <w:sz w:val="16"/>
                <w:szCs w:val="16"/>
              </w:rPr>
              <w:t>;负责民政、教育、文化、体育、社会救助、残疾人事业、劳动就业、社会保障，统筹负责卫生、计生、老龄事业发展等职责。;负责经济发展规划、农村经营管理、经济社会统计、扶贫开发、乡村振兴等职责。;主要承担集中行使依法授权或委托的行政执法权。</w:t>
            </w:r>
          </w:p>
          <w:p>
            <w:pPr>
              <w:rPr>
                <w:rFonts w:hint="default" w:cs="宋体"/>
                <w:color w:val="000000"/>
                <w:sz w:val="16"/>
                <w:szCs w:val="16"/>
              </w:rPr>
            </w:pPr>
            <w:r>
              <w:rPr>
                <w:rFonts w:cs="宋体"/>
                <w:color w:val="000000"/>
                <w:sz w:val="16"/>
                <w:szCs w:val="16"/>
              </w:rPr>
              <w:t>不再保留食品药品监督管理办公室，其涉及市场监督管理职能职责划由所辖市场监督管理所承担。</w:t>
            </w:r>
          </w:p>
          <w:p>
            <w:pPr>
              <w:rPr>
                <w:rFonts w:hint="default" w:cs="宋体"/>
                <w:color w:val="000000"/>
                <w:sz w:val="16"/>
                <w:szCs w:val="16"/>
              </w:rPr>
            </w:pPr>
            <w:r>
              <w:rPr>
                <w:rFonts w:cs="宋体"/>
                <w:color w:val="000000"/>
                <w:sz w:val="16"/>
                <w:szCs w:val="16"/>
              </w:rPr>
              <w:t>;主要负责村镇规划、村镇建设、市政公用、市容环卫、环境保护、河长制等职责。;主要负责人大主席团日常工作。;宗旨：依法执法，确保执法公平、公正。</w:t>
            </w:r>
          </w:p>
          <w:p>
            <w:pPr>
              <w:rPr>
                <w:rFonts w:hint="default" w:cs="宋体"/>
                <w:color w:val="000000"/>
                <w:sz w:val="16"/>
                <w:szCs w:val="16"/>
              </w:rPr>
            </w:pPr>
            <w:r>
              <w:rPr>
                <w:rFonts w:cs="宋体"/>
                <w:color w:val="000000"/>
                <w:sz w:val="16"/>
                <w:szCs w:val="16"/>
              </w:rPr>
              <w:t>主要职责任务：根据授权或委托，承担辖区范围内集中行使农林水利、规划建设、市政管理、环境保护、卫生计生、文化旅游、民政管理等领域的行政处罚权。</w:t>
            </w:r>
          </w:p>
          <w:p>
            <w:pPr>
              <w:rPr>
                <w:rFonts w:hint="default" w:cs="宋体"/>
                <w:color w:val="000000"/>
                <w:sz w:val="16"/>
                <w:szCs w:val="16"/>
              </w:rPr>
            </w:pPr>
            <w:r>
              <w:rPr>
                <w:rFonts w:cs="宋体"/>
                <w:color w:val="000000"/>
                <w:sz w:val="16"/>
                <w:szCs w:val="16"/>
              </w:rPr>
              <w:t>;宗旨：为农技、农机、林业、水利、畜牧等工作服务。</w:t>
            </w:r>
          </w:p>
          <w:p>
            <w:pPr>
              <w:rPr>
                <w:rFonts w:hint="default" w:cs="宋体"/>
                <w:color w:val="000000"/>
                <w:sz w:val="16"/>
                <w:szCs w:val="16"/>
              </w:rPr>
            </w:pPr>
            <w:r>
              <w:rPr>
                <w:rFonts w:cs="宋体"/>
                <w:color w:val="000000"/>
                <w:sz w:val="16"/>
                <w:szCs w:val="16"/>
              </w:rPr>
              <w:t>主要职责任务：主要承担农技、农机、林业、水利水保、水产、畜牧兽医等方面的技术推广、信息、资源环境保护、灾害防治、水利工程等服务工作。</w:t>
            </w:r>
          </w:p>
          <w:p>
            <w:pPr>
              <w:rPr>
                <w:rFonts w:hint="default" w:cs="宋体"/>
                <w:color w:val="000000"/>
                <w:sz w:val="16"/>
                <w:szCs w:val="16"/>
              </w:rPr>
            </w:pPr>
            <w:r>
              <w:rPr>
                <w:rFonts w:cs="宋体"/>
                <w:color w:val="000000"/>
                <w:sz w:val="16"/>
                <w:szCs w:val="16"/>
              </w:rPr>
              <w:t>;主要负责财政收支、预决算、总会计、惠农资金兑付、财政资金监督检查、绩效评价、村级财务管理等职责。;宗旨：为文化、宣传、体育等工作服务。</w:t>
            </w:r>
          </w:p>
          <w:p>
            <w:pPr>
              <w:rPr>
                <w:rFonts w:hint="default" w:cs="宋体"/>
                <w:color w:val="000000"/>
                <w:sz w:val="16"/>
                <w:szCs w:val="16"/>
              </w:rPr>
            </w:pPr>
            <w:r>
              <w:rPr>
                <w:rFonts w:cs="宋体"/>
                <w:color w:val="000000"/>
                <w:sz w:val="16"/>
                <w:szCs w:val="16"/>
              </w:rPr>
              <w:t>主要职责任务：主要承担文化、宣传、广播电视、体育、乡村旅游、科技培训等方面服务工作。</w:t>
            </w:r>
          </w:p>
        </w:tc>
        <w:tc>
          <w:tcPr>
            <w:tcW w:w="3572" w:type="dxa"/>
            <w:gridSpan w:val="4"/>
            <w:tcBorders>
              <w:top w:val="single" w:color="auto" w:sz="4" w:space="0"/>
              <w:left w:val="nil"/>
              <w:bottom w:val="single" w:color="auto" w:sz="4" w:space="0"/>
              <w:right w:val="single" w:color="auto" w:sz="4" w:space="0"/>
            </w:tcBorders>
          </w:tcPr>
          <w:p>
            <w:pPr>
              <w:rPr>
                <w:rFonts w:hint="default" w:cs="宋体"/>
                <w:color w:val="000000"/>
                <w:sz w:val="16"/>
                <w:szCs w:val="16"/>
              </w:rPr>
            </w:pPr>
            <w:r>
              <w:rPr>
                <w:rFonts w:cs="宋体"/>
                <w:color w:val="000000"/>
                <w:sz w:val="16"/>
                <w:szCs w:val="16"/>
              </w:rPr>
              <w:t>　圆满完成全年乡人代会及其他工作会议的筹备、资料整理。圆满完成政务服务、政务值班、日常事务性工作等。圆满完成县人大代表开展调研活动。发放遗属生活困难补助1人。圆满完成党建统领基层治理工作。</w:t>
            </w:r>
          </w:p>
        </w:tc>
      </w:tr>
      <w:tr>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绩效指标</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名称</w:t>
            </w:r>
          </w:p>
        </w:tc>
        <w:tc>
          <w:tcPr>
            <w:tcW w:w="567"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计量单位</w:t>
            </w:r>
          </w:p>
        </w:tc>
        <w:tc>
          <w:tcPr>
            <w:tcW w:w="850"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性质</w:t>
            </w:r>
          </w:p>
        </w:tc>
        <w:tc>
          <w:tcPr>
            <w:tcW w:w="992"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指标值</w:t>
            </w:r>
          </w:p>
        </w:tc>
        <w:tc>
          <w:tcPr>
            <w:tcW w:w="1034"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全年完成值</w:t>
            </w:r>
          </w:p>
        </w:tc>
        <w:tc>
          <w:tcPr>
            <w:tcW w:w="862"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偏离度（%）</w:t>
            </w:r>
          </w:p>
        </w:tc>
        <w:tc>
          <w:tcPr>
            <w:tcW w:w="1043"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得分系数（%）</w:t>
            </w:r>
          </w:p>
        </w:tc>
        <w:tc>
          <w:tcPr>
            <w:tcW w:w="822"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权重</w:t>
            </w:r>
          </w:p>
        </w:tc>
        <w:tc>
          <w:tcPr>
            <w:tcW w:w="686"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得分</w:t>
            </w:r>
          </w:p>
        </w:tc>
        <w:tc>
          <w:tcPr>
            <w:tcW w:w="992"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b/>
                <w:bCs/>
                <w:color w:val="000000"/>
                <w:sz w:val="16"/>
              </w:rPr>
            </w:pPr>
            <w:r>
              <w:rPr>
                <w:rFonts w:cs="宋体"/>
                <w:b/>
                <w:bCs/>
                <w:color w:val="000000"/>
                <w:sz w:val="16"/>
              </w:rPr>
              <w:t>说明</w:t>
            </w:r>
          </w:p>
        </w:tc>
      </w:tr>
      <w:tr>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日均访问量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人/次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1043"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hint="default" w:cs="宋体"/>
                <w:color w:val="000000"/>
                <w:sz w:val="16"/>
                <w:szCs w:val="16"/>
                <w:lang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hint="default" w:cs="宋体"/>
                <w:color w:val="000000"/>
                <w:sz w:val="16"/>
                <w:szCs w:val="16"/>
                <w:lang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color w:val="000000"/>
                <w:sz w:val="16"/>
                <w:szCs w:val="16"/>
              </w:rPr>
            </w:pPr>
            <w:r>
              <w:rPr>
                <w:rFonts w:cs="宋体"/>
                <w:color w:val="000000"/>
                <w:sz w:val="16"/>
                <w:szCs w:val="16"/>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default" w:cs="宋体"/>
                <w:color w:val="000000"/>
                <w:sz w:val="16"/>
                <w:szCs w:val="16"/>
              </w:rPr>
            </w:pPr>
            <w:r>
              <w:rPr>
                <w:rFonts w:cs="宋体"/>
                <w:color w:val="000000"/>
                <w:sz w:val="16"/>
                <w:szCs w:val="16"/>
                <w:lang w:bidi="ar"/>
              </w:rPr>
              <w:t>公文交换准确率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99</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99</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1043"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color w:val="000000"/>
                <w:sz w:val="16"/>
                <w:szCs w:val="16"/>
              </w:rPr>
            </w:pPr>
            <w:r>
              <w:rPr>
                <w:rFonts w:cs="宋体"/>
                <w:color w:val="000000"/>
                <w:sz w:val="16"/>
                <w:szCs w:val="16"/>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color w:val="000000"/>
                <w:sz w:val="16"/>
                <w:szCs w:val="16"/>
              </w:rPr>
            </w:pPr>
            <w:r>
              <w:rPr>
                <w:rFonts w:cs="宋体"/>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default" w:cs="宋体"/>
                <w:color w:val="000000"/>
                <w:sz w:val="16"/>
                <w:szCs w:val="16"/>
              </w:rPr>
            </w:pPr>
            <w:r>
              <w:rPr>
                <w:rFonts w:cs="宋体"/>
                <w:color w:val="000000"/>
                <w:sz w:val="16"/>
                <w:szCs w:val="16"/>
                <w:lang w:bidi="ar"/>
              </w:rPr>
              <w:t>事件按时交办率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99</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99</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1043"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color w:val="000000"/>
                <w:sz w:val="16"/>
                <w:szCs w:val="16"/>
              </w:rPr>
            </w:pPr>
            <w:r>
              <w:rPr>
                <w:rFonts w:cs="宋体"/>
                <w:color w:val="000000"/>
                <w:sz w:val="16"/>
                <w:szCs w:val="16"/>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color w:val="000000"/>
                <w:sz w:val="16"/>
                <w:szCs w:val="16"/>
              </w:rPr>
            </w:pPr>
            <w:r>
              <w:rPr>
                <w:rFonts w:cs="宋体"/>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default" w:cs="宋体"/>
                <w:color w:val="000000"/>
                <w:sz w:val="16"/>
                <w:szCs w:val="16"/>
              </w:rPr>
            </w:pPr>
            <w:r>
              <w:rPr>
                <w:rFonts w:cs="宋体"/>
                <w:color w:val="000000"/>
                <w:sz w:val="16"/>
                <w:szCs w:val="16"/>
                <w:lang w:bidi="ar"/>
              </w:rPr>
              <w:t>部门经费</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20</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20</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1043"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color w:val="000000"/>
                <w:sz w:val="16"/>
                <w:szCs w:val="16"/>
              </w:rPr>
            </w:pPr>
            <w:r>
              <w:rPr>
                <w:rFonts w:cs="宋体"/>
                <w:color w:val="000000"/>
                <w:sz w:val="16"/>
                <w:szCs w:val="16"/>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color w:val="000000"/>
                <w:sz w:val="16"/>
                <w:szCs w:val="16"/>
              </w:rPr>
            </w:pPr>
            <w:r>
              <w:rPr>
                <w:rFonts w:cs="宋体"/>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default" w:cs="宋体"/>
                <w:color w:val="000000"/>
                <w:sz w:val="16"/>
                <w:szCs w:val="16"/>
              </w:rPr>
            </w:pPr>
            <w:r>
              <w:rPr>
                <w:rFonts w:cs="宋体"/>
                <w:color w:val="000000"/>
                <w:sz w:val="16"/>
                <w:szCs w:val="16"/>
                <w:lang w:bidi="ar"/>
              </w:rPr>
              <w:t>按预算支出</w:t>
            </w:r>
          </w:p>
        </w:tc>
        <w:tc>
          <w:tcPr>
            <w:tcW w:w="567" w:type="dxa"/>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定性</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严格执行</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优</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1043"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color w:val="000000"/>
                <w:sz w:val="16"/>
                <w:szCs w:val="16"/>
              </w:rPr>
            </w:pPr>
            <w:r>
              <w:rPr>
                <w:rFonts w:cs="宋体"/>
                <w:color w:val="000000"/>
                <w:sz w:val="16"/>
                <w:szCs w:val="16"/>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color w:val="000000"/>
                <w:sz w:val="16"/>
                <w:szCs w:val="16"/>
              </w:rPr>
            </w:pPr>
            <w:r>
              <w:rPr>
                <w:rFonts w:cs="宋体"/>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default" w:cs="宋体"/>
                <w:color w:val="000000"/>
                <w:sz w:val="16"/>
                <w:szCs w:val="16"/>
              </w:rPr>
            </w:pPr>
            <w:r>
              <w:rPr>
                <w:rFonts w:cs="宋体"/>
                <w:color w:val="000000"/>
                <w:sz w:val="16"/>
                <w:szCs w:val="16"/>
                <w:lang w:bidi="ar"/>
              </w:rPr>
              <w:t>保障辖区治安、公共安全、正常运转</w:t>
            </w:r>
          </w:p>
        </w:tc>
        <w:tc>
          <w:tcPr>
            <w:tcW w:w="567" w:type="dxa"/>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定性</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有效保障</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优</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1043"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color w:val="000000"/>
                <w:sz w:val="16"/>
                <w:szCs w:val="16"/>
              </w:rPr>
            </w:pPr>
            <w:r>
              <w:rPr>
                <w:rFonts w:cs="宋体"/>
                <w:color w:val="000000"/>
                <w:sz w:val="16"/>
                <w:szCs w:val="16"/>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color w:val="000000"/>
                <w:sz w:val="16"/>
                <w:szCs w:val="16"/>
              </w:rPr>
            </w:pPr>
            <w:r>
              <w:rPr>
                <w:rFonts w:cs="宋体"/>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保障职工正常办公</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30</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30</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1043"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hint="default" w:cs="宋体"/>
                <w:color w:val="000000"/>
                <w:sz w:val="16"/>
                <w:szCs w:val="16"/>
                <w:lang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hint="default" w:cs="宋体"/>
                <w:color w:val="000000"/>
                <w:sz w:val="16"/>
                <w:szCs w:val="16"/>
                <w:lang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color w:val="000000"/>
                <w:sz w:val="16"/>
                <w:szCs w:val="16"/>
              </w:rPr>
            </w:pPr>
            <w:r>
              <w:rPr>
                <w:rFonts w:cs="宋体"/>
                <w:color w:val="000000"/>
                <w:sz w:val="16"/>
                <w:szCs w:val="16"/>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辖区内群众满意度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90</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90</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1043"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color w:val="000000"/>
                <w:sz w:val="16"/>
                <w:szCs w:val="16"/>
              </w:rPr>
            </w:pPr>
            <w:r>
              <w:rPr>
                <w:rFonts w:cs="宋体"/>
                <w:color w:val="000000"/>
                <w:sz w:val="16"/>
                <w:szCs w:val="16"/>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严格按照资金审批流程拨付</w:t>
            </w:r>
          </w:p>
        </w:tc>
        <w:tc>
          <w:tcPr>
            <w:tcW w:w="567" w:type="dxa"/>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定性</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优</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优</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1043"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color w:val="000000"/>
                <w:sz w:val="16"/>
                <w:szCs w:val="16"/>
              </w:rPr>
            </w:pPr>
            <w:r>
              <w:rPr>
                <w:rFonts w:cs="宋体"/>
                <w:color w:val="000000"/>
                <w:sz w:val="16"/>
                <w:szCs w:val="16"/>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color w:val="000000"/>
                <w:sz w:val="16"/>
                <w:szCs w:val="16"/>
              </w:rPr>
            </w:pPr>
          </w:p>
        </w:tc>
      </w:tr>
    </w:tbl>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4"/>
        <w:autoSpaceDE w:val="0"/>
        <w:spacing w:line="580" w:lineRule="exact"/>
        <w:ind w:firstLine="64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我部门未组织开展绩效评价。</w:t>
      </w:r>
    </w:p>
    <w:p>
      <w:pPr>
        <w:pStyle w:val="14"/>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4"/>
        <w:autoSpaceDE w:val="0"/>
        <w:spacing w:line="580" w:lineRule="exact"/>
        <w:ind w:firstLine="64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县财政局未</w:t>
      </w:r>
      <w:r>
        <w:rPr>
          <w:rFonts w:hint="eastAsia" w:ascii="方正仿宋_GBK" w:hAnsi="方正仿宋_GBK" w:eastAsia="方正仿宋_GBK" w:cs="方正仿宋_GBK"/>
          <w:sz w:val="32"/>
          <w:szCs w:val="32"/>
          <w:shd w:val="clear" w:color="auto" w:fill="FFFFFF"/>
        </w:rPr>
        <w:t>委托第三方对我部门开展绩效评价。</w:t>
      </w:r>
    </w:p>
    <w:p>
      <w:pPr>
        <w:pStyle w:val="7"/>
        <w:shd w:val="clear" w:color="auto" w:fill="FFFFFF"/>
        <w:ind w:firstLine="642" w:firstLineChars="200"/>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六、专业名词解释</w:t>
      </w:r>
    </w:p>
    <w:p>
      <w:pPr>
        <w:pStyle w:val="7"/>
        <w:snapToGrid w:val="0"/>
        <w:spacing w:before="0" w:beforeAutospacing="0" w:after="0" w:afterAutospacing="0" w:line="580" w:lineRule="exact"/>
        <w:ind w:firstLine="642"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58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58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58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58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58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58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58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58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58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58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58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58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58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58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58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58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ind w:firstLine="642" w:firstLineChars="200"/>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七、决算公开联系方式及信息反馈渠道</w:t>
      </w:r>
    </w:p>
    <w:p>
      <w:pPr>
        <w:pStyle w:val="7"/>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本部门决算公开信息反馈和联系方式：</w:t>
      </w:r>
    </w:p>
    <w:p>
      <w:pPr>
        <w:spacing w:line="58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高正伟      023-70666001</w:t>
      </w:r>
    </w:p>
    <w:p>
      <w:pPr>
        <w:pStyle w:val="14"/>
        <w:autoSpaceDE w:val="0"/>
        <w:ind w:firstLine="0" w:firstLineChars="0"/>
        <w:rPr>
          <w:rStyle w:val="12"/>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9"/>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rPr>
              <w:t>丰都县太平坝乡人民政府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1,729.95</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703.10</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43.25</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145.84</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261.89</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28.15</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87.04</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537.22</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28.19</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35.97</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25.68</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21.99</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1,773.20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1,880.05</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188.98</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82.13</w:t>
            </w:r>
            <w:r>
              <w:rPr>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1,962.17</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1,962.17</w:t>
            </w:r>
            <w:r>
              <w:rPr>
                <w:color w:val="000000"/>
                <w:sz w:val="20"/>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rPr>
              <w:t>丰都县太平坝乡人民政府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1,773.20</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1,773.20</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665.40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665.40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659.02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659.02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587.05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587.05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88.34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88.34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88.34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88.34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文化活动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256.89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256.89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43.83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43.83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43.83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43.83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120.95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120.95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52.99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52.99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42.44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42.44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25.41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25.41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33.13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33.13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30.13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30.13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28.15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28.15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28.15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28.15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33.53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33.53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土地开发支出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535.56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535.56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226.40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226.40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19.19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19.19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190.28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190.28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142.19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142.19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37.77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37.77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115.27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115.27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28.19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28.19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35.97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35.97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35.97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35.97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安全监管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21.99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21.99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21.99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21.99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用于残疾人事业的彩票公益金支出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5000" w:type="pct"/>
        <w:tblInd w:w="0" w:type="dxa"/>
        <w:tblLayout w:type="autofit"/>
        <w:tblCellMar>
          <w:top w:w="0" w:type="dxa"/>
          <w:left w:w="0" w:type="dxa"/>
          <w:bottom w:w="0" w:type="dxa"/>
          <w:right w:w="0" w:type="dxa"/>
        </w:tblCellMar>
      </w:tblPr>
      <w:tblGrid>
        <w:gridCol w:w="1726"/>
        <w:gridCol w:w="3830"/>
        <w:gridCol w:w="1625"/>
        <w:gridCol w:w="1625"/>
        <w:gridCol w:w="1625"/>
        <w:gridCol w:w="1609"/>
        <w:gridCol w:w="1610"/>
        <w:gridCol w:w="1672"/>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丰都县太平坝乡人民政府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1,880.05</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1,212.64</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667.41</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703.10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624.75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78.35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696.72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624.75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71.97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624.75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624.75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71.97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71.97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145.84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40.84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88.34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40.84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文化活动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40.84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40.84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体育场馆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261.89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220.07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41.83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43.83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43.83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43.83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43.83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120.95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120.95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52.99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52.99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42.44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42.44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25.41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25.41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33.13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30.13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30.13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30.13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28.15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28.15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28.15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28.15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33.53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33.53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33.53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土地开发支出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537.22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229.34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307.88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228.06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114.07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113.99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53.33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53.33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19.19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19.19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190.28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190.28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142.19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142.19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37.77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37.77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115.27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115.27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28.19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28.19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35.97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35.97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35.97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35.97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35.97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35.97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25.68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25.68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安全监管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21.99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21.99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21.99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21.99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用于残疾人事业的彩票公益金支出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pPr w:leftFromText="180" w:rightFromText="180" w:vertAnchor="text" w:horzAnchor="page" w:tblpX="1030" w:tblpY="-2224"/>
        <w:tblOverlap w:val="never"/>
        <w:tblW w:w="4789" w:type="pct"/>
        <w:tblInd w:w="0" w:type="dxa"/>
        <w:tblLayout w:type="autofit"/>
        <w:tblCellMar>
          <w:top w:w="0" w:type="dxa"/>
          <w:left w:w="0" w:type="dxa"/>
          <w:bottom w:w="0" w:type="dxa"/>
          <w:right w:w="0" w:type="dxa"/>
        </w:tblCellMar>
      </w:tblPr>
      <w:tblGrid>
        <w:gridCol w:w="2964"/>
        <w:gridCol w:w="1520"/>
        <w:gridCol w:w="3179"/>
        <w:gridCol w:w="1693"/>
        <w:gridCol w:w="1693"/>
        <w:gridCol w:w="1694"/>
        <w:gridCol w:w="1932"/>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1"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丰都县太平坝乡人民政府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1"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8"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1,729.95</w:t>
            </w:r>
            <w:r>
              <w:rPr>
                <w:color w:val="000000"/>
                <w:sz w:val="18"/>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703.10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703.10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43.25</w:t>
            </w:r>
            <w:r>
              <w:rPr>
                <w:color w:val="000000"/>
                <w:sz w:val="18"/>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145.84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145.84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261.89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261.89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28.15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28.15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87.04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65.77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21.27</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537.22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537.22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28.19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28.19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35.97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35.97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25.68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25.68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21.99</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1,773.20</w:t>
            </w:r>
            <w:r>
              <w:rPr>
                <w:color w:val="000000"/>
                <w:sz w:val="18"/>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1,880.05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1,836.80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43.25</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188.98</w:t>
            </w:r>
            <w:r>
              <w:rPr>
                <w:color w:val="000000"/>
                <w:sz w:val="18"/>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82.13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82.13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188.98</w:t>
            </w:r>
            <w:r>
              <w:rPr>
                <w:color w:val="000000"/>
                <w:sz w:val="18"/>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1,962.17</w:t>
            </w:r>
            <w:r>
              <w:rPr>
                <w:color w:val="000000"/>
                <w:sz w:val="18"/>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1,962.17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1,918.92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43.25</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777"/>
        <w:gridCol w:w="3830"/>
        <w:gridCol w:w="3233"/>
        <w:gridCol w:w="3233"/>
        <w:gridCol w:w="3249"/>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w:t>
            </w:r>
            <w:r>
              <w:rPr>
                <w:color w:val="000000"/>
                <w:sz w:val="20"/>
              </w:rPr>
              <w:t>丰都县太平坝乡人民政府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1,836.80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1,212.64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624.16</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703.10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624.75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78.35</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2.58</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2.58</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696.72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624.75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71.97</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624.75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624.75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71.97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71.97</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145.84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40.84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88.34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40.84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47.50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文化活动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40.84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40.84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46.50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57.50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57.50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体育场馆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57.50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261.89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220.07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41.83</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25.16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25.16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25.16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25.16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43.83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43.83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43.83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43.83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120.95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120.95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52.99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52.99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42.44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42.44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25.41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25.41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27.88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27.88</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27.88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27.88</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3.45</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3.45</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33.13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30.13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30.13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30.13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28.15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28.15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28.15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28.15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65.77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33.53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32.24</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33.53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33.53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33.53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33.53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32.24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32.24</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32.24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32.24</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537.22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229.34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307.88</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228.06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114.07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113.99</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114.07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114.07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2.78</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53.33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53.33</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37.50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19.19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19.19</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2.61</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2.61</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190.28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190.28</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142.19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142.19</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37.77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37.77</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4.08</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6.24</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115.27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115.27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115.27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115.27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28.19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28.19</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8.19</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8.19</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35.97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35.97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35.97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35.97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35.97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35.97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25.68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25.68</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19.98</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安全监管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2.88</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14.60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丰都县太平坝乡人民政府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686.15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229.92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35.91</w:t>
            </w: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124.68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47.07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73.34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35.91</w:t>
            </w: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121.22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139.04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55.16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43.36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18.17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42.01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22.40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36.85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260.66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251.04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16.73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25.15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14.48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39.88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946.81</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265.82</w:t>
            </w:r>
            <w:r>
              <w:rPr>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768"/>
        <w:gridCol w:w="3630"/>
        <w:gridCol w:w="1622"/>
        <w:gridCol w:w="1622"/>
        <w:gridCol w:w="1622"/>
        <w:gridCol w:w="1622"/>
        <w:gridCol w:w="1686"/>
        <w:gridCol w:w="1750"/>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丰都县太平坝乡人民政府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43.25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43.25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43.25</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21.27</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21.27</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21.27</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21.27</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21.27</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21.27</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土地开发支出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11.98</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11.98</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11.98</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9.29</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9.29</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9.29</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21.99</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21.99</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21.99</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21.99</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21.99</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21.99</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11.49</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11.49</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11.49</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用于残疾人事业的彩票公益金支出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丰都县太平坝乡人民政府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rFonts w:hint="eastAsia"/>
                <w:color w:val="000000"/>
                <w:sz w:val="20"/>
                <w:lang w:eastAsia="zh-CN"/>
              </w:rPr>
              <w:t>丰都县太平</w:t>
            </w:r>
            <w:r>
              <w:rPr>
                <w:color w:val="000000"/>
                <w:sz w:val="20"/>
              </w:rPr>
              <w:t>坝乡人民政府</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200.17</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24.38</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24.38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200.17</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10.43</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10.43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10.43</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10.43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13.95</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13.95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13.95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246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1,551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1.40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0.13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- 16 -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32 -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20"/>
  <w:drawingGridVerticalSpacing w:val="163"/>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QzMzUzYWYzMWJkYTM1ZGFjMmJlMDU5ZjI2YTdkZTIifQ=="/>
  </w:docVars>
  <w:rsids>
    <w:rsidRoot w:val="00B03CCD"/>
    <w:rsid w:val="000C01CC"/>
    <w:rsid w:val="000D7702"/>
    <w:rsid w:val="001D3A3C"/>
    <w:rsid w:val="002133BC"/>
    <w:rsid w:val="002946EA"/>
    <w:rsid w:val="002D0E5A"/>
    <w:rsid w:val="002E5443"/>
    <w:rsid w:val="002F36E4"/>
    <w:rsid w:val="00326E3E"/>
    <w:rsid w:val="00352A88"/>
    <w:rsid w:val="003D2034"/>
    <w:rsid w:val="00486C93"/>
    <w:rsid w:val="004B78EB"/>
    <w:rsid w:val="004C12FF"/>
    <w:rsid w:val="00550ABE"/>
    <w:rsid w:val="005B023C"/>
    <w:rsid w:val="006137D7"/>
    <w:rsid w:val="00634FA8"/>
    <w:rsid w:val="0063613A"/>
    <w:rsid w:val="006C1E55"/>
    <w:rsid w:val="006F02ED"/>
    <w:rsid w:val="00792285"/>
    <w:rsid w:val="007A0D2E"/>
    <w:rsid w:val="007A3314"/>
    <w:rsid w:val="007B419D"/>
    <w:rsid w:val="00810F13"/>
    <w:rsid w:val="00923906"/>
    <w:rsid w:val="00944711"/>
    <w:rsid w:val="00973F8D"/>
    <w:rsid w:val="009834F6"/>
    <w:rsid w:val="00984852"/>
    <w:rsid w:val="009B4976"/>
    <w:rsid w:val="009B67B8"/>
    <w:rsid w:val="00A03B1E"/>
    <w:rsid w:val="00A55E99"/>
    <w:rsid w:val="00A67739"/>
    <w:rsid w:val="00A820B7"/>
    <w:rsid w:val="00AC5566"/>
    <w:rsid w:val="00B03CCD"/>
    <w:rsid w:val="00B40138"/>
    <w:rsid w:val="00B83C67"/>
    <w:rsid w:val="00BF5A85"/>
    <w:rsid w:val="00C307F6"/>
    <w:rsid w:val="00C96B11"/>
    <w:rsid w:val="00CC6B99"/>
    <w:rsid w:val="00DB2F95"/>
    <w:rsid w:val="00DF7706"/>
    <w:rsid w:val="00E05175"/>
    <w:rsid w:val="00E654E2"/>
    <w:rsid w:val="00E76362"/>
    <w:rsid w:val="00F137D3"/>
    <w:rsid w:val="00F13C36"/>
    <w:rsid w:val="00F23C68"/>
    <w:rsid w:val="00F32C53"/>
    <w:rsid w:val="00F73F90"/>
    <w:rsid w:val="00F7623D"/>
    <w:rsid w:val="00F8598B"/>
    <w:rsid w:val="01474EBF"/>
    <w:rsid w:val="01F3521E"/>
    <w:rsid w:val="03AF1EA7"/>
    <w:rsid w:val="03B87EA0"/>
    <w:rsid w:val="03E3214F"/>
    <w:rsid w:val="044C50BA"/>
    <w:rsid w:val="04C55C35"/>
    <w:rsid w:val="050E411D"/>
    <w:rsid w:val="05B72A07"/>
    <w:rsid w:val="05BC6D49"/>
    <w:rsid w:val="060424FE"/>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B9C6927"/>
    <w:rsid w:val="0C7927C4"/>
    <w:rsid w:val="0C9B098C"/>
    <w:rsid w:val="0C9F1413"/>
    <w:rsid w:val="0D673E11"/>
    <w:rsid w:val="0DDA54E4"/>
    <w:rsid w:val="0E3A5F83"/>
    <w:rsid w:val="0E6574A4"/>
    <w:rsid w:val="0E74421A"/>
    <w:rsid w:val="0EC73CBB"/>
    <w:rsid w:val="0ED767A3"/>
    <w:rsid w:val="0EEF0183"/>
    <w:rsid w:val="0F836721"/>
    <w:rsid w:val="0FA25D96"/>
    <w:rsid w:val="107B59E5"/>
    <w:rsid w:val="10EC0126"/>
    <w:rsid w:val="10EF71F3"/>
    <w:rsid w:val="10F70B9A"/>
    <w:rsid w:val="111445C7"/>
    <w:rsid w:val="114278C6"/>
    <w:rsid w:val="1158083A"/>
    <w:rsid w:val="11643A4B"/>
    <w:rsid w:val="11ED0F98"/>
    <w:rsid w:val="11F03528"/>
    <w:rsid w:val="12C921C4"/>
    <w:rsid w:val="12F952F5"/>
    <w:rsid w:val="13871C70"/>
    <w:rsid w:val="13A71CB4"/>
    <w:rsid w:val="13AF1D43"/>
    <w:rsid w:val="13CE1647"/>
    <w:rsid w:val="13FD55AB"/>
    <w:rsid w:val="140137CB"/>
    <w:rsid w:val="14200702"/>
    <w:rsid w:val="1573694A"/>
    <w:rsid w:val="15F34A03"/>
    <w:rsid w:val="163A6CEE"/>
    <w:rsid w:val="165322D8"/>
    <w:rsid w:val="16F05D79"/>
    <w:rsid w:val="16FA5506"/>
    <w:rsid w:val="173708E3"/>
    <w:rsid w:val="175C09F6"/>
    <w:rsid w:val="179A174D"/>
    <w:rsid w:val="17C374FC"/>
    <w:rsid w:val="185557C5"/>
    <w:rsid w:val="189079DC"/>
    <w:rsid w:val="189B0D0B"/>
    <w:rsid w:val="18B43F7C"/>
    <w:rsid w:val="191A0E8B"/>
    <w:rsid w:val="194A1770"/>
    <w:rsid w:val="19941464"/>
    <w:rsid w:val="19B906A4"/>
    <w:rsid w:val="1B6034CD"/>
    <w:rsid w:val="1B6F15B6"/>
    <w:rsid w:val="1BAA2EDC"/>
    <w:rsid w:val="1C5C0973"/>
    <w:rsid w:val="1C9F470A"/>
    <w:rsid w:val="1CA55E64"/>
    <w:rsid w:val="1CDC16EA"/>
    <w:rsid w:val="1D014A01"/>
    <w:rsid w:val="1D022362"/>
    <w:rsid w:val="1D1B04B0"/>
    <w:rsid w:val="1DBD6767"/>
    <w:rsid w:val="1DC52125"/>
    <w:rsid w:val="1DD26311"/>
    <w:rsid w:val="1E374ACB"/>
    <w:rsid w:val="1E5E27E3"/>
    <w:rsid w:val="1ECF0A66"/>
    <w:rsid w:val="1ED8781E"/>
    <w:rsid w:val="1EF67CA4"/>
    <w:rsid w:val="1F020D3A"/>
    <w:rsid w:val="1F2C5189"/>
    <w:rsid w:val="1F4B0B02"/>
    <w:rsid w:val="1FBB35CD"/>
    <w:rsid w:val="1FCD26AF"/>
    <w:rsid w:val="20642787"/>
    <w:rsid w:val="21556F04"/>
    <w:rsid w:val="218617B3"/>
    <w:rsid w:val="2188552B"/>
    <w:rsid w:val="22403BD3"/>
    <w:rsid w:val="228757E3"/>
    <w:rsid w:val="23DA37D9"/>
    <w:rsid w:val="24927844"/>
    <w:rsid w:val="24B92327"/>
    <w:rsid w:val="24C14514"/>
    <w:rsid w:val="252E7B0D"/>
    <w:rsid w:val="2533755C"/>
    <w:rsid w:val="25791755"/>
    <w:rsid w:val="26396DF4"/>
    <w:rsid w:val="27167136"/>
    <w:rsid w:val="27B23302"/>
    <w:rsid w:val="288822B5"/>
    <w:rsid w:val="28CA01D8"/>
    <w:rsid w:val="29310A5F"/>
    <w:rsid w:val="29C37A35"/>
    <w:rsid w:val="2A076083"/>
    <w:rsid w:val="2A6C042C"/>
    <w:rsid w:val="2A73162E"/>
    <w:rsid w:val="2B167953"/>
    <w:rsid w:val="2B200583"/>
    <w:rsid w:val="2B8209DE"/>
    <w:rsid w:val="2C6762A3"/>
    <w:rsid w:val="2CC94C4A"/>
    <w:rsid w:val="2DA171D6"/>
    <w:rsid w:val="2DF950BB"/>
    <w:rsid w:val="2E4F0055"/>
    <w:rsid w:val="2E823302"/>
    <w:rsid w:val="2EBF7B3E"/>
    <w:rsid w:val="2EDE1934"/>
    <w:rsid w:val="2FCA4B37"/>
    <w:rsid w:val="2FE029D7"/>
    <w:rsid w:val="2FF06E00"/>
    <w:rsid w:val="303F76FD"/>
    <w:rsid w:val="30562E26"/>
    <w:rsid w:val="30586FEC"/>
    <w:rsid w:val="30731155"/>
    <w:rsid w:val="30EC7046"/>
    <w:rsid w:val="315F0B22"/>
    <w:rsid w:val="318555E4"/>
    <w:rsid w:val="319D022C"/>
    <w:rsid w:val="31C90022"/>
    <w:rsid w:val="31D84415"/>
    <w:rsid w:val="31FB42D0"/>
    <w:rsid w:val="32285F6F"/>
    <w:rsid w:val="32770556"/>
    <w:rsid w:val="329C0913"/>
    <w:rsid w:val="32AA0460"/>
    <w:rsid w:val="32E4458C"/>
    <w:rsid w:val="3337290D"/>
    <w:rsid w:val="33E31118"/>
    <w:rsid w:val="33EF7674"/>
    <w:rsid w:val="342D7BC6"/>
    <w:rsid w:val="34360E17"/>
    <w:rsid w:val="352930DB"/>
    <w:rsid w:val="354E2190"/>
    <w:rsid w:val="35573069"/>
    <w:rsid w:val="355F6038"/>
    <w:rsid w:val="358C217E"/>
    <w:rsid w:val="35937598"/>
    <w:rsid w:val="36674365"/>
    <w:rsid w:val="36C9128A"/>
    <w:rsid w:val="372C6501"/>
    <w:rsid w:val="372E3953"/>
    <w:rsid w:val="37841E99"/>
    <w:rsid w:val="37BF1123"/>
    <w:rsid w:val="383C3F15"/>
    <w:rsid w:val="38767A34"/>
    <w:rsid w:val="38BE4696"/>
    <w:rsid w:val="392C1112"/>
    <w:rsid w:val="3939115E"/>
    <w:rsid w:val="39B82A39"/>
    <w:rsid w:val="39C42CA8"/>
    <w:rsid w:val="39DC4FD6"/>
    <w:rsid w:val="39F03D7A"/>
    <w:rsid w:val="39F33306"/>
    <w:rsid w:val="3A2C1C67"/>
    <w:rsid w:val="3B1705E5"/>
    <w:rsid w:val="3B18334B"/>
    <w:rsid w:val="3B36794F"/>
    <w:rsid w:val="3B842468"/>
    <w:rsid w:val="3C566AD6"/>
    <w:rsid w:val="3C6A5B02"/>
    <w:rsid w:val="3D2757A1"/>
    <w:rsid w:val="3D3D4FC4"/>
    <w:rsid w:val="3DDF3AB1"/>
    <w:rsid w:val="3E1D0952"/>
    <w:rsid w:val="3E42660A"/>
    <w:rsid w:val="3E7555B1"/>
    <w:rsid w:val="3E787ED9"/>
    <w:rsid w:val="3EEC37F3"/>
    <w:rsid w:val="3EF26282"/>
    <w:rsid w:val="3F032E93"/>
    <w:rsid w:val="3F0527E5"/>
    <w:rsid w:val="3F0F473E"/>
    <w:rsid w:val="3F406FEE"/>
    <w:rsid w:val="3F694D83"/>
    <w:rsid w:val="3F885DCC"/>
    <w:rsid w:val="3FCD675E"/>
    <w:rsid w:val="4004000C"/>
    <w:rsid w:val="411B6CE5"/>
    <w:rsid w:val="412070D7"/>
    <w:rsid w:val="41314E40"/>
    <w:rsid w:val="41E0734B"/>
    <w:rsid w:val="41F1440E"/>
    <w:rsid w:val="423A5F76"/>
    <w:rsid w:val="426554D0"/>
    <w:rsid w:val="426C1EA8"/>
    <w:rsid w:val="42736402"/>
    <w:rsid w:val="42E86A87"/>
    <w:rsid w:val="43307B09"/>
    <w:rsid w:val="433F583C"/>
    <w:rsid w:val="437B05F4"/>
    <w:rsid w:val="438D0E97"/>
    <w:rsid w:val="43B35FE0"/>
    <w:rsid w:val="43BB152F"/>
    <w:rsid w:val="440F6F8F"/>
    <w:rsid w:val="446461CA"/>
    <w:rsid w:val="44C37687"/>
    <w:rsid w:val="451707F1"/>
    <w:rsid w:val="45CB699A"/>
    <w:rsid w:val="4614088C"/>
    <w:rsid w:val="464D3804"/>
    <w:rsid w:val="465B470D"/>
    <w:rsid w:val="469D6AD4"/>
    <w:rsid w:val="471E6C84"/>
    <w:rsid w:val="4748792B"/>
    <w:rsid w:val="475D719D"/>
    <w:rsid w:val="47674801"/>
    <w:rsid w:val="48225EF7"/>
    <w:rsid w:val="488F422B"/>
    <w:rsid w:val="48E36915"/>
    <w:rsid w:val="495C4A24"/>
    <w:rsid w:val="497135DF"/>
    <w:rsid w:val="4A263DF2"/>
    <w:rsid w:val="4A6F6675"/>
    <w:rsid w:val="4AC07235"/>
    <w:rsid w:val="4AFA44F5"/>
    <w:rsid w:val="4B0502DF"/>
    <w:rsid w:val="4B135857"/>
    <w:rsid w:val="4B7951CB"/>
    <w:rsid w:val="4B7C315C"/>
    <w:rsid w:val="4D1E3A2B"/>
    <w:rsid w:val="4DAC4ACA"/>
    <w:rsid w:val="4DAF1F5D"/>
    <w:rsid w:val="4DBE01D2"/>
    <w:rsid w:val="4EFC6D10"/>
    <w:rsid w:val="4F0C6BA3"/>
    <w:rsid w:val="4F10477D"/>
    <w:rsid w:val="4F186D58"/>
    <w:rsid w:val="4F9A62A6"/>
    <w:rsid w:val="4FEA65B7"/>
    <w:rsid w:val="4FF54255"/>
    <w:rsid w:val="50F06B6E"/>
    <w:rsid w:val="520461A3"/>
    <w:rsid w:val="52234D33"/>
    <w:rsid w:val="522F6E0C"/>
    <w:rsid w:val="52463BA1"/>
    <w:rsid w:val="52D246B4"/>
    <w:rsid w:val="52F163D4"/>
    <w:rsid w:val="531A2DB4"/>
    <w:rsid w:val="53A616BE"/>
    <w:rsid w:val="53C0244D"/>
    <w:rsid w:val="53DD4D4E"/>
    <w:rsid w:val="53E578CE"/>
    <w:rsid w:val="541330F0"/>
    <w:rsid w:val="54272666"/>
    <w:rsid w:val="543B029D"/>
    <w:rsid w:val="54861779"/>
    <w:rsid w:val="552256E1"/>
    <w:rsid w:val="554E5773"/>
    <w:rsid w:val="555A3CBC"/>
    <w:rsid w:val="5582012B"/>
    <w:rsid w:val="558E4E05"/>
    <w:rsid w:val="55BE2E85"/>
    <w:rsid w:val="56051FA0"/>
    <w:rsid w:val="56494582"/>
    <w:rsid w:val="56530F5D"/>
    <w:rsid w:val="567700D3"/>
    <w:rsid w:val="56FF7E9E"/>
    <w:rsid w:val="578867FC"/>
    <w:rsid w:val="57C2183D"/>
    <w:rsid w:val="57CE5874"/>
    <w:rsid w:val="57D45B2D"/>
    <w:rsid w:val="58243283"/>
    <w:rsid w:val="5842572D"/>
    <w:rsid w:val="5A3B59D6"/>
    <w:rsid w:val="5AD134D8"/>
    <w:rsid w:val="5B3204EB"/>
    <w:rsid w:val="5B6503B1"/>
    <w:rsid w:val="5C263CE4"/>
    <w:rsid w:val="5C593354"/>
    <w:rsid w:val="5C5D2777"/>
    <w:rsid w:val="5C7E485A"/>
    <w:rsid w:val="5CA249EC"/>
    <w:rsid w:val="5CF66BF3"/>
    <w:rsid w:val="5D290C69"/>
    <w:rsid w:val="5D4810F0"/>
    <w:rsid w:val="5ED502B1"/>
    <w:rsid w:val="5F2D4A41"/>
    <w:rsid w:val="5F351B48"/>
    <w:rsid w:val="5F5024DD"/>
    <w:rsid w:val="5FBC0EF7"/>
    <w:rsid w:val="60504E32"/>
    <w:rsid w:val="60C74F6C"/>
    <w:rsid w:val="61025A59"/>
    <w:rsid w:val="613D5BBC"/>
    <w:rsid w:val="61536C39"/>
    <w:rsid w:val="61B431F8"/>
    <w:rsid w:val="61C62F2B"/>
    <w:rsid w:val="62944DD7"/>
    <w:rsid w:val="6319381F"/>
    <w:rsid w:val="63236436"/>
    <w:rsid w:val="63C25DC5"/>
    <w:rsid w:val="63C62057"/>
    <w:rsid w:val="63E203AA"/>
    <w:rsid w:val="640F0BB9"/>
    <w:rsid w:val="64571EF5"/>
    <w:rsid w:val="648456F9"/>
    <w:rsid w:val="64C51278"/>
    <w:rsid w:val="64FB113D"/>
    <w:rsid w:val="656152C6"/>
    <w:rsid w:val="6587477F"/>
    <w:rsid w:val="658C3A08"/>
    <w:rsid w:val="65C031CA"/>
    <w:rsid w:val="65CE6852"/>
    <w:rsid w:val="66267C04"/>
    <w:rsid w:val="663F505A"/>
    <w:rsid w:val="66967186"/>
    <w:rsid w:val="66EE5541"/>
    <w:rsid w:val="670536F6"/>
    <w:rsid w:val="67924660"/>
    <w:rsid w:val="68407834"/>
    <w:rsid w:val="6883293E"/>
    <w:rsid w:val="688412AD"/>
    <w:rsid w:val="68EB1B71"/>
    <w:rsid w:val="691C47A5"/>
    <w:rsid w:val="69475C96"/>
    <w:rsid w:val="6A1231B1"/>
    <w:rsid w:val="6A8E035E"/>
    <w:rsid w:val="6AAD2300"/>
    <w:rsid w:val="6B474EF5"/>
    <w:rsid w:val="6BBF53FD"/>
    <w:rsid w:val="6BF57439"/>
    <w:rsid w:val="6BFC1876"/>
    <w:rsid w:val="6C560CAE"/>
    <w:rsid w:val="6C576495"/>
    <w:rsid w:val="6D903FF5"/>
    <w:rsid w:val="6DA955B8"/>
    <w:rsid w:val="6DE346AB"/>
    <w:rsid w:val="6DE5391A"/>
    <w:rsid w:val="6DEF55B7"/>
    <w:rsid w:val="6E2E45DA"/>
    <w:rsid w:val="6E386F5E"/>
    <w:rsid w:val="6EFD1324"/>
    <w:rsid w:val="6F5A53AC"/>
    <w:rsid w:val="6F9401C4"/>
    <w:rsid w:val="6FAC003D"/>
    <w:rsid w:val="6FE55E12"/>
    <w:rsid w:val="6FF773FF"/>
    <w:rsid w:val="6FFB2E76"/>
    <w:rsid w:val="708F6F7F"/>
    <w:rsid w:val="70D94BD3"/>
    <w:rsid w:val="70F936D9"/>
    <w:rsid w:val="71771B4C"/>
    <w:rsid w:val="71C34D91"/>
    <w:rsid w:val="71DA0690"/>
    <w:rsid w:val="72DB435C"/>
    <w:rsid w:val="72E2613A"/>
    <w:rsid w:val="72F771F4"/>
    <w:rsid w:val="736650B0"/>
    <w:rsid w:val="73934AD2"/>
    <w:rsid w:val="749B1FF5"/>
    <w:rsid w:val="750837F0"/>
    <w:rsid w:val="754758CF"/>
    <w:rsid w:val="75D27C98"/>
    <w:rsid w:val="75E672A0"/>
    <w:rsid w:val="763149BF"/>
    <w:rsid w:val="764F62AB"/>
    <w:rsid w:val="765C45EC"/>
    <w:rsid w:val="76636B42"/>
    <w:rsid w:val="768A7619"/>
    <w:rsid w:val="772E1EBA"/>
    <w:rsid w:val="775C3CBE"/>
    <w:rsid w:val="77EB79F7"/>
    <w:rsid w:val="796D60A4"/>
    <w:rsid w:val="799F60E4"/>
    <w:rsid w:val="79A031D5"/>
    <w:rsid w:val="7A1525F7"/>
    <w:rsid w:val="7A15284A"/>
    <w:rsid w:val="7A87385E"/>
    <w:rsid w:val="7B2A7C2F"/>
    <w:rsid w:val="7B420052"/>
    <w:rsid w:val="7B861484"/>
    <w:rsid w:val="7BD06A28"/>
    <w:rsid w:val="7C3A7C0B"/>
    <w:rsid w:val="7C5248E4"/>
    <w:rsid w:val="7C566698"/>
    <w:rsid w:val="7C5866A3"/>
    <w:rsid w:val="7C8A69C2"/>
    <w:rsid w:val="7D0D15B6"/>
    <w:rsid w:val="7D7406BB"/>
    <w:rsid w:val="7DB24457"/>
    <w:rsid w:val="7DE94331"/>
    <w:rsid w:val="7F446A19"/>
    <w:rsid w:val="7F7452B9"/>
    <w:rsid w:val="FFFF3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0"/>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annotation subject"/>
    <w:basedOn w:val="2"/>
    <w:next w:val="2"/>
    <w:link w:val="21"/>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annotation reference"/>
    <w:basedOn w:val="11"/>
    <w:qFormat/>
    <w:uiPriority w:val="0"/>
    <w:rPr>
      <w:sz w:val="21"/>
      <w:szCs w:val="21"/>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1"/>
    <w:link w:val="3"/>
    <w:qFormat/>
    <w:uiPriority w:val="0"/>
    <w:rPr>
      <w:rFonts w:ascii="宋体" w:hAnsi="宋体"/>
      <w:sz w:val="18"/>
      <w:szCs w:val="18"/>
    </w:rPr>
  </w:style>
  <w:style w:type="character" w:customStyle="1" w:styleId="19">
    <w:name w:val="16"/>
    <w:basedOn w:val="11"/>
    <w:qFormat/>
    <w:uiPriority w:val="0"/>
    <w:rPr>
      <w:rFonts w:hint="default" w:ascii="Times New Roman" w:hAnsi="Times New Roman" w:cs="Times New Roman"/>
      <w:b/>
      <w:bCs/>
    </w:rPr>
  </w:style>
  <w:style w:type="character" w:customStyle="1" w:styleId="20">
    <w:name w:val="批注文字 Char"/>
    <w:basedOn w:val="11"/>
    <w:link w:val="2"/>
    <w:qFormat/>
    <w:uiPriority w:val="0"/>
    <w:rPr>
      <w:rFonts w:ascii="宋体" w:hAnsi="宋体"/>
      <w:sz w:val="24"/>
      <w:szCs w:val="24"/>
    </w:rPr>
  </w:style>
  <w:style w:type="character" w:customStyle="1" w:styleId="21">
    <w:name w:val="批注主题 Char"/>
    <w:basedOn w:val="20"/>
    <w:link w:val="8"/>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14597</Words>
  <Characters>19979</Characters>
  <Lines>192</Lines>
  <Paragraphs>54</Paragraphs>
  <TotalTime>8</TotalTime>
  <ScaleCrop>false</ScaleCrop>
  <LinksUpToDate>false</LinksUpToDate>
  <CharactersWithSpaces>22312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fengdu</cp:lastModifiedBy>
  <dcterms:modified xsi:type="dcterms:W3CDTF">2024-09-26T10:01:26Z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