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关于2023年财政预算执行情况和2024年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财政预算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草案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w w:val="8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w w:val="80"/>
          <w:sz w:val="32"/>
          <w:szCs w:val="32"/>
          <w:lang w:val="en-US" w:eastAsia="zh-CN"/>
        </w:rPr>
        <w:t>——2024年3月13日在丰都县太平坝乡第六届人民代表大会第四次会议上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太平坝乡财政办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受乡人民政府委托，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向大会报告太平坝乡2023年预算执行情况和2024年预算（草案），请予审议，并请各位列席人员提出意见。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一、2023年财政预算执行情况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2023年是全面贯彻落实党的二十大精神开局之年，是三年新冠疫情防控转段后经济恢复发展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是太平坝乡经济发展重要的一年，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做好财政各项工作意义重大。一年来，我们坚持以习近平新时代中国特色社会主义思想为指导，坚持稳中求进总基调，在乡党委、政府的正确领导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下，在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乡人大的监督指导下，全力聚焦“抓收入、控支出、优结构、强保障、提效能、防风险”主线，努力稳增长、促改革、惠民生，全力保障全乡经济和社会各项事业稳步发展，基本实现了财政收支平衡，较好地完成了乡人代会确定的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太平坝乡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一般公共预算收入总计为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1815.95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的100%，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16.07万元。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太平坝乡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一般公共预算支出总计为1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779.95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98.02%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19.93万元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。支出分项情况如下：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（1）一般公共服务支出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665.40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万元，主要用于人大会议支出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、兑现烟农户产后补贴及工作经费、凤凰社区养老服务站建设、乡村治理积分制项目、机关政府职工工资福利及日常办公等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（2）文化体育与传媒支出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88.34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龙河杯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篮球比赛活动支出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、旅游停车场及公厕项目、文化剧场演出、七夕相亲民俗文化暨乡村旅游项目、2019年星级乡村酒店补助、11人制社会足球场地设施建设项目、文服中心职工工资福利及日常办公等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（3）社会保障和就业支出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256.89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万元，主要用于金鸡华裕农科公益性岗位补贴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、凤凰社区养老服务站建设、助残员及阳光家园居家托养补助、网格员补助、退休职工健康休养费、缴纳行政事业单位在职职工养老保险职业年金等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（4）卫生健康支出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28.15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缴纳行政事业单位在职职工医疗保险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（5）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城乡社区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65.77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万元，主要用于人居环境整治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、场镇卫生保洁、河道人居环境整治、执法大队职工工资福利及日常办公等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（6）农林水支出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535.56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动物防疫、秋季蔬菜种植补助、农村户厕改造、撂荒地盘活利用、兑现烟农户产后补贴、新农人培育提升、场镇雨水管网维修整治、天保公益林集中管护、茅林沟桃花谷农旅融合配套项目、农服中心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（7）交通运输支出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28.19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万元，主要用于公路养护补助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、公路灾毁抢险保通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（8）住房保障支出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35.97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缴存在职职工住房公积金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（9）灾害防治及应急管理支出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25.68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万元，主要用于公路养护补助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、交通劝导员补助、旱灾生活救助、自然灾害救助补助、防旱抗旱救灾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）债务还本支出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50.00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偿还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场镇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道路加铺沥青硂面层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工程欠款；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结转结余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情况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太平坝乡年终结余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36.00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老旧小区改造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历年结余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1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收入情况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太平坝乡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政府性基金预算收入总计为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43.25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30.12万元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2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太平坝乡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政府性基金预算支出总计为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43.25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30.12万元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。主要用于：实施城镇规划建设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（太平坝乡停车场、广场）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耕地开垦费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、公路养护补助、凤凰社区养老服务站建设、凤凰社区养老服务中心、篮球场升级改造、残疾人文化体育示范点。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（三）2023年重点财政工作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是立足节流减支，优化支出结构。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切实抓好“保工资、保运转、保基本民生”工作，确保政府机构正常运转、各项民生事业稳步推进；牢固树立过“紧日子”思想，坚守勤俭节约“风向标”，大力压减非急需非刚性支出；严格事前项目评审论证和财政承受能力评估，把好支出源头关口；加强往来款资金清理，盘活用好存量资源；加强国有资产监督管理，全面梳理政府国有资产，摸实国有资产底数，提高政府资产使用效益，推动各类资产盘活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是立足民生保障，增进民生福祉。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加强惠民资金管理，2023年全乡共发放财政补贴农民资金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批次，累计发放资金150.6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万元，确保资金安全精准发放；完善基础设施建设，累计投入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123.07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万元，用于场镇道路改造、绿化养护、环卫保洁，全方位助推乡村振兴，有效提升人居环境，切实提高人民群众幸福感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提升社会救助力度，织牢织密精准帮扶防护网，及时发放各类补贴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170余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万元，有力保障了各类困难群众的权利，提高了困难群众的幸福指数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规范项目资金发放，全年共拨付财政衔接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、以工代赈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等项目资金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648.25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万元，确保资金安全高效运行。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是立足绩效监控，严把效益关口。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预算绩效管理进一步加强，形成“事前有目标、事中有监控、事后有评价、结果有运用”的管理闭环，做到有预算不超支，无预算不开支。完成2023年度整体绩效及预算项目执行情况“双监控工作”，共完成全乡绩效运行监控项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1341.53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万元，自评资金覆盖率达100%。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是立足监管督促，规范财务管理。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出台机关事务管理办法，严控“三公”经费支出，牢固树立过紧日子思想；完善村级财务管理办法，严格村级财务收支管理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规范村级财务；落实差旅费管理办法，规范差旅费报销制度，节省公务开支；执行政府采购办法，规范采购程序、严控采购行为；制定财务内审管理制度，不定期开展政府财务、村（社区）财务、村（社区）集体经济财务内部审查，规范财务报销票据，严把财务开支质量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各位代表，刚刚过去的2023年，财政运行总体平稳，发挥了财政稳经济大盘的积极作用，有力推动了全乡经济社会发展。这是习近平新时代中国特色社会主义思想科学指引的结果，是认真贯彻市委、县委和乡党委、政府重大决策部署的结果，是乡人大监督指导的结果。在总结成绩的同时，我们也清醒地认识到，当前财经形势依然严峻复杂，如财政收入受客观因素影响实现预期具有不确定性、增支事项不断增多、统筹保障难度较大、债务风险防控压力巨大等。针对这些不足，我们将认真听取各位代表的意见建议，以更加务实的作风、更为有力的措施，直面问题，迎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二、2024年财政预算（草案）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2024年预算编制的总体思路是：高举习近平新时代中国特色社会主义思想伟大旗帜，深入贯彻党的二十大精神，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落实市委、县委决策部署及人大预算决议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坚持稳中求进工作总基调，依法加强收入征管，优化支出结构，积极稳步推进我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乡经济持续健康发展、社会和谐稳定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2024年一般公共预算收入预期总计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1096.02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上年结转结余收入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36.00万元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。根据收入安排相应的支出总计预算为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1096.02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378.11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万元，主要用于人大代表活动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、人大工作、三支一扶人员支出、食堂补助、党建统领基层治理工作、招商引资工作、保障机关职工工资福利及日常办公等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文化旅游体育与传媒支出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82.59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乡村旅游发展支出、保障文服中心职工工资福利及日常办公等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206.18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网格员补助、退休职工健康休养费、缴纳行政事业单位在职职工养老保险职业年金、保障社保所与退役军人服务站职工工资福利及日常办公等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36.59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缴纳行政事业单位在职职工医疗保险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城乡社区支出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68.63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万元，主要用于场镇卫生保洁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、综合行政执法改革工作、保障执法大队职工工资福利及日常办公等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农林水事务支出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231.84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村（社）干部误工补助及村级办公经费、保障农服中心职工工资福利及日常办公等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交通运输支出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万元，主要用于交通劝导员补助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、道路交通专职化劝导站建设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73.34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万元，主要用于老旧小区改造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、缴存在职职工住房公积金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预备费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10.62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突发事件或应急抢险救灾等支出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未安排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政府性基金收入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以上收支预算（草案）如因上级政策调整，预算也随之调整，并向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人大主席团报告后组织实施。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三、2024年财政工作主要任务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拓宽财政收入渠道，确保财政平衡运行。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按照新一轮财税体制，加强财政、税务和金融联动，积极应对税制改革动态变化，克服不利因素，深挖隐性税源。强化税源共治建设，把好征收管理关。主动向上争取专项资金，大力盘活财政存量资金，多渠道筹措地方可用财力，积极培育新的税收增长点，巩固财政持续增收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</w:rPr>
        <w:t>统筹优化支出结构，提升管财理财水平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坚持以人民为中心，切实兜牢“三保”底线，统筹经济发展和民生支出相协调，财力与事权相匹配。落实“以收定支”原则，强化预算收支管理，集中财力向和美乡村、民生福祉、环境治理、社会事业等领域倾斜，优化财政支农资金投向和结构，全力解决群众最关心、最直接、最现实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</w:rPr>
        <w:t>深化预算管理改革，加强财政资金监管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贯彻落实预算法及相关法律政策，坚持先有预算后有支出，强化预算严肃性，严控预算调剂追加。主动依法接受预算审查监督，进一步细化预算内容，严格履行预算编报程序。推进和完善内部控制体系建设，加大财政信息公开力度，接受公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各位代表，做好财政工作责任重大，任务艰巨，使命光荣！我们将遵循“尽力而为、量力而行、统筹兼顾”的原则，在乡党委、政府的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坚强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领导下，在乡人大的监督支持下，坚定信心、铆足干劲、真抓实干，为把太平坝乡建设成为群众和游客喜欢的样子而努力奋斗！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相关事项说明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一、2023年预备费使用情况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2023年预备费共使用14.60万元，全部用于农户受灾补助及应急抢险等支出。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</w:rPr>
        <w:t>二、“三公”经费相关情况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2024年“三公”经费预算25.50万元，比2023年增加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2.80</w:t>
      </w:r>
      <w:r>
        <w:rPr>
          <w:rFonts w:hint="default" w:ascii="Times New Roman" w:hAnsi="Times New Roman" w:eastAsia="方正仿宋_GBK" w:cs="Times New Roman"/>
          <w:sz w:val="32"/>
        </w:rPr>
        <w:t>万元。其中：因公出国（境）费用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万元，与上年持平，主要原因是2024年无因公出国（境）安排；公务接待费13.50万元，比2023年减少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1.20</w:t>
      </w:r>
      <w:r>
        <w:rPr>
          <w:rFonts w:hint="default" w:ascii="Times New Roman" w:hAnsi="Times New Roman" w:eastAsia="方正仿宋_GBK" w:cs="Times New Roman"/>
          <w:sz w:val="32"/>
        </w:rPr>
        <w:t>万元，主要原因是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</w:rPr>
        <w:t>“三公”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经费只减不增要求</w:t>
      </w:r>
      <w:r>
        <w:rPr>
          <w:rFonts w:hint="default" w:ascii="Times New Roman" w:hAnsi="Times New Roman" w:eastAsia="方正仿宋_GBK" w:cs="Times New Roman"/>
          <w:sz w:val="32"/>
        </w:rPr>
        <w:t>；公务用车运行维护费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</w:rPr>
        <w:t>万元，比2023年增加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万元，主要原因是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新增一辆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公务车辆</w:t>
      </w:r>
      <w:r>
        <w:rPr>
          <w:rFonts w:hint="default" w:ascii="Times New Roman" w:hAnsi="Times New Roman" w:eastAsia="方正仿宋_GBK" w:cs="Times New Roman"/>
          <w:sz w:val="32"/>
        </w:rPr>
        <w:t>；公务用车购置费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万元，与上年持平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主要原因是2024年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无</w:t>
      </w:r>
      <w:r>
        <w:rPr>
          <w:rFonts w:hint="default" w:ascii="Times New Roman" w:hAnsi="Times New Roman" w:eastAsia="方正仿宋_GBK" w:cs="Times New Roman"/>
          <w:sz w:val="32"/>
        </w:rPr>
        <w:t>公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车购置</w:t>
      </w:r>
      <w:r>
        <w:rPr>
          <w:rFonts w:hint="default" w:ascii="Times New Roman" w:hAnsi="Times New Roman" w:eastAsia="方正仿宋_GBK" w:cs="Times New Roman"/>
          <w:sz w:val="32"/>
        </w:rPr>
        <w:t>安排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一般公共预算：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政府性基金预算：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三公经费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：指政府部门公务出国（境）经费、公务车购置及运行费、公务接待费。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GU0ZjY1MjAyNTE0MjAwYzc1NDJlN2I3MGUyNjIifQ=="/>
  </w:docVars>
  <w:rsids>
    <w:rsidRoot w:val="7FC63203"/>
    <w:rsid w:val="101765F8"/>
    <w:rsid w:val="2E393646"/>
    <w:rsid w:val="39E407FC"/>
    <w:rsid w:val="7FC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2024-03-11T01:50:00Z</dcterms:created>
  <dc:creator>Smile</dc:creator>
  <cp:lastModifiedBy>V</cp:lastModifiedBy>
  <dcterms:modified xsi:type="dcterms:W3CDTF">2024-03-12T03:15:10Z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C01ED0BB0DB94B41841128F3D42A23BB_11</vt:lpwstr>
  </property>
</Properties>
</file>