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6999A">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丰都县武平镇人民政府</w:t>
      </w:r>
    </w:p>
    <w:p w14:paraId="393030C8">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2024年度决算公开说明</w:t>
      </w:r>
    </w:p>
    <w:p w14:paraId="26E69D2D">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inorEastAsia" w:hAnsiTheme="minorEastAsia" w:eastAsiaTheme="minorEastAsia" w:cstheme="minorEastAsia"/>
          <w:sz w:val="28"/>
          <w:szCs w:val="28"/>
          <w:shd w:val="clear" w:color="auto" w:fill="FFFFFF"/>
        </w:rPr>
      </w:pPr>
    </w:p>
    <w:p w14:paraId="74A3676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0"/>
          <w:rFonts w:hint="eastAsia" w:asciiTheme="minorEastAsia" w:hAnsiTheme="minorEastAsia" w:eastAsiaTheme="minorEastAsia" w:cstheme="minorEastAsia"/>
          <w:b w:val="0"/>
          <w:bCs/>
          <w:sz w:val="28"/>
          <w:szCs w:val="28"/>
          <w:shd w:val="clear" w:color="auto" w:fill="FFFFFF"/>
        </w:rPr>
      </w:pPr>
      <w:r>
        <w:rPr>
          <w:rStyle w:val="10"/>
          <w:rFonts w:hint="eastAsia" w:asciiTheme="minorEastAsia" w:hAnsiTheme="minorEastAsia" w:eastAsiaTheme="minorEastAsia" w:cstheme="minorEastAsia"/>
          <w:b w:val="0"/>
          <w:bCs/>
          <w:sz w:val="28"/>
          <w:szCs w:val="28"/>
          <w:shd w:val="clear" w:color="auto" w:fill="FFFFFF"/>
        </w:rPr>
        <w:t>一、</w:t>
      </w:r>
      <w:r>
        <w:rPr>
          <w:rStyle w:val="10"/>
          <w:rFonts w:hint="eastAsia" w:asciiTheme="minorEastAsia" w:hAnsiTheme="minorEastAsia" w:eastAsiaTheme="minorEastAsia" w:cstheme="minorEastAsia"/>
          <w:b w:val="0"/>
          <w:bCs/>
          <w:sz w:val="28"/>
          <w:szCs w:val="28"/>
          <w:shd w:val="clear" w:color="auto" w:fill="FFFFFF"/>
          <w:lang w:eastAsia="zh-CN"/>
        </w:rPr>
        <w:t>部门</w:t>
      </w:r>
      <w:r>
        <w:rPr>
          <w:rStyle w:val="10"/>
          <w:rFonts w:hint="eastAsia" w:asciiTheme="minorEastAsia" w:hAnsiTheme="minorEastAsia" w:eastAsiaTheme="minorEastAsia" w:cstheme="minorEastAsia"/>
          <w:b w:val="0"/>
          <w:bCs/>
          <w:sz w:val="28"/>
          <w:szCs w:val="28"/>
          <w:shd w:val="clear" w:color="auto" w:fill="FFFFFF"/>
        </w:rPr>
        <w:t>基本情况</w:t>
      </w:r>
    </w:p>
    <w:p w14:paraId="4A8E699B">
      <w:pPr>
        <w:keepNext w:val="0"/>
        <w:keepLines w:val="0"/>
        <w:pageBreakBefore w:val="0"/>
        <w:kinsoku/>
        <w:overflowPunct/>
        <w:topLinePunct w:val="0"/>
        <w:autoSpaceDN/>
        <w:bidi w:val="0"/>
        <w:adjustRightInd/>
        <w:spacing w:line="600" w:lineRule="exact"/>
        <w:ind w:left="0" w:right="0" w:righ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（一）职能职责</w:t>
      </w:r>
    </w:p>
    <w:p w14:paraId="00313B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1.执行本级人民代表大会的决议和上级国家行政机关的决定和命令，发布决定和命令。</w:t>
      </w:r>
    </w:p>
    <w:p w14:paraId="1B2FA5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2.执行本行政区域内的经济和社会发展计划，加强公共设施的建设和管理，发展各项服务事业。</w:t>
      </w:r>
    </w:p>
    <w:p w14:paraId="06C281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3.依法管理本级财政、执行本级预算。</w:t>
      </w:r>
    </w:p>
    <w:p w14:paraId="1DE1F1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4.为农民提供有效的科技、教育、文化、信息、卫生、体育、医疗、人才开发、劳动就业、安全生产等方面的服务。</w:t>
      </w:r>
    </w:p>
    <w:p w14:paraId="160E0B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5.保护国有资产和集体所有的财产，保护公民私人所有的合法财产、保障公民的人身权利、民主权利和其他权利，保护各种组织的合法权益。</w:t>
      </w:r>
    </w:p>
    <w:p w14:paraId="4DF1BF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6.开展社会主义民主与法制教育，加强社会治安综合治理，调解民事纠纷，维护社会秩序。</w:t>
      </w:r>
    </w:p>
    <w:p w14:paraId="51D7D7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7.负责民政工作，发展社会福利事业，做好社会保障工作，办理兵役事项。</w:t>
      </w:r>
    </w:p>
    <w:p w14:paraId="714532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8.承办上级人民政府交办的其他事项。</w:t>
      </w:r>
    </w:p>
    <w:p w14:paraId="5E9ED08E">
      <w:pPr>
        <w:keepNext w:val="0"/>
        <w:keepLines w:val="0"/>
        <w:pageBreakBefore w:val="0"/>
        <w:kinsoku/>
        <w:overflowPunct/>
        <w:topLinePunct w:val="0"/>
        <w:autoSpaceDN/>
        <w:bidi w:val="0"/>
        <w:adjustRightInd/>
        <w:spacing w:line="600" w:lineRule="exact"/>
        <w:ind w:left="0" w:right="0" w:rightChars="0"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（二）机构设置</w:t>
      </w:r>
    </w:p>
    <w:p w14:paraId="1C95F047">
      <w:pPr>
        <w:keepNext w:val="0"/>
        <w:keepLines w:val="0"/>
        <w:pageBreakBefore w:val="0"/>
        <w:kinsoku/>
        <w:overflowPunct/>
        <w:topLinePunct w:val="0"/>
        <w:autoSpaceDN/>
        <w:bidi w:val="0"/>
        <w:adjustRightInd/>
        <w:spacing w:line="600" w:lineRule="exact"/>
        <w:ind w:left="0" w:right="0" w:rightChars="0"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eastAsia="zh-CN"/>
        </w:rPr>
        <w:t>内设机构</w:t>
      </w:r>
      <w:r>
        <w:rPr>
          <w:rFonts w:hint="eastAsia" w:asciiTheme="minorEastAsia" w:hAnsiTheme="minorEastAsia" w:eastAsiaTheme="minorEastAsia" w:cstheme="minorEastAsia"/>
          <w:bCs/>
          <w:color w:val="000000"/>
          <w:sz w:val="28"/>
          <w:szCs w:val="28"/>
          <w:lang w:val="en-US" w:eastAsia="zh-CN"/>
        </w:rPr>
        <w:t>5个：基层治理综合指挥室、党的建设办公室、经济发展办公室、民生服务办公室、平安法治办公室。事业单位5个：便民服务中心（退役军人服务站）、综合行政执法大队、 新时代文明实践服务中心、产业发展服务中心、村镇建设服务中心。</w:t>
      </w:r>
      <w:r>
        <w:rPr>
          <w:rFonts w:hint="eastAsia" w:asciiTheme="minorEastAsia" w:hAnsiTheme="minorEastAsia" w:eastAsiaTheme="minorEastAsia" w:cstheme="minorEastAsia"/>
          <w:bCs/>
          <w:color w:val="000000"/>
          <w:sz w:val="28"/>
          <w:szCs w:val="28"/>
        </w:rPr>
        <w:t>武平镇核定编制人数共57名，其中机关行政编制2</w:t>
      </w:r>
      <w:r>
        <w:rPr>
          <w:rFonts w:hint="eastAsia" w:asciiTheme="minorEastAsia" w:hAnsiTheme="minorEastAsia" w:eastAsiaTheme="minorEastAsia" w:cstheme="minorEastAsia"/>
          <w:bCs/>
          <w:color w:val="000000"/>
          <w:sz w:val="28"/>
          <w:szCs w:val="28"/>
          <w:lang w:val="en-US" w:eastAsia="zh-CN"/>
        </w:rPr>
        <w:t>3</w:t>
      </w:r>
      <w:r>
        <w:rPr>
          <w:rFonts w:hint="eastAsia" w:asciiTheme="minorEastAsia" w:hAnsiTheme="minorEastAsia" w:eastAsiaTheme="minorEastAsia" w:cstheme="minorEastAsia"/>
          <w:bCs/>
          <w:color w:val="000000"/>
          <w:sz w:val="28"/>
          <w:szCs w:val="28"/>
        </w:rPr>
        <w:t>名、机关后勤服务人员事业编制</w:t>
      </w:r>
      <w:r>
        <w:rPr>
          <w:rFonts w:hint="eastAsia" w:asciiTheme="minorEastAsia" w:hAnsiTheme="minorEastAsia" w:eastAsiaTheme="minorEastAsia" w:cstheme="minorEastAsia"/>
          <w:bCs/>
          <w:color w:val="000000"/>
          <w:sz w:val="28"/>
          <w:szCs w:val="28"/>
          <w:lang w:val="en-US" w:eastAsia="zh-CN"/>
        </w:rPr>
        <w:t>2</w:t>
      </w:r>
      <w:r>
        <w:rPr>
          <w:rFonts w:hint="eastAsia" w:asciiTheme="minorEastAsia" w:hAnsiTheme="minorEastAsia" w:eastAsiaTheme="minorEastAsia" w:cstheme="minorEastAsia"/>
          <w:bCs/>
          <w:color w:val="000000"/>
          <w:sz w:val="28"/>
          <w:szCs w:val="28"/>
        </w:rPr>
        <w:t>名，事业编制共32名。现有在职人员合计</w:t>
      </w:r>
      <w:r>
        <w:rPr>
          <w:rFonts w:hint="eastAsia" w:asciiTheme="minorEastAsia" w:hAnsiTheme="minorEastAsia" w:eastAsiaTheme="minorEastAsia" w:cstheme="minorEastAsia"/>
          <w:bCs/>
          <w:color w:val="000000"/>
          <w:sz w:val="28"/>
          <w:szCs w:val="28"/>
          <w:lang w:val="en-US" w:eastAsia="zh-CN"/>
        </w:rPr>
        <w:t>52</w:t>
      </w:r>
      <w:r>
        <w:rPr>
          <w:rFonts w:hint="eastAsia" w:asciiTheme="minorEastAsia" w:hAnsiTheme="minorEastAsia" w:eastAsiaTheme="minorEastAsia" w:cstheme="minorEastAsia"/>
          <w:bCs/>
          <w:color w:val="000000"/>
          <w:sz w:val="28"/>
          <w:szCs w:val="28"/>
        </w:rPr>
        <w:t>人，其中行政</w:t>
      </w:r>
      <w:r>
        <w:rPr>
          <w:rFonts w:hint="eastAsia" w:asciiTheme="minorEastAsia" w:hAnsiTheme="minorEastAsia" w:eastAsiaTheme="minorEastAsia" w:cstheme="minorEastAsia"/>
          <w:bCs/>
          <w:color w:val="000000"/>
          <w:sz w:val="28"/>
          <w:szCs w:val="28"/>
          <w:lang w:val="en-US" w:eastAsia="zh-CN"/>
        </w:rPr>
        <w:t>22</w:t>
      </w:r>
      <w:r>
        <w:rPr>
          <w:rFonts w:hint="eastAsia" w:asciiTheme="minorEastAsia" w:hAnsiTheme="minorEastAsia" w:eastAsiaTheme="minorEastAsia" w:cstheme="minorEastAsia"/>
          <w:bCs/>
          <w:color w:val="000000"/>
          <w:sz w:val="28"/>
          <w:szCs w:val="28"/>
        </w:rPr>
        <w:t>人，机关后勤编制</w:t>
      </w:r>
      <w:r>
        <w:rPr>
          <w:rFonts w:hint="eastAsia" w:asciiTheme="minorEastAsia" w:hAnsiTheme="minorEastAsia" w:eastAsiaTheme="minorEastAsia" w:cstheme="minorEastAsia"/>
          <w:bCs/>
          <w:color w:val="000000"/>
          <w:sz w:val="28"/>
          <w:szCs w:val="28"/>
          <w:lang w:val="en-US" w:eastAsia="zh-CN"/>
        </w:rPr>
        <w:t>2人、</w:t>
      </w:r>
      <w:r>
        <w:rPr>
          <w:rFonts w:hint="eastAsia" w:asciiTheme="minorEastAsia" w:hAnsiTheme="minorEastAsia" w:eastAsiaTheme="minorEastAsia" w:cstheme="minorEastAsia"/>
          <w:bCs/>
          <w:color w:val="000000"/>
          <w:sz w:val="28"/>
          <w:szCs w:val="28"/>
        </w:rPr>
        <w:t>事业</w:t>
      </w:r>
      <w:r>
        <w:rPr>
          <w:rFonts w:hint="eastAsia" w:asciiTheme="minorEastAsia" w:hAnsiTheme="minorEastAsia" w:eastAsiaTheme="minorEastAsia" w:cstheme="minorEastAsia"/>
          <w:bCs/>
          <w:color w:val="000000"/>
          <w:sz w:val="28"/>
          <w:szCs w:val="28"/>
          <w:lang w:val="en-US" w:eastAsia="zh-CN"/>
        </w:rPr>
        <w:t>28</w:t>
      </w:r>
      <w:r>
        <w:rPr>
          <w:rFonts w:hint="eastAsia" w:asciiTheme="minorEastAsia" w:hAnsiTheme="minorEastAsia" w:eastAsiaTheme="minorEastAsia" w:cstheme="minorEastAsia"/>
          <w:bCs/>
          <w:color w:val="000000"/>
          <w:sz w:val="28"/>
          <w:szCs w:val="28"/>
        </w:rPr>
        <w:t>人。</w:t>
      </w:r>
    </w:p>
    <w:p w14:paraId="32A32C3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0"/>
          <w:rFonts w:hint="eastAsia" w:asciiTheme="minorEastAsia" w:hAnsiTheme="minorEastAsia" w:eastAsiaTheme="minorEastAsia" w:cstheme="minorEastAsia"/>
          <w:b w:val="0"/>
          <w:bCs/>
          <w:sz w:val="28"/>
          <w:szCs w:val="28"/>
          <w:shd w:val="clear" w:color="auto" w:fill="FFFFFF"/>
          <w:lang w:eastAsia="zh-CN"/>
        </w:rPr>
      </w:pPr>
      <w:r>
        <w:rPr>
          <w:rStyle w:val="10"/>
          <w:rFonts w:hint="eastAsia" w:asciiTheme="minorEastAsia" w:hAnsiTheme="minorEastAsia" w:eastAsiaTheme="minorEastAsia" w:cstheme="minorEastAsia"/>
          <w:b w:val="0"/>
          <w:bCs/>
          <w:sz w:val="28"/>
          <w:szCs w:val="28"/>
          <w:shd w:val="clear" w:color="auto" w:fill="FFFFFF"/>
          <w:lang w:eastAsia="zh-CN"/>
        </w:rPr>
        <w:t>二、部门决算收支情况说明</w:t>
      </w:r>
    </w:p>
    <w:p w14:paraId="0762B0F4">
      <w:pPr>
        <w:keepNext w:val="0"/>
        <w:keepLines w:val="0"/>
        <w:pageBreakBefore w:val="0"/>
        <w:kinsoku/>
        <w:overflowPunct/>
        <w:topLinePunct w:val="0"/>
        <w:autoSpaceDN/>
        <w:bidi w:val="0"/>
        <w:adjustRightInd/>
        <w:spacing w:line="600" w:lineRule="exact"/>
        <w:ind w:left="0" w:right="0" w:righ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（一）收入支出决算总体情况说明</w:t>
      </w:r>
    </w:p>
    <w:p w14:paraId="1CBF10A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560" w:firstLineChars="200"/>
        <w:jc w:val="both"/>
        <w:textAlignment w:val="auto"/>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sz w:val="28"/>
          <w:szCs w:val="28"/>
          <w:shd w:val="clear" w:color="auto" w:fill="FFFFFF"/>
        </w:rPr>
        <w:t>2024年度收</w:t>
      </w:r>
      <w:r>
        <w:rPr>
          <w:rFonts w:hint="eastAsia" w:asciiTheme="minorEastAsia" w:hAnsiTheme="minorEastAsia" w:eastAsiaTheme="minorEastAsia" w:cstheme="minorEastAsia"/>
          <w:sz w:val="28"/>
          <w:szCs w:val="28"/>
          <w:shd w:val="clear" w:color="auto" w:fill="FFFFFF"/>
          <w:lang w:eastAsia="zh-CN"/>
        </w:rPr>
        <w:t>、支</w:t>
      </w:r>
      <w:r>
        <w:rPr>
          <w:rFonts w:hint="eastAsia" w:asciiTheme="minorEastAsia" w:hAnsiTheme="minorEastAsia" w:eastAsiaTheme="minorEastAsia" w:cstheme="minorEastAsia"/>
          <w:sz w:val="28"/>
          <w:szCs w:val="28"/>
          <w:shd w:val="clear" w:color="auto" w:fill="FFFFFF"/>
        </w:rPr>
        <w:t>总计</w:t>
      </w:r>
      <w:r>
        <w:rPr>
          <w:rFonts w:hint="eastAsia" w:asciiTheme="minorEastAsia" w:hAnsiTheme="minorEastAsia" w:eastAsiaTheme="minorEastAsia" w:cstheme="minorEastAsia"/>
          <w:sz w:val="28"/>
          <w:szCs w:val="28"/>
          <w:shd w:val="clear" w:color="auto" w:fill="FFFFFF"/>
          <w:lang w:eastAsia="zh-CN"/>
        </w:rPr>
        <w:t>均为</w:t>
      </w:r>
      <w:r>
        <w:rPr>
          <w:rFonts w:hint="eastAsia" w:asciiTheme="minorEastAsia" w:hAnsiTheme="minorEastAsia" w:eastAsiaTheme="minorEastAsia" w:cstheme="minorEastAsia"/>
          <w:sz w:val="28"/>
          <w:szCs w:val="28"/>
          <w:shd w:val="clear" w:color="auto" w:fill="FFFFFF"/>
        </w:rPr>
        <w:t>4061.84万元。收、支与2023年度相比，增加726.16万元，增长21.8%，主要原因</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是</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专款项目的增加。</w:t>
      </w:r>
    </w:p>
    <w:p w14:paraId="7EBACD72">
      <w:pPr>
        <w:pStyle w:val="6"/>
        <w:keepNext w:val="0"/>
        <w:keepLines w:val="0"/>
        <w:pageBreakBefore w:val="0"/>
        <w:shd w:val="clear" w:color="auto" w:fill="FFFFFF"/>
        <w:kinsoku/>
        <w:overflowPunct/>
        <w:topLinePunct w:val="0"/>
        <w:autoSpaceDN/>
        <w:bidi w:val="0"/>
        <w:adjustRightInd/>
        <w:spacing w:before="0" w:beforeAutospacing="0" w:after="0" w:afterAutospacing="0" w:line="600" w:lineRule="exact"/>
        <w:ind w:left="0" w:right="0" w:rightChars="0" w:firstLine="562" w:firstLineChars="200"/>
        <w:jc w:val="both"/>
        <w:rPr>
          <w:rFonts w:hint="eastAsia" w:asciiTheme="minorEastAsia" w:hAnsiTheme="minorEastAsia" w:eastAsiaTheme="minorEastAsia" w:cstheme="minorEastAsia"/>
          <w:sz w:val="28"/>
          <w:szCs w:val="28"/>
          <w:shd w:val="clear" w:color="auto" w:fill="FFFFFF"/>
        </w:rPr>
      </w:pPr>
      <w:r>
        <w:rPr>
          <w:rStyle w:val="10"/>
          <w:rFonts w:hint="eastAsia" w:asciiTheme="minorEastAsia" w:hAnsiTheme="minorEastAsia" w:eastAsiaTheme="minorEastAsia" w:cstheme="minorEastAsia"/>
          <w:sz w:val="28"/>
          <w:szCs w:val="28"/>
          <w:shd w:val="clear" w:color="auto" w:fill="FFFFFF"/>
          <w:lang w:val="en-US" w:eastAsia="zh-CN"/>
        </w:rPr>
        <w:t>1</w:t>
      </w:r>
      <w:r>
        <w:rPr>
          <w:rStyle w:val="10"/>
          <w:rFonts w:hint="eastAsia" w:asciiTheme="minorEastAsia" w:hAnsiTheme="minorEastAsia" w:eastAsiaTheme="minorEastAsia" w:cstheme="minorEastAsia"/>
          <w:sz w:val="28"/>
          <w:szCs w:val="28"/>
          <w:shd w:val="clear" w:color="auto" w:fill="FFFFFF"/>
        </w:rPr>
        <w:t>.收入情况。</w:t>
      </w:r>
      <w:r>
        <w:rPr>
          <w:rFonts w:hint="eastAsia" w:asciiTheme="minorEastAsia" w:hAnsiTheme="minorEastAsia" w:eastAsiaTheme="minorEastAsia" w:cstheme="minorEastAsia"/>
          <w:sz w:val="28"/>
          <w:szCs w:val="28"/>
          <w:shd w:val="clear" w:color="auto" w:fill="FFFFFF"/>
        </w:rPr>
        <w:t>2024年度收入合计4061.84万元，与2023年度相比，增加827.56万元，增长25.6%，主要原因是</w:t>
      </w:r>
      <w:r>
        <w:rPr>
          <w:rFonts w:hint="eastAsia" w:asciiTheme="minorEastAsia" w:hAnsiTheme="minorEastAsia" w:eastAsiaTheme="minorEastAsia" w:cstheme="minorEastAsia"/>
          <w:sz w:val="28"/>
          <w:szCs w:val="28"/>
          <w:highlight w:val="none"/>
          <w:lang w:eastAsia="zh-CN"/>
        </w:rPr>
        <w:t>本年上级专款项目</w:t>
      </w:r>
      <w:r>
        <w:rPr>
          <w:rFonts w:hint="eastAsia" w:asciiTheme="minorEastAsia" w:hAnsiTheme="minorEastAsia" w:eastAsiaTheme="minorEastAsia" w:cstheme="minorEastAsia"/>
          <w:sz w:val="28"/>
          <w:szCs w:val="28"/>
          <w:highlight w:val="none"/>
          <w:lang w:val="en-US" w:eastAsia="zh-CN"/>
        </w:rPr>
        <w:t>收入的增加</w:t>
      </w:r>
      <w:r>
        <w:rPr>
          <w:rFonts w:hint="eastAsia" w:asciiTheme="minorEastAsia" w:hAnsiTheme="minorEastAsia" w:eastAsiaTheme="minorEastAsia" w:cstheme="minorEastAsia"/>
          <w:sz w:val="28"/>
          <w:szCs w:val="28"/>
          <w:highlight w:val="none"/>
          <w:lang w:eastAsia="zh-CN"/>
        </w:rPr>
        <w:t>如</w:t>
      </w:r>
      <w:r>
        <w:rPr>
          <w:rFonts w:hint="eastAsia" w:asciiTheme="minorEastAsia" w:hAnsiTheme="minorEastAsia" w:eastAsiaTheme="minorEastAsia" w:cstheme="minorEastAsia"/>
          <w:sz w:val="28"/>
          <w:szCs w:val="28"/>
          <w:lang w:val="en-US" w:eastAsia="zh-CN"/>
        </w:rPr>
        <w:t>武平镇雪玉山乡村戏台建设、乡镇健身广场项目、冷玉山旅游新村绿化工程款、百集山村健身步道升级改造项目资金、</w:t>
      </w:r>
      <w:r>
        <w:rPr>
          <w:rFonts w:hint="eastAsia" w:asciiTheme="minorEastAsia" w:hAnsiTheme="minorEastAsia" w:eastAsiaTheme="minorEastAsia" w:cstheme="minorEastAsia"/>
          <w:sz w:val="28"/>
          <w:szCs w:val="28"/>
          <w:lang w:eastAsia="zh-CN"/>
        </w:rPr>
        <w:t>低收入脱贫人口到户产业和防旱抗旱救灾补助资金、新农人培育提升项目、丧葬抚恤费、丰彭二级路永久征地补偿费、自然灾害资金、乡村旅游基础设施配套项目工程</w:t>
      </w:r>
      <w:r>
        <w:rPr>
          <w:rFonts w:hint="eastAsia" w:asciiTheme="minorEastAsia" w:hAnsiTheme="minorEastAsia" w:eastAsiaTheme="minorEastAsia" w:cstheme="minorEastAsia"/>
          <w:sz w:val="28"/>
          <w:szCs w:val="28"/>
          <w:lang w:val="en-US" w:eastAsia="zh-CN"/>
        </w:rPr>
        <w:t>以及53名职工工资及五险一金基数的增长导致人员经费增加、新场镇人行道及管网建设、新场镇路灯安装、2023年旧房整治提升资金、2024年蔬菜产业配套设施建设项目民工工资等</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shd w:val="clear" w:color="auto" w:fill="FFFFFF"/>
        </w:rPr>
        <w:t>其中：财政拨款收入4061.84万元，占100.0%；事业收入0.00万元，占0.0%；经营收入0.00万元，占0.0%；其他收入0.00万元，占0.0%。此外，使用非财政拨款结余（含专用结余）0.00万元，年初结转和结余0.00万元。</w:t>
      </w:r>
    </w:p>
    <w:p w14:paraId="1EF13961">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2" w:firstLineChars="200"/>
        <w:jc w:val="both"/>
        <w:rPr>
          <w:rFonts w:hint="eastAsia" w:asciiTheme="minorEastAsia" w:hAnsiTheme="minorEastAsia" w:eastAsiaTheme="minorEastAsia" w:cstheme="minorEastAsia"/>
          <w:sz w:val="28"/>
          <w:szCs w:val="28"/>
          <w:shd w:val="clear" w:color="auto" w:fill="FFFFFF"/>
        </w:rPr>
      </w:pPr>
      <w:r>
        <w:rPr>
          <w:rStyle w:val="10"/>
          <w:rFonts w:hint="eastAsia" w:asciiTheme="minorEastAsia" w:hAnsiTheme="minorEastAsia" w:eastAsiaTheme="minorEastAsia" w:cstheme="minorEastAsia"/>
          <w:sz w:val="28"/>
          <w:szCs w:val="28"/>
          <w:shd w:val="clear" w:color="auto" w:fill="FFFFFF"/>
          <w:lang w:val="en-US" w:eastAsia="zh-CN"/>
        </w:rPr>
        <w:t>2</w:t>
      </w:r>
      <w:r>
        <w:rPr>
          <w:rStyle w:val="10"/>
          <w:rFonts w:hint="eastAsia" w:asciiTheme="minorEastAsia" w:hAnsiTheme="minorEastAsia" w:eastAsiaTheme="minorEastAsia" w:cstheme="minorEastAsia"/>
          <w:sz w:val="28"/>
          <w:szCs w:val="28"/>
          <w:shd w:val="clear" w:color="auto" w:fill="FFFFFF"/>
        </w:rPr>
        <w:t>.支出情况。</w:t>
      </w:r>
      <w:r>
        <w:rPr>
          <w:rFonts w:hint="eastAsia" w:asciiTheme="minorEastAsia" w:hAnsiTheme="minorEastAsia" w:eastAsiaTheme="minorEastAsia" w:cstheme="minorEastAsia"/>
          <w:sz w:val="28"/>
          <w:szCs w:val="28"/>
          <w:shd w:val="clear" w:color="auto" w:fill="FFFFFF"/>
        </w:rPr>
        <w:t>2024年度支出合计4061.84万元，与2023年度相比，</w:t>
      </w:r>
      <w:bookmarkStart w:id="0" w:name="_GoBack"/>
      <w:bookmarkEnd w:id="0"/>
      <w:r>
        <w:rPr>
          <w:rFonts w:hint="eastAsia" w:asciiTheme="minorEastAsia" w:hAnsiTheme="minorEastAsia" w:eastAsiaTheme="minorEastAsia" w:cstheme="minorEastAsia"/>
          <w:sz w:val="28"/>
          <w:szCs w:val="28"/>
          <w:shd w:val="clear" w:color="auto" w:fill="FFFFFF"/>
        </w:rPr>
        <w:t>增加727.36万元，增长21.8%，主要原因是</w:t>
      </w:r>
      <w:r>
        <w:rPr>
          <w:rFonts w:hint="eastAsia" w:asciiTheme="minorEastAsia" w:hAnsiTheme="minorEastAsia" w:eastAsiaTheme="minorEastAsia" w:cstheme="minorEastAsia"/>
          <w:sz w:val="28"/>
          <w:szCs w:val="28"/>
          <w:highlight w:val="none"/>
          <w:lang w:eastAsia="zh-CN"/>
        </w:rPr>
        <w:t>本年上级专款项目</w:t>
      </w:r>
      <w:r>
        <w:rPr>
          <w:rFonts w:hint="eastAsia" w:asciiTheme="minorEastAsia" w:hAnsiTheme="minorEastAsia" w:eastAsiaTheme="minorEastAsia" w:cstheme="minorEastAsia"/>
          <w:sz w:val="28"/>
          <w:szCs w:val="28"/>
          <w:highlight w:val="none"/>
          <w:lang w:val="en-US" w:eastAsia="zh-CN"/>
        </w:rPr>
        <w:t>支出的增加如</w:t>
      </w:r>
      <w:r>
        <w:rPr>
          <w:rFonts w:hint="eastAsia" w:asciiTheme="minorEastAsia" w:hAnsiTheme="minorEastAsia" w:eastAsiaTheme="minorEastAsia" w:cstheme="minorEastAsia"/>
          <w:sz w:val="28"/>
          <w:szCs w:val="28"/>
          <w:lang w:val="en-US" w:eastAsia="zh-CN"/>
        </w:rPr>
        <w:t>冷玉山旅游新村绿化工程款、百集山村健身步道升级改造项目、</w:t>
      </w:r>
      <w:r>
        <w:rPr>
          <w:rFonts w:hint="eastAsia" w:asciiTheme="minorEastAsia" w:hAnsiTheme="minorEastAsia" w:eastAsiaTheme="minorEastAsia" w:cstheme="minorEastAsia"/>
          <w:sz w:val="28"/>
          <w:szCs w:val="28"/>
          <w:lang w:eastAsia="zh-CN"/>
        </w:rPr>
        <w:t>低收入脱贫人口到户产业和防旱抗旱救灾补助资金、新农人培育提升项目资金、丧葬抚恤费、丰彭二级路永久征地补偿费、自然灾害资金以及</w:t>
      </w:r>
      <w:r>
        <w:rPr>
          <w:rFonts w:hint="eastAsia" w:asciiTheme="minorEastAsia" w:hAnsiTheme="minorEastAsia" w:eastAsiaTheme="minorEastAsia" w:cstheme="minorEastAsia"/>
          <w:sz w:val="28"/>
          <w:szCs w:val="28"/>
          <w:lang w:val="en-US" w:eastAsia="zh-CN"/>
        </w:rPr>
        <w:t>53名职工工资及五险一金基数的增长导致人员经费增加、新场镇人行道及管网建设、2023年旧房整治提升资金、2024年蔬菜产业配套设施建设项目民工工资等</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shd w:val="clear" w:color="auto" w:fill="FFFFFF"/>
        </w:rPr>
        <w:t>其中：基本支出1739.60万元，占42.8%；项目支出2322.24万元，占57.2%；经营支出</w:t>
      </w:r>
      <w:r>
        <w:rPr>
          <w:rFonts w:hint="eastAsia" w:asciiTheme="minorEastAsia" w:hAnsiTheme="minorEastAsia" w:eastAsiaTheme="minorEastAsia" w:cstheme="minorEastAsia"/>
          <w:sz w:val="28"/>
          <w:szCs w:val="28"/>
        </w:rPr>
        <w:t>0.00</w:t>
      </w:r>
      <w:r>
        <w:rPr>
          <w:rFonts w:hint="eastAsia" w:asciiTheme="minorEastAsia" w:hAnsiTheme="minorEastAsia" w:eastAsiaTheme="minorEastAsia" w:cstheme="minorEastAsia"/>
          <w:sz w:val="28"/>
          <w:szCs w:val="28"/>
          <w:shd w:val="clear" w:color="auto" w:fill="FFFFFF"/>
        </w:rPr>
        <w:t>万元，占0.0%。此外，结余分配0.00万元。</w:t>
      </w:r>
    </w:p>
    <w:p w14:paraId="7757A912">
      <w:pPr>
        <w:pStyle w:val="17"/>
        <w:keepNext w:val="0"/>
        <w:keepLines w:val="0"/>
        <w:pageBreakBefore w:val="0"/>
        <w:kinsoku/>
        <w:overflowPunct/>
        <w:topLinePunct w:val="0"/>
        <w:autoSpaceDN/>
        <w:bidi w:val="0"/>
        <w:adjustRightInd/>
        <w:spacing w:line="600" w:lineRule="exact"/>
        <w:ind w:left="0" w:right="0" w:rightChars="0" w:firstLine="562" w:firstLineChars="200"/>
        <w:rPr>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shd w:val="clear" w:color="auto" w:fill="FFFFFF"/>
          <w:lang w:val="en-US" w:eastAsia="zh-CN"/>
        </w:rPr>
        <w:t>3</w:t>
      </w:r>
      <w:r>
        <w:rPr>
          <w:rStyle w:val="10"/>
          <w:rFonts w:hint="eastAsia" w:asciiTheme="minorEastAsia" w:hAnsiTheme="minorEastAsia" w:eastAsiaTheme="minorEastAsia" w:cstheme="minorEastAsia"/>
          <w:sz w:val="28"/>
          <w:szCs w:val="28"/>
          <w:shd w:val="clear" w:color="auto" w:fill="FFFFFF"/>
        </w:rPr>
        <w:t>.结转结余情况。</w:t>
      </w:r>
      <w:r>
        <w:rPr>
          <w:rFonts w:hint="eastAsia" w:asciiTheme="minorEastAsia" w:hAnsiTheme="minorEastAsia" w:eastAsiaTheme="minorEastAsia" w:cstheme="minorEastAsia"/>
          <w:sz w:val="28"/>
          <w:szCs w:val="28"/>
          <w:shd w:val="clear" w:color="auto" w:fill="FFFFFF"/>
        </w:rPr>
        <w:t>2024年度年末结转和结余0.00万元，与2023年度相比，减少1.20万元，下降100.0%，主要原因是</w:t>
      </w:r>
      <w:r>
        <w:rPr>
          <w:rFonts w:hint="eastAsia" w:asciiTheme="minorEastAsia" w:hAnsiTheme="minorEastAsia" w:eastAsiaTheme="minorEastAsia" w:cstheme="minorEastAsia"/>
          <w:sz w:val="28"/>
          <w:szCs w:val="28"/>
          <w:highlight w:val="none"/>
          <w:lang w:val="en-US" w:eastAsia="zh-CN"/>
        </w:rPr>
        <w:t>上年</w:t>
      </w:r>
      <w:r>
        <w:rPr>
          <w:rFonts w:hint="eastAsia" w:asciiTheme="minorEastAsia" w:hAnsiTheme="minorEastAsia" w:eastAsiaTheme="minorEastAsia" w:cstheme="minorEastAsia"/>
          <w:sz w:val="28"/>
          <w:szCs w:val="28"/>
        </w:rPr>
        <w:t>财政拨款结转项目支出结转</w:t>
      </w:r>
      <w:r>
        <w:rPr>
          <w:rFonts w:hint="eastAsia" w:asciiTheme="minorEastAsia" w:hAnsiTheme="minorEastAsia" w:eastAsiaTheme="minorEastAsia" w:cstheme="minorEastAsia"/>
          <w:sz w:val="28"/>
          <w:szCs w:val="28"/>
          <w:lang w:val="en-US" w:eastAsia="zh-CN"/>
        </w:rPr>
        <w:t>1.2万</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一般公共预算财政拨款因为2022年年末支付失败导致有</w:t>
      </w:r>
      <w:r>
        <w:rPr>
          <w:rFonts w:hint="eastAsia" w:asciiTheme="minorEastAsia" w:hAnsiTheme="minorEastAsia" w:eastAsiaTheme="minorEastAsia" w:cstheme="minorEastAsia"/>
          <w:sz w:val="28"/>
          <w:szCs w:val="28"/>
          <w:lang w:val="en-US" w:eastAsia="zh-CN"/>
        </w:rPr>
        <w:t>1.2万</w:t>
      </w:r>
      <w:r>
        <w:rPr>
          <w:rFonts w:hint="eastAsia" w:asciiTheme="minorEastAsia" w:hAnsiTheme="minorEastAsia" w:eastAsiaTheme="minorEastAsia" w:cstheme="minorEastAsia"/>
          <w:sz w:val="28"/>
          <w:szCs w:val="28"/>
        </w:rPr>
        <w:t>元的退款，而退款退回时间是在决算取数之后，导致决算系统结转结余有项目结转</w:t>
      </w:r>
      <w:r>
        <w:rPr>
          <w:rFonts w:hint="eastAsia" w:asciiTheme="minorEastAsia" w:hAnsiTheme="minorEastAsia" w:eastAsiaTheme="minorEastAsia" w:cstheme="minorEastAsia"/>
          <w:sz w:val="28"/>
          <w:szCs w:val="28"/>
          <w:lang w:val="en-US" w:eastAsia="zh-CN"/>
        </w:rPr>
        <w:t>1.2万</w:t>
      </w:r>
      <w:r>
        <w:rPr>
          <w:rFonts w:hint="eastAsia" w:asciiTheme="minorEastAsia" w:hAnsiTheme="minorEastAsia" w:eastAsiaTheme="minorEastAsia" w:cstheme="minorEastAsia"/>
          <w:sz w:val="28"/>
          <w:szCs w:val="28"/>
        </w:rPr>
        <w:t>元，而退回款项已被收回至财政，账上没有这笔款项的结余，今年决算进行差错更正。</w:t>
      </w:r>
    </w:p>
    <w:p w14:paraId="6DA86427">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（二）财政拨款收入支出决算总体情况说明</w:t>
      </w:r>
    </w:p>
    <w:p w14:paraId="69014369">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2024年度财政拨款收、支总计均为4061.84万元。与2023年</w:t>
      </w:r>
      <w:r>
        <w:rPr>
          <w:rFonts w:hint="eastAsia" w:asciiTheme="minorEastAsia" w:hAnsiTheme="minorEastAsia" w:eastAsiaTheme="minorEastAsia" w:cstheme="minorEastAsia"/>
          <w:sz w:val="28"/>
          <w:szCs w:val="28"/>
          <w:shd w:val="clear" w:color="auto" w:fill="FFFFFF"/>
          <w:lang w:eastAsia="zh-CN"/>
        </w:rPr>
        <w:t>度</w:t>
      </w:r>
      <w:r>
        <w:rPr>
          <w:rFonts w:hint="eastAsia" w:asciiTheme="minorEastAsia" w:hAnsiTheme="minorEastAsia" w:eastAsiaTheme="minorEastAsia" w:cstheme="minorEastAsia"/>
          <w:sz w:val="28"/>
          <w:szCs w:val="28"/>
          <w:shd w:val="clear" w:color="auto" w:fill="FFFFFF"/>
        </w:rPr>
        <w:t>相比，财政拨款收、支总计各增加726.16万元，增长21.8%。主要原因是</w:t>
      </w:r>
      <w:r>
        <w:rPr>
          <w:rFonts w:hint="eastAsia" w:asciiTheme="minorEastAsia" w:hAnsiTheme="minorEastAsia" w:eastAsiaTheme="minorEastAsia" w:cstheme="minorEastAsia"/>
          <w:sz w:val="28"/>
          <w:szCs w:val="28"/>
          <w:highlight w:val="none"/>
          <w:lang w:eastAsia="zh-CN"/>
        </w:rPr>
        <w:t>本年上级专款项目</w:t>
      </w:r>
      <w:r>
        <w:rPr>
          <w:rFonts w:hint="eastAsia" w:asciiTheme="minorEastAsia" w:hAnsiTheme="minorEastAsia" w:eastAsiaTheme="minorEastAsia" w:cstheme="minorEastAsia"/>
          <w:sz w:val="28"/>
          <w:szCs w:val="28"/>
          <w:highlight w:val="none"/>
          <w:lang w:val="en-US" w:eastAsia="zh-CN"/>
        </w:rPr>
        <w:t>支出的增加如</w:t>
      </w:r>
      <w:r>
        <w:rPr>
          <w:rFonts w:hint="eastAsia" w:asciiTheme="minorEastAsia" w:hAnsiTheme="minorEastAsia" w:eastAsiaTheme="minorEastAsia" w:cstheme="minorEastAsia"/>
          <w:sz w:val="28"/>
          <w:szCs w:val="28"/>
          <w:lang w:val="en-US" w:eastAsia="zh-CN"/>
        </w:rPr>
        <w:t>冷玉山旅游新村绿化工程款、百集山村健身步道升级改造项目资金、</w:t>
      </w:r>
      <w:r>
        <w:rPr>
          <w:rFonts w:hint="eastAsia" w:asciiTheme="minorEastAsia" w:hAnsiTheme="minorEastAsia" w:eastAsiaTheme="minorEastAsia" w:cstheme="minorEastAsia"/>
          <w:sz w:val="28"/>
          <w:szCs w:val="28"/>
          <w:lang w:eastAsia="zh-CN"/>
        </w:rPr>
        <w:t>低收入脱贫人口到户产业和防旱抗旱救灾补助资金、新农人培育提升项目资金、丧葬抚恤费、丰彭二级路永久征地补偿费、自然灾害资金以及</w:t>
      </w:r>
      <w:r>
        <w:rPr>
          <w:rFonts w:hint="eastAsia" w:asciiTheme="minorEastAsia" w:hAnsiTheme="minorEastAsia" w:eastAsiaTheme="minorEastAsia" w:cstheme="minorEastAsia"/>
          <w:sz w:val="28"/>
          <w:szCs w:val="28"/>
          <w:lang w:val="en-US" w:eastAsia="zh-CN"/>
        </w:rPr>
        <w:t>53名职工工资及五险一金基数的增长导致人员经费增加、新场镇人行道及管网建设、2023年旧房整治提升资金、2024年蔬菜产业配套设施建设项目民工工资等</w:t>
      </w:r>
      <w:r>
        <w:rPr>
          <w:rFonts w:hint="eastAsia" w:asciiTheme="minorEastAsia" w:hAnsiTheme="minorEastAsia" w:eastAsiaTheme="minorEastAsia" w:cstheme="minorEastAsia"/>
          <w:sz w:val="28"/>
          <w:szCs w:val="28"/>
          <w:highlight w:val="none"/>
          <w:lang w:eastAsia="zh-CN"/>
        </w:rPr>
        <w:t>。</w:t>
      </w:r>
    </w:p>
    <w:p w14:paraId="494463CD">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（三）一般公共预算财政拨款收入支出决算情况说明</w:t>
      </w:r>
    </w:p>
    <w:p w14:paraId="26B0BF3C">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2" w:firstLineChars="200"/>
        <w:jc w:val="both"/>
        <w:rPr>
          <w:rFonts w:hint="eastAsia" w:asciiTheme="minorEastAsia" w:hAnsiTheme="minorEastAsia" w:eastAsiaTheme="minorEastAsia" w:cstheme="minorEastAsia"/>
          <w:color w:val="auto"/>
          <w:sz w:val="28"/>
          <w:szCs w:val="28"/>
        </w:rPr>
      </w:pPr>
      <w:r>
        <w:rPr>
          <w:rStyle w:val="10"/>
          <w:rFonts w:hint="eastAsia" w:asciiTheme="minorEastAsia" w:hAnsiTheme="minorEastAsia" w:eastAsiaTheme="minorEastAsia" w:cstheme="minorEastAsia"/>
          <w:sz w:val="28"/>
          <w:szCs w:val="28"/>
          <w:shd w:val="clear" w:color="auto" w:fill="FFFFFF"/>
        </w:rPr>
        <w:t>1.收入情况。</w:t>
      </w:r>
      <w:r>
        <w:rPr>
          <w:rFonts w:hint="eastAsia" w:asciiTheme="minorEastAsia" w:hAnsiTheme="minorEastAsia" w:eastAsiaTheme="minorEastAsia" w:cstheme="minorEastAsia"/>
          <w:color w:val="auto"/>
          <w:sz w:val="28"/>
          <w:szCs w:val="28"/>
          <w:shd w:val="clear" w:color="auto" w:fill="FFFFFF"/>
        </w:rPr>
        <w:t>2024年度一般公共预算财政拨款收入3895.48万元，与2023年度相比，增加691.13万元，增长21.6%。主要原因是</w:t>
      </w:r>
      <w:r>
        <w:rPr>
          <w:rFonts w:hint="eastAsia" w:asciiTheme="minorEastAsia" w:hAnsiTheme="minorEastAsia" w:eastAsiaTheme="minorEastAsia" w:cstheme="minorEastAsia"/>
          <w:color w:val="auto"/>
          <w:sz w:val="28"/>
          <w:szCs w:val="28"/>
          <w:highlight w:val="none"/>
          <w:lang w:eastAsia="zh-CN"/>
        </w:rPr>
        <w:t>本年上级专款项目</w:t>
      </w:r>
      <w:r>
        <w:rPr>
          <w:rFonts w:hint="eastAsia" w:asciiTheme="minorEastAsia" w:hAnsiTheme="minorEastAsia" w:eastAsiaTheme="minorEastAsia" w:cstheme="minorEastAsia"/>
          <w:color w:val="auto"/>
          <w:sz w:val="28"/>
          <w:szCs w:val="28"/>
          <w:highlight w:val="none"/>
          <w:lang w:val="en-US" w:eastAsia="zh-CN"/>
        </w:rPr>
        <w:t>收入的增加</w:t>
      </w:r>
      <w:r>
        <w:rPr>
          <w:rFonts w:hint="eastAsia" w:asciiTheme="minorEastAsia" w:hAnsiTheme="minorEastAsia" w:eastAsiaTheme="minorEastAsia" w:cstheme="minorEastAsia"/>
          <w:color w:val="auto"/>
          <w:sz w:val="28"/>
          <w:szCs w:val="28"/>
          <w:highlight w:val="none"/>
          <w:lang w:eastAsia="zh-CN"/>
        </w:rPr>
        <w:t>如</w:t>
      </w:r>
      <w:r>
        <w:rPr>
          <w:rFonts w:hint="eastAsia" w:asciiTheme="minorEastAsia" w:hAnsiTheme="minorEastAsia" w:eastAsiaTheme="minorEastAsia" w:cstheme="minorEastAsia"/>
          <w:color w:val="auto"/>
          <w:sz w:val="28"/>
          <w:szCs w:val="28"/>
          <w:lang w:val="en-US" w:eastAsia="zh-CN"/>
        </w:rPr>
        <w:t>武平镇雪玉山乡村戏台建设、乡镇健身广场项目，冷玉山旅游新村绿化工程、</w:t>
      </w:r>
      <w:r>
        <w:rPr>
          <w:rFonts w:hint="eastAsia" w:asciiTheme="minorEastAsia" w:hAnsiTheme="minorEastAsia" w:eastAsiaTheme="minorEastAsia" w:cstheme="minorEastAsia"/>
          <w:color w:val="auto"/>
          <w:sz w:val="28"/>
          <w:szCs w:val="28"/>
          <w:lang w:eastAsia="zh-CN"/>
        </w:rPr>
        <w:t>低收入脱贫人口到户产业和防旱抗旱救灾补助资金、新农人培育提升项目资金、丧葬抚恤费、自然灾害资金、乡村旅游基础设施配套项目工程款</w:t>
      </w:r>
      <w:r>
        <w:rPr>
          <w:rFonts w:hint="eastAsia" w:asciiTheme="minorEastAsia" w:hAnsiTheme="minorEastAsia" w:eastAsiaTheme="minorEastAsia" w:cstheme="minorEastAsia"/>
          <w:color w:val="auto"/>
          <w:sz w:val="28"/>
          <w:szCs w:val="28"/>
          <w:lang w:val="en-US" w:eastAsia="zh-CN"/>
        </w:rPr>
        <w:t>以及53名职工工资及五险一金基数的增长导致人员经费增加、新场镇人行道及管网建设、新场镇路灯安装、2023年旧房整治提升资金、2024年蔬菜产业配套设施建设项目民工工资等。</w:t>
      </w:r>
      <w:r>
        <w:rPr>
          <w:rFonts w:hint="eastAsia" w:asciiTheme="minorEastAsia" w:hAnsiTheme="minorEastAsia" w:eastAsiaTheme="minorEastAsia" w:cstheme="minorEastAsia"/>
          <w:color w:val="auto"/>
          <w:sz w:val="28"/>
          <w:szCs w:val="28"/>
          <w:shd w:val="clear" w:color="auto" w:fill="FFFFFF"/>
        </w:rPr>
        <w:t>较年初预算数增加1775.40万元，增长83.7%。主要原因是</w:t>
      </w:r>
      <w:r>
        <w:rPr>
          <w:rFonts w:hint="eastAsia" w:asciiTheme="minorEastAsia" w:hAnsiTheme="minorEastAsia" w:eastAsiaTheme="minorEastAsia" w:cstheme="minorEastAsia"/>
          <w:color w:val="auto"/>
          <w:sz w:val="28"/>
          <w:szCs w:val="28"/>
          <w:shd w:val="clear" w:color="auto" w:fill="FFFFFF"/>
          <w:lang w:eastAsia="zh-CN"/>
        </w:rPr>
        <w:t>年初预算后年中新增专项项目资金：武平镇2023年农村公路安防工程款</w:t>
      </w:r>
      <w:r>
        <w:rPr>
          <w:rFonts w:hint="eastAsia" w:asciiTheme="minorEastAsia" w:hAnsiTheme="minorEastAsia" w:eastAsiaTheme="minorEastAsia" w:cstheme="minorEastAsia"/>
          <w:color w:val="auto"/>
          <w:sz w:val="28"/>
          <w:szCs w:val="28"/>
          <w:shd w:val="clear" w:color="auto" w:fill="FFFFFF"/>
          <w:lang w:val="en-US" w:eastAsia="zh-CN"/>
        </w:rPr>
        <w:t>、武平镇通塘湾撤并村道路建设计划工程款、烟农户产后补贴、武平镇新老场镇护岸新建项目工程款、支低收入脱贫人口到户产业和防旱抗旱救灾补助资金、武平镇2022年营造林改造项目款、铁门坎至土鱼溪联网公路改建工程计划工程款、各村（社区）食品药品安全协管员补助经费、武平镇2020年道路扩宽项目工程款、武平镇社区养老服务中心（站）建设项目、2024年武平镇农村公共厕所、2024年新农人培育提升项目补助资金、武平镇2023年旧房整治提升项目资金、2023年中央自然灾害救灾补助资金、城镇C、D级危房搬离整治项目款、雪玉山公路油化工程建设计划工程款、雪玉山乡村戏台建设项目工程款、雪玉山健身广场建设工程款、武平镇万亩优质油茶配套项目、2024年蔬菜产业配套设施建设项目、撂荒耕地核查和盘活利用项目、武平镇新场镇人行道石板铺装工程款、武平镇新场镇人行道及管网建设、武平镇新场镇路灯安装、武平镇2023年农村公路安防工程款、武平镇冷玉山旅游新村绿化工程款、油茶产业基础设施配套以工代赈项目民工工资。</w:t>
      </w:r>
      <w:r>
        <w:rPr>
          <w:rFonts w:hint="eastAsia" w:asciiTheme="minorEastAsia" w:hAnsiTheme="minorEastAsia" w:eastAsiaTheme="minorEastAsia" w:cstheme="minorEastAsia"/>
          <w:color w:val="auto"/>
          <w:sz w:val="28"/>
          <w:szCs w:val="28"/>
          <w:shd w:val="clear" w:color="auto" w:fill="FFFFFF"/>
        </w:rPr>
        <w:t>此外，年初财政拨款结转和结余0.00万元。</w:t>
      </w:r>
    </w:p>
    <w:p w14:paraId="70CE23E4">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2" w:firstLineChars="200"/>
        <w:jc w:val="both"/>
        <w:rPr>
          <w:rFonts w:hint="eastAsia" w:asciiTheme="minorEastAsia" w:hAnsiTheme="minorEastAsia" w:eastAsiaTheme="minorEastAsia" w:cstheme="minorEastAsia"/>
          <w:color w:val="auto"/>
          <w:sz w:val="28"/>
          <w:szCs w:val="28"/>
          <w:shd w:val="clear" w:color="auto" w:fill="FFFFFF"/>
        </w:rPr>
      </w:pPr>
      <w:r>
        <w:rPr>
          <w:rStyle w:val="10"/>
          <w:rFonts w:hint="eastAsia" w:asciiTheme="minorEastAsia" w:hAnsiTheme="minorEastAsia" w:eastAsiaTheme="minorEastAsia" w:cstheme="minorEastAsia"/>
          <w:color w:val="auto"/>
          <w:sz w:val="28"/>
          <w:szCs w:val="28"/>
          <w:shd w:val="clear" w:color="auto" w:fill="FFFFFF"/>
        </w:rPr>
        <w:t>2.支出情况。</w:t>
      </w:r>
      <w:r>
        <w:rPr>
          <w:rFonts w:hint="eastAsia" w:asciiTheme="minorEastAsia" w:hAnsiTheme="minorEastAsia" w:eastAsiaTheme="minorEastAsia" w:cstheme="minorEastAsia"/>
          <w:color w:val="auto"/>
          <w:sz w:val="28"/>
          <w:szCs w:val="28"/>
          <w:shd w:val="clear" w:color="auto" w:fill="FFFFFF"/>
        </w:rPr>
        <w:t>2024年度一般公共预算财政拨款支出3895.48万元，与2023年度相比，增加590.92万元，增长17.9%。主要原因是</w:t>
      </w:r>
      <w:r>
        <w:rPr>
          <w:rFonts w:hint="eastAsia" w:asciiTheme="minorEastAsia" w:hAnsiTheme="minorEastAsia" w:eastAsiaTheme="minorEastAsia" w:cstheme="minorEastAsia"/>
          <w:color w:val="auto"/>
          <w:sz w:val="28"/>
          <w:szCs w:val="28"/>
          <w:highlight w:val="none"/>
          <w:lang w:eastAsia="zh-CN"/>
        </w:rPr>
        <w:t>本年上级专款项目</w:t>
      </w:r>
      <w:r>
        <w:rPr>
          <w:rFonts w:hint="eastAsia" w:asciiTheme="minorEastAsia" w:hAnsiTheme="minorEastAsia" w:eastAsiaTheme="minorEastAsia" w:cstheme="minorEastAsia"/>
          <w:color w:val="auto"/>
          <w:sz w:val="28"/>
          <w:szCs w:val="28"/>
          <w:highlight w:val="none"/>
          <w:lang w:val="en-US" w:eastAsia="zh-CN"/>
        </w:rPr>
        <w:t>支出的增加</w:t>
      </w:r>
      <w:r>
        <w:rPr>
          <w:rFonts w:hint="eastAsia" w:asciiTheme="minorEastAsia" w:hAnsiTheme="minorEastAsia" w:eastAsiaTheme="minorEastAsia" w:cstheme="minorEastAsia"/>
          <w:color w:val="auto"/>
          <w:sz w:val="28"/>
          <w:szCs w:val="28"/>
          <w:highlight w:val="none"/>
          <w:lang w:eastAsia="zh-CN"/>
        </w:rPr>
        <w:t>如</w:t>
      </w:r>
      <w:r>
        <w:rPr>
          <w:rFonts w:hint="eastAsia" w:asciiTheme="minorEastAsia" w:hAnsiTheme="minorEastAsia" w:eastAsiaTheme="minorEastAsia" w:cstheme="minorEastAsia"/>
          <w:color w:val="auto"/>
          <w:sz w:val="28"/>
          <w:szCs w:val="28"/>
          <w:lang w:val="en-US" w:eastAsia="zh-CN"/>
        </w:rPr>
        <w:t>冷玉山旅游新村绿化工程款，</w:t>
      </w:r>
      <w:r>
        <w:rPr>
          <w:rFonts w:hint="eastAsia" w:asciiTheme="minorEastAsia" w:hAnsiTheme="minorEastAsia" w:eastAsiaTheme="minorEastAsia" w:cstheme="minorEastAsia"/>
          <w:color w:val="auto"/>
          <w:sz w:val="28"/>
          <w:szCs w:val="28"/>
          <w:lang w:eastAsia="zh-CN"/>
        </w:rPr>
        <w:t>低收入脱贫人口到户产业和防旱抗旱救灾补助资金、新农人培育提升项目资金、丧葬抚恤费、乡村旅游基础设施配套项目工程款</w:t>
      </w:r>
      <w:r>
        <w:rPr>
          <w:rFonts w:hint="eastAsia" w:asciiTheme="minorEastAsia" w:hAnsiTheme="minorEastAsia" w:eastAsiaTheme="minorEastAsia" w:cstheme="minorEastAsia"/>
          <w:color w:val="auto"/>
          <w:sz w:val="28"/>
          <w:szCs w:val="28"/>
          <w:lang w:val="en-US" w:eastAsia="zh-CN"/>
        </w:rPr>
        <w:t>以及53名职工工资及五险一金基数的增长导致人员经费增加、新场镇人行道及管网建设、2023年旧房整治提升资金、2024年蔬菜产业配套设施建设项目民工工资等。</w:t>
      </w:r>
      <w:r>
        <w:rPr>
          <w:rFonts w:hint="eastAsia" w:asciiTheme="minorEastAsia" w:hAnsiTheme="minorEastAsia" w:eastAsiaTheme="minorEastAsia" w:cstheme="minorEastAsia"/>
          <w:color w:val="auto"/>
          <w:sz w:val="28"/>
          <w:szCs w:val="28"/>
          <w:shd w:val="clear" w:color="auto" w:fill="FFFFFF"/>
        </w:rPr>
        <w:t>较年初预算数增加1775.40万元，增长83.7%。主要原因是主要原因是</w:t>
      </w:r>
      <w:r>
        <w:rPr>
          <w:rFonts w:hint="eastAsia" w:asciiTheme="minorEastAsia" w:hAnsiTheme="minorEastAsia" w:eastAsiaTheme="minorEastAsia" w:cstheme="minorEastAsia"/>
          <w:color w:val="auto"/>
          <w:sz w:val="28"/>
          <w:szCs w:val="28"/>
          <w:shd w:val="clear" w:color="auto" w:fill="FFFFFF"/>
          <w:lang w:eastAsia="zh-CN"/>
        </w:rPr>
        <w:t>年初预算后年中新增专项项目资金：武平镇2023年农村公路安防工程款</w:t>
      </w:r>
      <w:r>
        <w:rPr>
          <w:rFonts w:hint="eastAsia" w:asciiTheme="minorEastAsia" w:hAnsiTheme="minorEastAsia" w:eastAsiaTheme="minorEastAsia" w:cstheme="minorEastAsia"/>
          <w:color w:val="auto"/>
          <w:sz w:val="28"/>
          <w:szCs w:val="28"/>
          <w:shd w:val="clear" w:color="auto" w:fill="FFFFFF"/>
          <w:lang w:val="en-US" w:eastAsia="zh-CN"/>
        </w:rPr>
        <w:t>、武平镇通塘湾撤并村道路建设计划工程款、烟农户产后补贴、武平镇新老场镇护岸新建项目工程款、支低收入脱贫人口到户产业和防旱抗旱救灾补助资金、武平镇2022年营造林改造项目款、铁门坎至土鱼溪联网公路改建工程计划工程款、各村（社区）食品药品安全协管员补助经费、武平镇2020年道路扩宽项目工程款、武平镇社区养老服务中心（站）建设项目、2024年武平镇农村公共厕所、2024年新农人培育提升项目补助资金、武平镇2023年旧房整治提升项目资金、2023年中央自然灾害救灾补助资金、城镇C、D级危房搬离整治项目款、雪玉山公路油化工程建设计划工程款、雪玉山乡村戏台建设项目工程款、雪玉山健身广场建设工程款、武平镇万亩优质油茶配套项目、2024年蔬菜产业配套设施建设项目、撂荒耕地核查和盘活利用项目、武平镇新场镇人行道石板铺装工程款、武平镇新场镇人行道及管网建设、武平镇新场镇路灯安装、武平镇2023年农村公路安防工程款、武平镇冷玉山旅游新村绿化工程款、油茶产业基础设施配套以工代赈项目民工工资。</w:t>
      </w:r>
    </w:p>
    <w:p w14:paraId="7E0694E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right="0" w:rightChars="0" w:firstLine="560" w:firstLineChars="200"/>
        <w:jc w:val="both"/>
        <w:textAlignment w:val="auto"/>
        <w:rPr>
          <w:rFonts w:hint="eastAsia" w:asciiTheme="minorEastAsia" w:hAnsiTheme="minorEastAsia" w:eastAsiaTheme="minorEastAsia" w:cstheme="minorEastAsia"/>
          <w:sz w:val="28"/>
          <w:szCs w:val="28"/>
          <w:highlight w:val="none"/>
          <w:shd w:val="clear" w:color="auto" w:fill="FFFFFF"/>
        </w:rPr>
      </w:pPr>
      <w:r>
        <w:rPr>
          <w:rFonts w:hint="eastAsia" w:asciiTheme="minorEastAsia" w:hAnsiTheme="minorEastAsia" w:eastAsiaTheme="minorEastAsia" w:cstheme="minorEastAsia"/>
          <w:sz w:val="28"/>
          <w:szCs w:val="28"/>
          <w:highlight w:val="none"/>
          <w:shd w:val="clear" w:color="auto" w:fill="FFFFFF"/>
        </w:rPr>
        <w:t>一般公共预算财政拨款支出主要</w:t>
      </w:r>
      <w:r>
        <w:rPr>
          <w:rFonts w:hint="eastAsia" w:asciiTheme="minorEastAsia" w:hAnsiTheme="minorEastAsia" w:eastAsiaTheme="minorEastAsia" w:cstheme="minorEastAsia"/>
          <w:sz w:val="28"/>
          <w:szCs w:val="28"/>
          <w:highlight w:val="none"/>
          <w:shd w:val="clear" w:color="auto" w:fill="FFFFFF"/>
          <w:lang w:eastAsia="zh-CN"/>
        </w:rPr>
        <w:t>用途如下</w:t>
      </w:r>
      <w:r>
        <w:rPr>
          <w:rFonts w:hint="eastAsia" w:asciiTheme="minorEastAsia" w:hAnsiTheme="minorEastAsia" w:eastAsiaTheme="minorEastAsia" w:cstheme="minorEastAsia"/>
          <w:sz w:val="28"/>
          <w:szCs w:val="28"/>
          <w:highlight w:val="none"/>
          <w:shd w:val="clear" w:color="auto" w:fill="FFFFFF"/>
        </w:rPr>
        <w:t>：</w:t>
      </w:r>
    </w:p>
    <w:p w14:paraId="08714EB5">
      <w:pPr>
        <w:pStyle w:val="6"/>
        <w:keepNext w:val="0"/>
        <w:keepLines w:val="0"/>
        <w:pageBreakBefore w:val="0"/>
        <w:numPr>
          <w:ilvl w:val="0"/>
          <w:numId w:val="0"/>
        </w:numPr>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shd w:val="clear" w:color="auto" w:fill="FFFFFF"/>
        </w:rPr>
        <w:t>（1）一般公共服务支出610.98万元，占15.7%，较年初预算数增加67.01万元，增长12.3%，主要原因是</w:t>
      </w:r>
      <w:r>
        <w:rPr>
          <w:rFonts w:hint="eastAsia" w:asciiTheme="minorEastAsia" w:hAnsiTheme="minorEastAsia" w:eastAsiaTheme="minorEastAsia" w:cstheme="minorEastAsia"/>
          <w:sz w:val="28"/>
          <w:szCs w:val="28"/>
          <w:shd w:val="clear" w:color="auto" w:fill="FFFFFF"/>
          <w:lang w:eastAsia="zh-CN"/>
        </w:rPr>
        <w:t>本年新增</w:t>
      </w:r>
      <w:r>
        <w:rPr>
          <w:rFonts w:hint="eastAsia" w:asciiTheme="minorEastAsia" w:hAnsiTheme="minorEastAsia" w:eastAsiaTheme="minorEastAsia" w:cstheme="minorEastAsia"/>
          <w:sz w:val="28"/>
          <w:szCs w:val="28"/>
          <w:lang w:val="en-US" w:eastAsia="zh-CN"/>
        </w:rPr>
        <w:t>武平镇第五次全国经济普查清查阶段两员补助 、食品药品安全协管员补助经费、24年非公组织党组织工作活动经费等支出。</w:t>
      </w:r>
    </w:p>
    <w:p w14:paraId="254F88CC">
      <w:pPr>
        <w:pStyle w:val="6"/>
        <w:keepNext w:val="0"/>
        <w:keepLines w:val="0"/>
        <w:pageBreakBefore w:val="0"/>
        <w:numPr>
          <w:ilvl w:val="0"/>
          <w:numId w:val="0"/>
        </w:numPr>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2</w:t>
      </w:r>
      <w:r>
        <w:rPr>
          <w:rFonts w:hint="eastAsia" w:asciiTheme="minorEastAsia" w:hAnsiTheme="minorEastAsia" w:eastAsiaTheme="minorEastAsia" w:cstheme="minorEastAsia"/>
          <w:sz w:val="28"/>
          <w:szCs w:val="28"/>
          <w:shd w:val="clear" w:color="auto" w:fill="FFFFFF"/>
        </w:rPr>
        <w:t>）文化旅游体育与传媒支出382.45万元，占9.8%，较年初预算数增加304.91万元，增长393.2%，主要原因</w:t>
      </w:r>
      <w:r>
        <w:rPr>
          <w:rFonts w:hint="eastAsia" w:asciiTheme="minorEastAsia" w:hAnsiTheme="minorEastAsia" w:eastAsiaTheme="minorEastAsia" w:cstheme="minorEastAsia"/>
          <w:sz w:val="28"/>
          <w:szCs w:val="28"/>
          <w:shd w:val="clear" w:color="auto" w:fill="FFFFFF"/>
          <w:lang w:eastAsia="zh-CN"/>
        </w:rPr>
        <w:t>是</w:t>
      </w:r>
      <w:r>
        <w:rPr>
          <w:rFonts w:hint="eastAsia" w:asciiTheme="minorEastAsia" w:hAnsiTheme="minorEastAsia" w:eastAsiaTheme="minorEastAsia" w:cstheme="minorEastAsia"/>
          <w:kern w:val="2"/>
          <w:sz w:val="28"/>
          <w:szCs w:val="28"/>
          <w:lang w:val="en-US" w:eastAsia="zh-CN"/>
        </w:rPr>
        <w:t>年中新增武平镇雪玉山乡村戏台建设项目、乡镇健身广场项目、冷玉山旅游新村绿化工程款以及事业单位清算。</w:t>
      </w:r>
    </w:p>
    <w:p w14:paraId="32FEDE5C">
      <w:pPr>
        <w:pStyle w:val="17"/>
        <w:keepNext w:val="0"/>
        <w:keepLines w:val="0"/>
        <w:pageBreakBefore w:val="0"/>
        <w:kinsoku/>
        <w:overflowPunct/>
        <w:topLinePunct w:val="0"/>
        <w:autoSpaceDN/>
        <w:bidi w:val="0"/>
        <w:adjustRightInd/>
        <w:spacing w:line="600" w:lineRule="exact"/>
        <w:ind w:left="0" w:leftChars="0" w:right="0" w:rightChars="0" w:firstLine="560" w:firstLineChars="200"/>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3</w:t>
      </w:r>
      <w:r>
        <w:rPr>
          <w:rFonts w:hint="eastAsia" w:asciiTheme="minorEastAsia" w:hAnsiTheme="minorEastAsia" w:eastAsiaTheme="minorEastAsia" w:cstheme="minorEastAsia"/>
          <w:sz w:val="28"/>
          <w:szCs w:val="28"/>
          <w:shd w:val="clear" w:color="auto" w:fill="FFFFFF"/>
        </w:rPr>
        <w:t>）社会保障</w:t>
      </w:r>
      <w:r>
        <w:rPr>
          <w:rFonts w:hint="eastAsia" w:asciiTheme="minorEastAsia" w:hAnsiTheme="minorEastAsia" w:eastAsiaTheme="minorEastAsia" w:cstheme="minorEastAsia"/>
          <w:sz w:val="28"/>
          <w:szCs w:val="28"/>
          <w:shd w:val="clear" w:color="auto" w:fill="FFFFFF"/>
          <w:lang w:eastAsia="zh-CN"/>
        </w:rPr>
        <w:t>和</w:t>
      </w:r>
      <w:r>
        <w:rPr>
          <w:rFonts w:hint="eastAsia" w:asciiTheme="minorEastAsia" w:hAnsiTheme="minorEastAsia" w:eastAsiaTheme="minorEastAsia" w:cstheme="minorEastAsia"/>
          <w:sz w:val="28"/>
          <w:szCs w:val="28"/>
          <w:shd w:val="clear" w:color="auto" w:fill="FFFFFF"/>
        </w:rPr>
        <w:t>就业支出629.74万元，占16.2%，较年初预算数增加191.57万元，增长43.7%，主要原因是</w:t>
      </w:r>
      <w:r>
        <w:rPr>
          <w:rFonts w:hint="eastAsia" w:asciiTheme="minorEastAsia" w:hAnsiTheme="minorEastAsia" w:eastAsiaTheme="minorEastAsia" w:cstheme="minorEastAsia"/>
          <w:kern w:val="2"/>
          <w:sz w:val="28"/>
          <w:szCs w:val="28"/>
          <w:lang w:val="en-US" w:eastAsia="zh-CN"/>
        </w:rPr>
        <w:t>今年五险调基数导致五险支出较年初增加，以及事业单位清算和职工死亡丧葬费等支出的增加。</w:t>
      </w:r>
    </w:p>
    <w:p w14:paraId="49A53BA7">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4</w:t>
      </w:r>
      <w:r>
        <w:rPr>
          <w:rFonts w:hint="eastAsia" w:asciiTheme="minorEastAsia" w:hAnsiTheme="minorEastAsia" w:eastAsiaTheme="minorEastAsia" w:cstheme="minorEastAsia"/>
          <w:sz w:val="28"/>
          <w:szCs w:val="28"/>
          <w:shd w:val="clear" w:color="auto" w:fill="FFFFFF"/>
        </w:rPr>
        <w:t>）卫生健康支出66.59万元，占1.7%，较年初预算数增加1.62万元，增长2.5%，主要原因是</w:t>
      </w:r>
      <w:r>
        <w:rPr>
          <w:rFonts w:hint="eastAsia" w:asciiTheme="minorEastAsia" w:hAnsiTheme="minorEastAsia" w:eastAsiaTheme="minorEastAsia" w:cstheme="minorEastAsia"/>
          <w:kern w:val="2"/>
          <w:sz w:val="28"/>
          <w:szCs w:val="28"/>
          <w:lang w:val="en-US" w:eastAsia="zh-CN"/>
        </w:rPr>
        <w:t>预算后新增由三支一扶转正人员导致医疗保险等费用的增加。</w:t>
      </w:r>
    </w:p>
    <w:p w14:paraId="0C6C1393">
      <w:pPr>
        <w:pStyle w:val="17"/>
        <w:keepNext w:val="0"/>
        <w:keepLines w:val="0"/>
        <w:pageBreakBefore w:val="0"/>
        <w:kinsoku/>
        <w:overflowPunct/>
        <w:topLinePunct w:val="0"/>
        <w:autoSpaceDN/>
        <w:bidi w:val="0"/>
        <w:adjustRightInd/>
        <w:spacing w:line="600" w:lineRule="exact"/>
        <w:ind w:left="0" w:leftChars="0" w:right="0" w:rightChars="0"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rPr>
        <w:t>）城乡社区支出233.25万元，占6.0%，较年初预算数增加123.94万元，增长113.4%，主要原因是</w:t>
      </w:r>
      <w:r>
        <w:rPr>
          <w:rFonts w:hint="eastAsia" w:asciiTheme="minorEastAsia" w:hAnsiTheme="minorEastAsia" w:eastAsiaTheme="minorEastAsia" w:cstheme="minorEastAsia"/>
          <w:kern w:val="2"/>
          <w:sz w:val="28"/>
          <w:szCs w:val="28"/>
          <w:lang w:val="en-US" w:eastAsia="zh-CN" w:bidi="ar-SA"/>
        </w:rPr>
        <w:t>年中新增武平镇新场镇人行道及管网建设项目以及事业单位清算等支出。</w:t>
      </w:r>
    </w:p>
    <w:p w14:paraId="143A01B7">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6</w:t>
      </w:r>
      <w:r>
        <w:rPr>
          <w:rFonts w:hint="eastAsia" w:asciiTheme="minorEastAsia" w:hAnsiTheme="minorEastAsia" w:eastAsiaTheme="minorEastAsia" w:cstheme="minorEastAsia"/>
          <w:sz w:val="28"/>
          <w:szCs w:val="28"/>
          <w:shd w:val="clear" w:color="auto" w:fill="FFFFFF"/>
        </w:rPr>
        <w:t>）农林水支出1530.87万元，占39.3%，较年初预算数增加1008.58万元，增长193.1%，主要原因是</w:t>
      </w:r>
      <w:r>
        <w:rPr>
          <w:rFonts w:hint="eastAsia" w:asciiTheme="minorEastAsia" w:hAnsiTheme="minorEastAsia" w:eastAsiaTheme="minorEastAsia" w:cstheme="minorEastAsia"/>
          <w:kern w:val="2"/>
          <w:sz w:val="28"/>
          <w:szCs w:val="28"/>
          <w:lang w:val="en-US" w:eastAsia="zh-CN" w:bidi="ar-SA"/>
        </w:rPr>
        <w:t>年中营造林项目、武平镇新老场镇护岸新建项目工程款项目、武平镇农村公共厕所项目、武平镇2023年旧房整治提升项目、武平镇低收入脱贫人口到户产业和防旱抗旱救灾补助资金、武平镇万亩优质油茶配套项目、武平镇2024年蔬菜产业配套设施建设项目工程款、武平镇2024年新农人培育提升项目等项目的增加。</w:t>
      </w:r>
    </w:p>
    <w:p w14:paraId="5A281C23">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7</w:t>
      </w:r>
      <w:r>
        <w:rPr>
          <w:rFonts w:hint="eastAsia" w:asciiTheme="minorEastAsia" w:hAnsiTheme="minorEastAsia" w:eastAsiaTheme="minorEastAsia" w:cstheme="minorEastAsia"/>
          <w:sz w:val="28"/>
          <w:szCs w:val="28"/>
          <w:shd w:val="clear" w:color="auto" w:fill="FFFFFF"/>
        </w:rPr>
        <w:t>）交通运输支出264.87万元，占6.8%，较年初预算数减少10.33万元，下降3.8%，主要原因是</w:t>
      </w:r>
      <w:r>
        <w:rPr>
          <w:rFonts w:hint="eastAsia" w:asciiTheme="minorEastAsia" w:hAnsiTheme="minorEastAsia" w:eastAsiaTheme="minorEastAsia" w:cstheme="minorEastAsia"/>
          <w:kern w:val="2"/>
          <w:sz w:val="28"/>
          <w:szCs w:val="28"/>
          <w:lang w:val="en-US" w:eastAsia="zh-CN" w:bidi="ar-SA"/>
        </w:rPr>
        <w:t>涉及存量资金要求核算不列收支。</w:t>
      </w:r>
    </w:p>
    <w:p w14:paraId="5398AAC3">
      <w:pPr>
        <w:keepNext w:val="0"/>
        <w:keepLines w:val="0"/>
        <w:pageBreakBefore w:val="0"/>
        <w:kinsoku/>
        <w:overflowPunct/>
        <w:topLinePunct w:val="0"/>
        <w:autoSpaceDN/>
        <w:bidi w:val="0"/>
        <w:adjustRightInd/>
        <w:spacing w:line="600" w:lineRule="exact"/>
        <w:ind w:left="0" w:right="0" w:rightChars="0" w:firstLine="560"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8</w:t>
      </w: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rPr>
        <w:t>住房保障支出</w:t>
      </w:r>
      <w:r>
        <w:rPr>
          <w:rFonts w:hint="eastAsia" w:asciiTheme="minorEastAsia" w:hAnsiTheme="minorEastAsia" w:eastAsiaTheme="minorEastAsia" w:cstheme="minorEastAsia"/>
          <w:sz w:val="28"/>
          <w:szCs w:val="28"/>
          <w:shd w:val="clear" w:color="auto" w:fill="FFFFFF"/>
        </w:rPr>
        <w:t>151.20万元，占3.9%，较年初预算数增加88.58万元，增长141.5%，主要原因是</w:t>
      </w:r>
      <w:r>
        <w:rPr>
          <w:rFonts w:hint="eastAsia" w:asciiTheme="minorEastAsia" w:hAnsiTheme="minorEastAsia" w:eastAsiaTheme="minorEastAsia" w:cstheme="minorEastAsia"/>
          <w:kern w:val="2"/>
          <w:sz w:val="28"/>
          <w:szCs w:val="28"/>
          <w:lang w:val="en-US" w:eastAsia="zh-CN" w:bidi="ar-SA"/>
        </w:rPr>
        <w:t>年中新增2023年旧房整治提升项目、磨刀洞CD级危房办理整治进度款项目、城镇C、D级危房搬离整治项目款以及新增转正人员的住房公积金。</w:t>
      </w:r>
    </w:p>
    <w:p w14:paraId="2AA3B42F">
      <w:pPr>
        <w:keepNext w:val="0"/>
        <w:keepLines w:val="0"/>
        <w:pageBreakBefore w:val="0"/>
        <w:kinsoku/>
        <w:overflowPunct/>
        <w:topLinePunct w:val="0"/>
        <w:autoSpaceDN/>
        <w:bidi w:val="0"/>
        <w:adjustRightInd/>
        <w:spacing w:line="600" w:lineRule="exact"/>
        <w:ind w:left="0" w:right="0" w:rightChars="0" w:firstLine="560"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9</w:t>
      </w: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rPr>
        <w:t>灾害防治及应急管理支出</w:t>
      </w:r>
      <w:r>
        <w:rPr>
          <w:rFonts w:hint="eastAsia" w:asciiTheme="minorEastAsia" w:hAnsiTheme="minorEastAsia" w:eastAsiaTheme="minorEastAsia" w:cstheme="minorEastAsia"/>
          <w:sz w:val="28"/>
          <w:szCs w:val="28"/>
          <w:shd w:val="clear" w:color="auto" w:fill="FFFFFF"/>
        </w:rPr>
        <w:t>25.53万元，占0.7%，较年初预算数增加18.53万元，增长264.7%，主要原因是</w:t>
      </w:r>
      <w:r>
        <w:rPr>
          <w:rFonts w:hint="eastAsia" w:asciiTheme="minorEastAsia" w:hAnsiTheme="minorEastAsia" w:eastAsiaTheme="minorEastAsia" w:cstheme="minorEastAsia"/>
          <w:kern w:val="2"/>
          <w:sz w:val="28"/>
          <w:szCs w:val="28"/>
          <w:lang w:val="en-US" w:eastAsia="zh-CN" w:bidi="ar-SA"/>
        </w:rPr>
        <w:t>年中新增武平镇市级自然灾害补助资金项目、2024年森林防灭火物资采购项目、2023年中央自然灾害救助（洪涝）、2023年中央自然灾害救助（地灾）、武平镇中央自然灾害补助资金。</w:t>
      </w:r>
    </w:p>
    <w:p w14:paraId="26FB1333">
      <w:pPr>
        <w:keepNext w:val="0"/>
        <w:keepLines w:val="0"/>
        <w:pageBreakBefore w:val="0"/>
        <w:kinsoku/>
        <w:overflowPunct/>
        <w:topLinePunct w:val="0"/>
        <w:autoSpaceDN/>
        <w:bidi w:val="0"/>
        <w:adjustRightInd/>
        <w:spacing w:line="600" w:lineRule="exact"/>
        <w:ind w:left="0" w:right="0" w:rightChars="0" w:firstLine="560" w:firstLineChars="200"/>
        <w:jc w:val="both"/>
        <w:rPr>
          <w:rFonts w:hint="eastAsia" w:asciiTheme="minorEastAsia" w:hAnsiTheme="minorEastAsia" w:eastAsiaTheme="minorEastAsia" w:cstheme="minorEastAsia"/>
          <w:color w:val="FF0000"/>
          <w:sz w:val="28"/>
          <w:szCs w:val="28"/>
          <w:shd w:val="clear" w:color="auto" w:fill="FFFFFF"/>
        </w:rPr>
      </w:pP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shd w:val="clear" w:color="auto" w:fill="FFFFFF"/>
          <w:lang w:val="en-US" w:eastAsia="zh-CN"/>
        </w:rPr>
        <w:t>10</w:t>
      </w: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sz w:val="28"/>
          <w:szCs w:val="28"/>
        </w:rPr>
        <w:t>其他支出</w:t>
      </w:r>
      <w:r>
        <w:rPr>
          <w:rFonts w:hint="eastAsia" w:asciiTheme="minorEastAsia" w:hAnsiTheme="minorEastAsia" w:eastAsiaTheme="minorEastAsia" w:cstheme="minorEastAsia"/>
          <w:sz w:val="28"/>
          <w:szCs w:val="28"/>
          <w:shd w:val="clear" w:color="auto" w:fill="FFFFFF"/>
        </w:rPr>
        <w:t>0.00万元，占0.0%，较年初预算数减少19.00万元，下降100.0%，主要原因是</w:t>
      </w:r>
      <w:r>
        <w:rPr>
          <w:rFonts w:hint="eastAsia" w:asciiTheme="minorEastAsia" w:hAnsiTheme="minorEastAsia" w:eastAsiaTheme="minorEastAsia" w:cstheme="minorEastAsia"/>
          <w:kern w:val="2"/>
          <w:sz w:val="28"/>
          <w:szCs w:val="28"/>
          <w:lang w:val="en-US" w:eastAsia="zh-CN" w:bidi="ar-SA"/>
        </w:rPr>
        <w:t>今年预备费未支出。</w:t>
      </w:r>
    </w:p>
    <w:p w14:paraId="280F3F86">
      <w:pPr>
        <w:pStyle w:val="17"/>
        <w:keepNext w:val="0"/>
        <w:keepLines w:val="0"/>
        <w:pageBreakBefore w:val="0"/>
        <w:kinsoku/>
        <w:overflowPunct/>
        <w:topLinePunct w:val="0"/>
        <w:autoSpaceDN/>
        <w:bidi w:val="0"/>
        <w:adjustRightInd/>
        <w:spacing w:line="600" w:lineRule="exact"/>
        <w:ind w:left="0" w:right="0" w:rightChars="0" w:firstLine="562" w:firstLineChars="200"/>
        <w:rPr>
          <w:rFonts w:hint="eastAsia" w:asciiTheme="minorEastAsia" w:hAnsiTheme="minorEastAsia" w:eastAsiaTheme="minorEastAsia" w:cstheme="minorEastAsia"/>
          <w:color w:val="FF0000"/>
          <w:sz w:val="28"/>
          <w:szCs w:val="28"/>
          <w:shd w:val="clear" w:color="auto" w:fill="FFFFFF"/>
        </w:rPr>
      </w:pPr>
      <w:r>
        <w:rPr>
          <w:rStyle w:val="10"/>
          <w:rFonts w:hint="eastAsia" w:asciiTheme="minorEastAsia" w:hAnsiTheme="minorEastAsia" w:eastAsiaTheme="minorEastAsia" w:cstheme="minorEastAsia"/>
          <w:sz w:val="28"/>
          <w:szCs w:val="28"/>
          <w:shd w:val="clear" w:color="auto" w:fill="FFFFFF"/>
        </w:rPr>
        <w:t>3.结转结余情况。</w:t>
      </w:r>
      <w:r>
        <w:rPr>
          <w:rFonts w:hint="eastAsia" w:asciiTheme="minorEastAsia" w:hAnsiTheme="minorEastAsia" w:eastAsiaTheme="minorEastAsia" w:cstheme="minorEastAsia"/>
          <w:sz w:val="28"/>
          <w:szCs w:val="28"/>
          <w:shd w:val="clear" w:color="auto" w:fill="FFFFFF"/>
        </w:rPr>
        <w:t>2024年度年末一般公共预算财政拨款结转和结余0.00万元，与2023年度相比，减少1.20万元，下降100.0%，主要原因是</w:t>
      </w:r>
      <w:r>
        <w:rPr>
          <w:rFonts w:hint="eastAsia" w:asciiTheme="minorEastAsia" w:hAnsiTheme="minorEastAsia" w:eastAsiaTheme="minorEastAsia" w:cstheme="minorEastAsia"/>
          <w:sz w:val="28"/>
          <w:szCs w:val="28"/>
          <w:highlight w:val="none"/>
          <w:lang w:val="en-US" w:eastAsia="zh-CN"/>
        </w:rPr>
        <w:t>上年</w:t>
      </w:r>
      <w:r>
        <w:rPr>
          <w:rFonts w:hint="eastAsia" w:asciiTheme="minorEastAsia" w:hAnsiTheme="minorEastAsia" w:eastAsiaTheme="minorEastAsia" w:cstheme="minorEastAsia"/>
          <w:sz w:val="28"/>
          <w:szCs w:val="28"/>
        </w:rPr>
        <w:t>财政拨款结转项目支出结转</w:t>
      </w:r>
      <w:r>
        <w:rPr>
          <w:rFonts w:hint="eastAsia" w:asciiTheme="minorEastAsia" w:hAnsiTheme="minorEastAsia" w:eastAsiaTheme="minorEastAsia" w:cstheme="minorEastAsia"/>
          <w:sz w:val="28"/>
          <w:szCs w:val="28"/>
          <w:lang w:val="en-US" w:eastAsia="zh-CN"/>
        </w:rPr>
        <w:t>1.2万</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一般公共预算财政拨款因为2022年年末支付失败导致有</w:t>
      </w:r>
      <w:r>
        <w:rPr>
          <w:rFonts w:hint="eastAsia" w:asciiTheme="minorEastAsia" w:hAnsiTheme="minorEastAsia" w:eastAsiaTheme="minorEastAsia" w:cstheme="minorEastAsia"/>
          <w:sz w:val="28"/>
          <w:szCs w:val="28"/>
          <w:lang w:val="en-US" w:eastAsia="zh-CN"/>
        </w:rPr>
        <w:t>1.2万</w:t>
      </w:r>
      <w:r>
        <w:rPr>
          <w:rFonts w:hint="eastAsia" w:asciiTheme="minorEastAsia" w:hAnsiTheme="minorEastAsia" w:eastAsiaTheme="minorEastAsia" w:cstheme="minorEastAsia"/>
          <w:sz w:val="28"/>
          <w:szCs w:val="28"/>
        </w:rPr>
        <w:t>元的退款，而退款退回时间是在决算取数之后，导致决算系统结转结余有项目结转</w:t>
      </w:r>
      <w:r>
        <w:rPr>
          <w:rFonts w:hint="eastAsia" w:asciiTheme="minorEastAsia" w:hAnsiTheme="minorEastAsia" w:eastAsiaTheme="minorEastAsia" w:cstheme="minorEastAsia"/>
          <w:sz w:val="28"/>
          <w:szCs w:val="28"/>
          <w:lang w:val="en-US" w:eastAsia="zh-CN"/>
        </w:rPr>
        <w:t>1.2万</w:t>
      </w:r>
      <w:r>
        <w:rPr>
          <w:rFonts w:hint="eastAsia" w:asciiTheme="minorEastAsia" w:hAnsiTheme="minorEastAsia" w:eastAsiaTheme="minorEastAsia" w:cstheme="minorEastAsia"/>
          <w:sz w:val="28"/>
          <w:szCs w:val="28"/>
        </w:rPr>
        <w:t>元，而退回款项已被收回至财政，账上没有这笔款项的结余，今年决算进行差错更正。</w:t>
      </w:r>
    </w:p>
    <w:p w14:paraId="56754500">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2" w:firstLineChars="200"/>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（四）一般公共预算财政拨款基本支出决算情况说明</w:t>
      </w:r>
    </w:p>
    <w:p w14:paraId="521505D7">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2024年度一般公共财政拨款基本支出1739.60万元。</w:t>
      </w:r>
    </w:p>
    <w:p w14:paraId="441C2AF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right="0" w:rightChars="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其中：</w:t>
      </w:r>
    </w:p>
    <w:p w14:paraId="7C748403">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人员经费1477.01万元，与2023年度相比，增加54.67万元，增长3.8%，主要原因是</w:t>
      </w:r>
      <w:r>
        <w:rPr>
          <w:rFonts w:hint="eastAsia" w:asciiTheme="minorEastAsia" w:hAnsiTheme="minorEastAsia" w:eastAsiaTheme="minorEastAsia" w:cstheme="minorEastAsia"/>
          <w:color w:val="auto"/>
          <w:sz w:val="28"/>
          <w:szCs w:val="28"/>
          <w:shd w:val="clear" w:color="auto" w:fill="FFFFFF"/>
          <w:lang w:eastAsia="zh-CN"/>
        </w:rPr>
        <w:t>职工工资及五险一金基数的增加。</w:t>
      </w:r>
      <w:r>
        <w:rPr>
          <w:rFonts w:hint="eastAsia" w:asciiTheme="minorEastAsia" w:hAnsiTheme="minorEastAsia" w:eastAsiaTheme="minorEastAsia" w:cstheme="minorEastAsia"/>
          <w:color w:val="auto"/>
          <w:sz w:val="28"/>
          <w:szCs w:val="28"/>
          <w:shd w:val="clear" w:color="auto" w:fill="FFFFFF"/>
        </w:rPr>
        <w:t>人员经费用途主要包括职工基本工资、津贴补贴、绩效、五险</w:t>
      </w:r>
      <w:r>
        <w:rPr>
          <w:rFonts w:hint="eastAsia" w:asciiTheme="minorEastAsia" w:hAnsiTheme="minorEastAsia" w:eastAsiaTheme="minorEastAsia" w:cstheme="minorEastAsia"/>
          <w:color w:val="auto"/>
          <w:sz w:val="28"/>
          <w:szCs w:val="28"/>
          <w:shd w:val="clear" w:color="auto" w:fill="FFFFFF"/>
          <w:lang w:eastAsia="zh-CN"/>
        </w:rPr>
        <w:t>、公积金</w:t>
      </w:r>
      <w:r>
        <w:rPr>
          <w:rFonts w:hint="eastAsia" w:asciiTheme="minorEastAsia" w:hAnsiTheme="minorEastAsia" w:eastAsiaTheme="minorEastAsia" w:cstheme="minorEastAsia"/>
          <w:color w:val="auto"/>
          <w:sz w:val="28"/>
          <w:szCs w:val="28"/>
          <w:shd w:val="clear" w:color="auto" w:fill="FFFFFF"/>
        </w:rPr>
        <w:t>等。</w:t>
      </w:r>
    </w:p>
    <w:p w14:paraId="42358D29">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公用经费262.59万元，与2023年度相比，减少164.36万元，下降38.5%，主要原因是</w:t>
      </w:r>
      <w:r>
        <w:rPr>
          <w:rFonts w:hint="eastAsia" w:asciiTheme="minorEastAsia" w:hAnsiTheme="minorEastAsia" w:eastAsiaTheme="minorEastAsia" w:cstheme="minorEastAsia"/>
          <w:color w:val="auto"/>
          <w:sz w:val="28"/>
          <w:szCs w:val="28"/>
          <w:shd w:val="clear" w:color="auto" w:fill="FFFFFF"/>
          <w:lang w:eastAsia="zh-CN"/>
        </w:rPr>
        <w:t>落实过紧日子要求，压缩各项支出。</w:t>
      </w:r>
      <w:r>
        <w:rPr>
          <w:rFonts w:hint="eastAsia" w:asciiTheme="minorEastAsia" w:hAnsiTheme="minorEastAsia" w:eastAsiaTheme="minorEastAsia" w:cstheme="minorEastAsia"/>
          <w:color w:val="auto"/>
          <w:sz w:val="28"/>
          <w:szCs w:val="28"/>
          <w:shd w:val="clear" w:color="auto" w:fill="FFFFFF"/>
        </w:rPr>
        <w:t>公用经费用途主要包括在预算过程中实际支出的办公费、水费、电费、邮电费、差旅费、维修费、会议费、培训费、公务接待费、劳务费、公务用车运行维护费、其他交通费用以及职工伙食费。</w:t>
      </w:r>
    </w:p>
    <w:p w14:paraId="3169F94C">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（五）政府性基金预算收支决算情况说明</w:t>
      </w:r>
    </w:p>
    <w:p w14:paraId="6DEB8674">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shd w:val="clear" w:color="auto" w:fill="FFFFFF"/>
        </w:rPr>
        <w:t>2</w:t>
      </w:r>
      <w:r>
        <w:rPr>
          <w:rFonts w:hint="eastAsia" w:asciiTheme="minorEastAsia" w:hAnsiTheme="minorEastAsia" w:eastAsiaTheme="minorEastAsia" w:cstheme="minorEastAsia"/>
          <w:color w:val="auto"/>
          <w:sz w:val="28"/>
          <w:szCs w:val="28"/>
          <w:shd w:val="clear" w:color="auto" w:fill="FFFFFF"/>
        </w:rPr>
        <w:t>024年度政府性基金预算财政拨款年初结转结余0.00万元，年末结转结余0.00万元。本年收入166.36万元，与2023年度相比，增加136.43万元，增长455.8%，主要原因是</w:t>
      </w:r>
      <w:r>
        <w:rPr>
          <w:rFonts w:hint="eastAsia" w:asciiTheme="minorEastAsia" w:hAnsiTheme="minorEastAsia" w:eastAsiaTheme="minorEastAsia" w:cstheme="minorEastAsia"/>
          <w:color w:val="auto"/>
          <w:sz w:val="28"/>
          <w:szCs w:val="28"/>
          <w:shd w:val="clear" w:color="auto" w:fill="FFFFFF"/>
          <w:lang w:eastAsia="zh-CN"/>
        </w:rPr>
        <w:t>本年新增丰都雪玉山避暑露营节活动经费</w:t>
      </w:r>
      <w:r>
        <w:rPr>
          <w:rFonts w:hint="eastAsia" w:asciiTheme="minorEastAsia" w:hAnsiTheme="minorEastAsia" w:eastAsiaTheme="minorEastAsia" w:cstheme="minorEastAsia"/>
          <w:color w:val="auto"/>
          <w:sz w:val="28"/>
          <w:szCs w:val="28"/>
          <w:shd w:val="clear" w:color="auto" w:fill="FFFFFF"/>
          <w:lang w:val="en-US" w:eastAsia="zh-CN"/>
        </w:rPr>
        <w:t>15万元、23年丰彭二级路永久征地补偿费115.1万元等项目。</w:t>
      </w:r>
      <w:r>
        <w:rPr>
          <w:rFonts w:hint="eastAsia" w:asciiTheme="minorEastAsia" w:hAnsiTheme="minorEastAsia" w:eastAsiaTheme="minorEastAsia" w:cstheme="minorEastAsia"/>
          <w:color w:val="auto"/>
          <w:sz w:val="28"/>
          <w:szCs w:val="28"/>
          <w:shd w:val="clear" w:color="auto" w:fill="FFFFFF"/>
        </w:rPr>
        <w:t>本年支出166.36万元，与2023年度相比，增加136.43万元，增长455.8%，主要原因是</w:t>
      </w:r>
      <w:r>
        <w:rPr>
          <w:rFonts w:hint="eastAsia" w:asciiTheme="minorEastAsia" w:hAnsiTheme="minorEastAsia" w:eastAsiaTheme="minorEastAsia" w:cstheme="minorEastAsia"/>
          <w:color w:val="auto"/>
          <w:sz w:val="28"/>
          <w:szCs w:val="28"/>
          <w:shd w:val="clear" w:color="auto" w:fill="FFFFFF"/>
          <w:lang w:eastAsia="zh-CN"/>
        </w:rPr>
        <w:t>本年新增丰都雪玉山避暑露营节活动经费</w:t>
      </w:r>
      <w:r>
        <w:rPr>
          <w:rFonts w:hint="eastAsia" w:asciiTheme="minorEastAsia" w:hAnsiTheme="minorEastAsia" w:eastAsiaTheme="minorEastAsia" w:cstheme="minorEastAsia"/>
          <w:color w:val="auto"/>
          <w:sz w:val="28"/>
          <w:szCs w:val="28"/>
          <w:shd w:val="clear" w:color="auto" w:fill="FFFFFF"/>
          <w:lang w:val="en-US" w:eastAsia="zh-CN"/>
        </w:rPr>
        <w:t>15万元、23年丰彭二级路永久征地补偿费115.1万元等项目支出。</w:t>
      </w:r>
    </w:p>
    <w:p w14:paraId="0A72BD00">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（六）国有资本经营预算财政拨款支出决算情况说明</w:t>
      </w:r>
    </w:p>
    <w:p w14:paraId="11241CAA">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color w:val="FF0000"/>
          <w:sz w:val="28"/>
          <w:szCs w:val="28"/>
          <w:shd w:val="clear" w:color="auto" w:fill="FFFFFF"/>
        </w:rPr>
      </w:pPr>
      <w:r>
        <w:rPr>
          <w:rFonts w:hint="eastAsia" w:asciiTheme="minorEastAsia" w:hAnsiTheme="minorEastAsia" w:eastAsiaTheme="minorEastAsia" w:cstheme="minorEastAsia"/>
          <w:sz w:val="28"/>
          <w:szCs w:val="28"/>
          <w:shd w:val="clear" w:color="auto" w:fill="FFFFFF"/>
          <w:lang w:eastAsia="zh-CN"/>
        </w:rPr>
        <w:t>本部门</w:t>
      </w:r>
      <w:r>
        <w:rPr>
          <w:rFonts w:hint="eastAsia" w:asciiTheme="minorEastAsia" w:hAnsiTheme="minorEastAsia" w:eastAsiaTheme="minorEastAsia" w:cstheme="minorEastAsia"/>
          <w:sz w:val="28"/>
          <w:szCs w:val="28"/>
          <w:shd w:val="clear" w:color="auto" w:fill="FFFFFF"/>
          <w:lang w:val="en-US" w:eastAsia="zh-CN"/>
        </w:rPr>
        <w:t>2024年度无国有资本经营预算财政拨款支出。</w:t>
      </w:r>
    </w:p>
    <w:p w14:paraId="0F785B5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0"/>
          <w:rFonts w:hint="eastAsia" w:asciiTheme="minorEastAsia" w:hAnsiTheme="minorEastAsia" w:eastAsiaTheme="minorEastAsia" w:cstheme="minorEastAsia"/>
          <w:sz w:val="28"/>
          <w:szCs w:val="28"/>
          <w:shd w:val="clear" w:color="auto" w:fill="FFFFFF"/>
        </w:rPr>
      </w:pPr>
      <w:r>
        <w:rPr>
          <w:rStyle w:val="10"/>
          <w:rFonts w:hint="eastAsia" w:asciiTheme="minorEastAsia" w:hAnsiTheme="minorEastAsia" w:eastAsiaTheme="minorEastAsia" w:cstheme="minorEastAsia"/>
          <w:b w:val="0"/>
          <w:bCs/>
          <w:sz w:val="28"/>
          <w:szCs w:val="28"/>
          <w:shd w:val="clear" w:color="auto" w:fill="FFFFFF"/>
        </w:rPr>
        <w:t>三、</w:t>
      </w:r>
      <w:r>
        <w:rPr>
          <w:rStyle w:val="10"/>
          <w:rFonts w:hint="eastAsia" w:asciiTheme="minorEastAsia" w:hAnsiTheme="minorEastAsia" w:eastAsiaTheme="minorEastAsia" w:cstheme="minorEastAsia"/>
          <w:b w:val="0"/>
          <w:bCs/>
          <w:sz w:val="28"/>
          <w:szCs w:val="28"/>
          <w:shd w:val="clear" w:color="auto" w:fill="FFFFFF"/>
          <w:lang w:eastAsia="zh-CN"/>
        </w:rPr>
        <w:t>财政拨款</w:t>
      </w:r>
      <w:r>
        <w:rPr>
          <w:rStyle w:val="10"/>
          <w:rFonts w:hint="eastAsia" w:asciiTheme="minorEastAsia" w:hAnsiTheme="minorEastAsia" w:eastAsiaTheme="minorEastAsia" w:cstheme="minorEastAsia"/>
          <w:b w:val="0"/>
          <w:bCs/>
          <w:sz w:val="28"/>
          <w:szCs w:val="28"/>
          <w:shd w:val="clear" w:color="auto" w:fill="FFFFFF"/>
        </w:rPr>
        <w:t>“三公”经费情况说明</w:t>
      </w:r>
    </w:p>
    <w:p w14:paraId="2684813A">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b w:val="0"/>
          <w:bCs w:val="0"/>
          <w:color w:val="auto"/>
          <w:sz w:val="28"/>
          <w:szCs w:val="28"/>
          <w:shd w:val="clear" w:color="auto" w:fill="FFFFFF"/>
        </w:rPr>
        <w:t>（一）“三公”经费支出总体情况说明</w:t>
      </w:r>
    </w:p>
    <w:p w14:paraId="3BC76262">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2024年度“三公”经费支出共计19.88万元，较年初预算数减少4.12万元，下降17.2%，主要原因是</w:t>
      </w:r>
      <w:r>
        <w:rPr>
          <w:rFonts w:hint="eastAsia" w:asciiTheme="minorEastAsia" w:hAnsiTheme="minorEastAsia" w:eastAsiaTheme="minorEastAsia" w:cstheme="minorEastAsia"/>
          <w:color w:val="auto"/>
          <w:sz w:val="28"/>
          <w:szCs w:val="28"/>
          <w:shd w:val="clear" w:color="auto" w:fill="FFFFFF"/>
          <w:lang w:eastAsia="zh-CN"/>
        </w:rPr>
        <w:t>落实过紧日子要求减少公务接待和公务用车运行维护费。</w:t>
      </w:r>
      <w:r>
        <w:rPr>
          <w:rFonts w:hint="eastAsia" w:asciiTheme="minorEastAsia" w:hAnsiTheme="minorEastAsia" w:eastAsiaTheme="minorEastAsia" w:cstheme="minorEastAsia"/>
          <w:color w:val="auto"/>
          <w:sz w:val="28"/>
          <w:szCs w:val="28"/>
          <w:shd w:val="clear" w:color="auto" w:fill="FFFFFF"/>
        </w:rPr>
        <w:t>较上年支出数减少24.59万元，下降55.3%，主要原因是</w:t>
      </w:r>
      <w:r>
        <w:rPr>
          <w:rFonts w:hint="eastAsia" w:asciiTheme="minorEastAsia" w:hAnsiTheme="minorEastAsia" w:eastAsiaTheme="minorEastAsia" w:cstheme="minorEastAsia"/>
          <w:color w:val="auto"/>
          <w:sz w:val="28"/>
          <w:szCs w:val="28"/>
          <w:shd w:val="clear" w:color="auto" w:fill="FFFFFF"/>
          <w:lang w:eastAsia="zh-CN"/>
        </w:rPr>
        <w:t>本年较上年减少公务用车购置费用。</w:t>
      </w:r>
    </w:p>
    <w:p w14:paraId="6DEA028D">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（二）“三公”经费分项支出情况</w:t>
      </w:r>
    </w:p>
    <w:p w14:paraId="04818E3A">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kern w:val="2"/>
          <w:sz w:val="28"/>
          <w:szCs w:val="28"/>
        </w:rPr>
        <w:t>本</w:t>
      </w:r>
      <w:r>
        <w:rPr>
          <w:rFonts w:hint="eastAsia" w:asciiTheme="minorEastAsia" w:hAnsiTheme="minorEastAsia" w:eastAsiaTheme="minorEastAsia" w:cstheme="minorEastAsia"/>
          <w:b w:val="0"/>
          <w:bCs w:val="0"/>
          <w:kern w:val="2"/>
          <w:sz w:val="28"/>
          <w:szCs w:val="28"/>
          <w:lang w:eastAsia="zh-CN"/>
        </w:rPr>
        <w:t>部门</w:t>
      </w:r>
      <w:r>
        <w:rPr>
          <w:rFonts w:hint="eastAsia" w:asciiTheme="minorEastAsia" w:hAnsiTheme="minorEastAsia" w:eastAsiaTheme="minorEastAsia" w:cstheme="minorEastAsia"/>
          <w:b w:val="0"/>
          <w:bCs w:val="0"/>
          <w:kern w:val="2"/>
          <w:sz w:val="28"/>
          <w:szCs w:val="28"/>
        </w:rPr>
        <w:t>2024年度未发生</w:t>
      </w:r>
      <w:r>
        <w:rPr>
          <w:rFonts w:hint="eastAsia" w:asciiTheme="minorEastAsia" w:hAnsiTheme="minorEastAsia" w:eastAsiaTheme="minorEastAsia" w:cstheme="minorEastAsia"/>
          <w:b w:val="0"/>
          <w:bCs w:val="0"/>
          <w:sz w:val="28"/>
          <w:szCs w:val="28"/>
          <w:shd w:val="clear" w:color="auto" w:fill="FFFFFF"/>
        </w:rPr>
        <w:t>因公出国（境）费用</w:t>
      </w:r>
      <w:r>
        <w:rPr>
          <w:rFonts w:hint="eastAsia" w:asciiTheme="minorEastAsia" w:hAnsiTheme="minorEastAsia" w:eastAsiaTheme="minorEastAsia" w:cstheme="minorEastAsia"/>
          <w:b w:val="0"/>
          <w:bCs w:val="0"/>
          <w:kern w:val="2"/>
          <w:sz w:val="28"/>
          <w:szCs w:val="28"/>
        </w:rPr>
        <w:t>支出，与上年</w:t>
      </w:r>
      <w:r>
        <w:rPr>
          <w:rFonts w:hint="eastAsia" w:asciiTheme="minorEastAsia" w:hAnsiTheme="minorEastAsia" w:eastAsiaTheme="minorEastAsia" w:cstheme="minorEastAsia"/>
          <w:b w:val="0"/>
          <w:bCs w:val="0"/>
          <w:color w:val="auto"/>
          <w:kern w:val="2"/>
          <w:sz w:val="28"/>
          <w:szCs w:val="28"/>
        </w:rPr>
        <w:t>决算数持平</w:t>
      </w:r>
      <w:r>
        <w:rPr>
          <w:rFonts w:hint="eastAsia" w:asciiTheme="minorEastAsia" w:hAnsiTheme="minorEastAsia" w:eastAsiaTheme="minorEastAsia" w:cstheme="minorEastAsia"/>
          <w:b w:val="0"/>
          <w:bCs w:val="0"/>
          <w:color w:val="auto"/>
          <w:kern w:val="2"/>
          <w:sz w:val="28"/>
          <w:szCs w:val="28"/>
          <w:lang w:eastAsia="zh-CN"/>
        </w:rPr>
        <w:t>。</w:t>
      </w:r>
    </w:p>
    <w:p w14:paraId="09BF77AA">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公务</w:t>
      </w:r>
      <w:r>
        <w:rPr>
          <w:rFonts w:hint="eastAsia" w:asciiTheme="minorEastAsia" w:hAnsiTheme="minorEastAsia" w:eastAsiaTheme="minorEastAsia" w:cstheme="minorEastAsia"/>
          <w:b w:val="0"/>
          <w:bCs w:val="0"/>
          <w:color w:val="auto"/>
          <w:sz w:val="28"/>
          <w:szCs w:val="28"/>
          <w:shd w:val="clear" w:color="auto" w:fill="FFFFFF"/>
          <w:lang w:eastAsia="zh-CN"/>
        </w:rPr>
        <w:t>用</w:t>
      </w:r>
      <w:r>
        <w:rPr>
          <w:rFonts w:hint="eastAsia" w:asciiTheme="minorEastAsia" w:hAnsiTheme="minorEastAsia" w:eastAsiaTheme="minorEastAsia" w:cstheme="minorEastAsia"/>
          <w:b w:val="0"/>
          <w:bCs w:val="0"/>
          <w:color w:val="auto"/>
          <w:sz w:val="28"/>
          <w:szCs w:val="28"/>
          <w:shd w:val="clear" w:color="auto" w:fill="FFFFFF"/>
        </w:rPr>
        <w:t>车购置费0.00万元，费用支出较年初预算数无增减</w:t>
      </w:r>
      <w:r>
        <w:rPr>
          <w:rFonts w:hint="eastAsia" w:asciiTheme="minorEastAsia" w:hAnsiTheme="minorEastAsia" w:eastAsiaTheme="minorEastAsia" w:cstheme="minorEastAsia"/>
          <w:b w:val="0"/>
          <w:bCs w:val="0"/>
          <w:color w:val="auto"/>
          <w:sz w:val="28"/>
          <w:szCs w:val="28"/>
          <w:shd w:val="clear" w:color="auto" w:fill="FFFFFF"/>
          <w:lang w:eastAsia="zh-CN"/>
        </w:rPr>
        <w:t>。</w:t>
      </w:r>
      <w:r>
        <w:rPr>
          <w:rFonts w:hint="eastAsia" w:asciiTheme="minorEastAsia" w:hAnsiTheme="minorEastAsia" w:eastAsiaTheme="minorEastAsia" w:cstheme="minorEastAsia"/>
          <w:b w:val="0"/>
          <w:bCs w:val="0"/>
          <w:color w:val="auto"/>
          <w:sz w:val="28"/>
          <w:szCs w:val="28"/>
          <w:shd w:val="clear" w:color="auto" w:fill="FFFFFF"/>
        </w:rPr>
        <w:t>较上年支出数减少24.48万元，下降100.0%，主要原因是</w:t>
      </w:r>
      <w:r>
        <w:rPr>
          <w:rFonts w:hint="eastAsia" w:asciiTheme="minorEastAsia" w:hAnsiTheme="minorEastAsia" w:eastAsiaTheme="minorEastAsia" w:cstheme="minorEastAsia"/>
          <w:b w:val="0"/>
          <w:bCs w:val="0"/>
          <w:color w:val="auto"/>
          <w:sz w:val="28"/>
          <w:szCs w:val="28"/>
          <w:shd w:val="clear" w:color="auto" w:fill="FFFFFF"/>
          <w:lang w:eastAsia="zh-CN"/>
        </w:rPr>
        <w:t>因为本年较上</w:t>
      </w:r>
      <w:r>
        <w:rPr>
          <w:rFonts w:hint="eastAsia" w:asciiTheme="minorEastAsia" w:hAnsiTheme="minorEastAsia" w:eastAsiaTheme="minorEastAsia" w:cstheme="minorEastAsia"/>
          <w:b w:val="0"/>
          <w:bCs w:val="0"/>
          <w:color w:val="auto"/>
          <w:sz w:val="28"/>
          <w:szCs w:val="28"/>
          <w:shd w:val="clear" w:color="auto" w:fill="FFFFFF"/>
          <w:lang w:val="en-US" w:eastAsia="zh-CN"/>
        </w:rPr>
        <w:t>年减少公务用车购置费24.48万元</w:t>
      </w:r>
      <w:r>
        <w:rPr>
          <w:rFonts w:hint="eastAsia" w:asciiTheme="minorEastAsia" w:hAnsiTheme="minorEastAsia" w:eastAsiaTheme="minorEastAsia" w:cstheme="minorEastAsia"/>
          <w:b w:val="0"/>
          <w:bCs w:val="0"/>
          <w:color w:val="auto"/>
          <w:sz w:val="28"/>
          <w:szCs w:val="28"/>
          <w:shd w:val="clear" w:color="auto" w:fill="FFFFFF"/>
        </w:rPr>
        <w:t>。</w:t>
      </w:r>
    </w:p>
    <w:p w14:paraId="4104C175">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b w:val="0"/>
          <w:bCs w:val="0"/>
          <w:color w:val="auto"/>
          <w:kern w:val="2"/>
          <w:sz w:val="28"/>
          <w:szCs w:val="28"/>
        </w:rPr>
      </w:pPr>
      <w:r>
        <w:rPr>
          <w:rFonts w:hint="eastAsia" w:asciiTheme="minorEastAsia" w:hAnsiTheme="minorEastAsia" w:eastAsiaTheme="minorEastAsia" w:cstheme="minorEastAsia"/>
          <w:b w:val="0"/>
          <w:bCs w:val="0"/>
          <w:color w:val="auto"/>
          <w:sz w:val="28"/>
          <w:szCs w:val="28"/>
          <w:shd w:val="clear" w:color="auto" w:fill="FFFFFF"/>
        </w:rPr>
        <w:t>公务</w:t>
      </w:r>
      <w:r>
        <w:rPr>
          <w:rFonts w:hint="eastAsia" w:asciiTheme="minorEastAsia" w:hAnsiTheme="minorEastAsia" w:eastAsiaTheme="minorEastAsia" w:cstheme="minorEastAsia"/>
          <w:b w:val="0"/>
          <w:bCs w:val="0"/>
          <w:color w:val="auto"/>
          <w:sz w:val="28"/>
          <w:szCs w:val="28"/>
          <w:shd w:val="clear" w:color="auto" w:fill="FFFFFF"/>
          <w:lang w:eastAsia="zh-CN"/>
        </w:rPr>
        <w:t>用</w:t>
      </w:r>
      <w:r>
        <w:rPr>
          <w:rFonts w:hint="eastAsia" w:asciiTheme="minorEastAsia" w:hAnsiTheme="minorEastAsia" w:eastAsiaTheme="minorEastAsia" w:cstheme="minorEastAsia"/>
          <w:b w:val="0"/>
          <w:bCs w:val="0"/>
          <w:color w:val="auto"/>
          <w:sz w:val="28"/>
          <w:szCs w:val="28"/>
          <w:shd w:val="clear" w:color="auto" w:fill="FFFFFF"/>
        </w:rPr>
        <w:t>车运行维护费11.43万元，主要用于公务用车加油费、维修费、保险费以及过路过桥费。费用支出较年初预算数减少1.57万元，下降12.1%，较上年支出数减少0.07万元，下降0.6%，</w:t>
      </w:r>
      <w:r>
        <w:rPr>
          <w:rFonts w:hint="eastAsia" w:asciiTheme="minorEastAsia" w:hAnsiTheme="minorEastAsia" w:eastAsiaTheme="minorEastAsia" w:cstheme="minorEastAsia"/>
          <w:b w:val="0"/>
          <w:bCs w:val="0"/>
          <w:color w:val="auto"/>
          <w:kern w:val="2"/>
          <w:sz w:val="28"/>
          <w:szCs w:val="28"/>
        </w:rPr>
        <w:t>较年初预算和上年决算下降的主要原因是</w:t>
      </w:r>
      <w:r>
        <w:rPr>
          <w:rFonts w:hint="eastAsia" w:asciiTheme="minorEastAsia" w:hAnsiTheme="minorEastAsia" w:eastAsiaTheme="minorEastAsia" w:cstheme="minorEastAsia"/>
          <w:b w:val="0"/>
          <w:bCs w:val="0"/>
          <w:color w:val="auto"/>
          <w:sz w:val="28"/>
          <w:szCs w:val="28"/>
          <w:shd w:val="clear" w:color="auto" w:fill="FFFFFF"/>
          <w:lang w:eastAsia="zh-CN"/>
        </w:rPr>
        <w:t>落实过紧日子要求，减少公务用车运行维护费。</w:t>
      </w:r>
    </w:p>
    <w:p w14:paraId="04B3E093">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公务接待费8.45万元，主要用于接待为执行公务或</w:t>
      </w:r>
      <w:r>
        <w:rPr>
          <w:rFonts w:hint="eastAsia" w:asciiTheme="minorEastAsia" w:hAnsiTheme="minorEastAsia" w:eastAsiaTheme="minorEastAsia" w:cstheme="minorEastAsia"/>
          <w:sz w:val="28"/>
          <w:szCs w:val="28"/>
          <w:shd w:val="clear" w:color="auto" w:fill="FFFFFF"/>
        </w:rPr>
        <w:t>开展业务活动需要的合理开支的接待费，主要包括接待对象的用餐费和住宿费。费用支出较年初预</w:t>
      </w:r>
      <w:r>
        <w:rPr>
          <w:rFonts w:hint="eastAsia" w:asciiTheme="minorEastAsia" w:hAnsiTheme="minorEastAsia" w:eastAsiaTheme="minorEastAsia" w:cstheme="minorEastAsia"/>
          <w:b w:val="0"/>
          <w:bCs w:val="0"/>
          <w:color w:val="auto"/>
          <w:sz w:val="28"/>
          <w:szCs w:val="28"/>
          <w:shd w:val="clear" w:color="auto" w:fill="FFFFFF"/>
        </w:rPr>
        <w:t>算数减少2.55万元，下降23.2%，较上年支出数减少0.04万元，下降0.5%，</w:t>
      </w:r>
      <w:r>
        <w:rPr>
          <w:rFonts w:hint="eastAsia" w:asciiTheme="minorEastAsia" w:hAnsiTheme="minorEastAsia" w:eastAsiaTheme="minorEastAsia" w:cstheme="minorEastAsia"/>
          <w:b w:val="0"/>
          <w:bCs w:val="0"/>
          <w:color w:val="auto"/>
          <w:kern w:val="2"/>
          <w:sz w:val="28"/>
          <w:szCs w:val="28"/>
        </w:rPr>
        <w:t>较年初预算和上年决算下降的主要原因是</w:t>
      </w:r>
      <w:r>
        <w:rPr>
          <w:rFonts w:hint="eastAsia" w:asciiTheme="minorEastAsia" w:hAnsiTheme="minorEastAsia" w:eastAsiaTheme="minorEastAsia" w:cstheme="minorEastAsia"/>
          <w:b w:val="0"/>
          <w:bCs w:val="0"/>
          <w:color w:val="auto"/>
          <w:sz w:val="28"/>
          <w:szCs w:val="28"/>
          <w:shd w:val="clear" w:color="auto" w:fill="FFFFFF"/>
          <w:lang w:eastAsia="zh-CN"/>
        </w:rPr>
        <w:t>落实过紧日子要求，减少接待，在食堂吃工作餐减少接待费。</w:t>
      </w:r>
    </w:p>
    <w:p w14:paraId="3A4822F1">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（三）“三公”经费实物量情况</w:t>
      </w:r>
    </w:p>
    <w:p w14:paraId="7A3DF572">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right="0" w:rightChars="0"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2024年度本部门因公出国（境）共计0个团组，0人；公务用车购置0辆，公务车保有量为6辆；国内公务接待173批次1417人，其中：国内外事接待0批次，0人；国（境）外公务接待0批次，0人。2024年本部门人均接待费59.65元，车均购置费0万元，车均维护费1.91万元。</w:t>
      </w:r>
    </w:p>
    <w:p w14:paraId="1A37077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0"/>
          <w:rFonts w:hint="eastAsia" w:asciiTheme="minorEastAsia" w:hAnsiTheme="minorEastAsia" w:eastAsiaTheme="minorEastAsia" w:cstheme="minorEastAsia"/>
          <w:b w:val="0"/>
          <w:bCs/>
          <w:sz w:val="28"/>
          <w:szCs w:val="28"/>
          <w:shd w:val="clear" w:color="auto" w:fill="FFFFFF"/>
        </w:rPr>
      </w:pPr>
      <w:r>
        <w:rPr>
          <w:rStyle w:val="10"/>
          <w:rFonts w:hint="eastAsia" w:asciiTheme="minorEastAsia" w:hAnsiTheme="minorEastAsia" w:eastAsiaTheme="minorEastAsia" w:cstheme="minorEastAsia"/>
          <w:b w:val="0"/>
          <w:bCs/>
          <w:sz w:val="28"/>
          <w:szCs w:val="28"/>
          <w:shd w:val="clear" w:color="auto" w:fill="FFFFFF"/>
        </w:rPr>
        <w:t>四、其他需要说明的事项</w:t>
      </w:r>
    </w:p>
    <w:p w14:paraId="272A77C9">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lang w:val="en-US" w:eastAsia="zh-CN"/>
        </w:rPr>
      </w:pPr>
      <w:r>
        <w:rPr>
          <w:rFonts w:hint="eastAsia" w:asciiTheme="minorEastAsia" w:hAnsiTheme="minorEastAsia" w:eastAsiaTheme="minorEastAsia" w:cstheme="minorEastAsia"/>
          <w:b w:val="0"/>
          <w:bCs w:val="0"/>
          <w:sz w:val="28"/>
          <w:szCs w:val="28"/>
          <w:shd w:val="clear" w:color="auto" w:fill="FFFFFF"/>
          <w:lang w:val="en-US" w:eastAsia="zh-CN"/>
        </w:rPr>
        <w:t>（一）财政拨款会议费、培训费和差旅费情况说明</w:t>
      </w:r>
    </w:p>
    <w:p w14:paraId="6DAECC62">
      <w:pPr>
        <w:keepNext w:val="0"/>
        <w:keepLines w:val="0"/>
        <w:pageBreakBefore w:val="0"/>
        <w:kinsoku/>
        <w:overflowPunct/>
        <w:topLinePunct w:val="0"/>
        <w:autoSpaceDN/>
        <w:bidi w:val="0"/>
        <w:adjustRightInd/>
        <w:snapToGrid w:val="0"/>
        <w:spacing w:line="600" w:lineRule="exact"/>
        <w:ind w:left="0" w:right="0" w:rightChars="0" w:firstLine="560" w:firstLineChars="200"/>
        <w:rPr>
          <w:rFonts w:hint="eastAsia" w:asciiTheme="minorEastAsia" w:hAnsiTheme="minorEastAsia" w:eastAsiaTheme="minorEastAsia" w:cstheme="minorEastAsia"/>
          <w:b w:val="0"/>
          <w:bCs/>
          <w:color w:val="auto"/>
          <w:sz w:val="28"/>
          <w:szCs w:val="28"/>
          <w:highlight w:val="yellow"/>
        </w:rPr>
      </w:pPr>
      <w:r>
        <w:rPr>
          <w:rStyle w:val="10"/>
          <w:rFonts w:hint="eastAsia" w:asciiTheme="minorEastAsia" w:hAnsiTheme="minorEastAsia" w:eastAsiaTheme="minorEastAsia" w:cstheme="minorEastAsia"/>
          <w:b w:val="0"/>
          <w:bCs/>
          <w:sz w:val="28"/>
          <w:szCs w:val="28"/>
          <w:shd w:val="clear" w:color="auto" w:fill="FFFFFF"/>
          <w:lang w:val="en-US" w:eastAsia="zh-CN" w:bidi="ar-SA"/>
        </w:rPr>
        <w:t>本年度会议费支出0.00万元，与2023年度相比，减少4.53万元，下降100.0%，</w:t>
      </w:r>
      <w:r>
        <w:rPr>
          <w:rFonts w:hint="eastAsia" w:asciiTheme="minorEastAsia" w:hAnsiTheme="minorEastAsia" w:eastAsiaTheme="minorEastAsia" w:cstheme="minorEastAsia"/>
          <w:b w:val="0"/>
          <w:bCs/>
          <w:sz w:val="28"/>
          <w:szCs w:val="28"/>
          <w:shd w:val="clear" w:color="auto" w:fill="FFFFFF"/>
        </w:rPr>
        <w:t>主要原因是</w:t>
      </w:r>
      <w:r>
        <w:rPr>
          <w:rFonts w:hint="eastAsia" w:asciiTheme="minorEastAsia" w:hAnsiTheme="minorEastAsia" w:eastAsiaTheme="minorEastAsia" w:cstheme="minorEastAsia"/>
          <w:b w:val="0"/>
          <w:bCs/>
          <w:sz w:val="28"/>
          <w:szCs w:val="28"/>
          <w:lang w:eastAsia="zh-CN"/>
        </w:rPr>
        <w:t>主要</w:t>
      </w:r>
      <w:r>
        <w:rPr>
          <w:rFonts w:hint="eastAsia" w:asciiTheme="minorEastAsia" w:hAnsiTheme="minorEastAsia" w:eastAsiaTheme="minorEastAsia" w:cstheme="minorEastAsia"/>
          <w:b w:val="0"/>
          <w:bCs/>
          <w:sz w:val="28"/>
          <w:szCs w:val="28"/>
        </w:rPr>
        <w:t>原因在于今年会议费减少，且会议生活开支纳入食堂开支里面核算。</w:t>
      </w:r>
      <w:r>
        <w:rPr>
          <w:rStyle w:val="10"/>
          <w:rFonts w:hint="eastAsia" w:asciiTheme="minorEastAsia" w:hAnsiTheme="minorEastAsia" w:eastAsiaTheme="minorEastAsia" w:cstheme="minorEastAsia"/>
          <w:b w:val="0"/>
          <w:bCs/>
          <w:sz w:val="28"/>
          <w:szCs w:val="28"/>
          <w:shd w:val="clear" w:color="auto" w:fill="FFFFFF"/>
          <w:lang w:val="en-US" w:eastAsia="zh-CN" w:bidi="ar-SA"/>
        </w:rPr>
        <w:t>本年度培训费支出1.93万元，与2023年度相比，增加0.94万元，增长95.0%，</w:t>
      </w:r>
      <w:r>
        <w:rPr>
          <w:rFonts w:hint="eastAsia" w:asciiTheme="minorEastAsia" w:hAnsiTheme="minorEastAsia" w:eastAsiaTheme="minorEastAsia" w:cstheme="minorEastAsia"/>
          <w:b w:val="0"/>
          <w:bCs/>
          <w:sz w:val="28"/>
          <w:szCs w:val="28"/>
          <w:shd w:val="clear" w:color="auto" w:fill="FFFFFF"/>
        </w:rPr>
        <w:t>主要原因是原因在于人大培训增加。</w:t>
      </w:r>
      <w:r>
        <w:rPr>
          <w:rStyle w:val="10"/>
          <w:rFonts w:hint="eastAsia" w:asciiTheme="minorEastAsia" w:hAnsiTheme="minorEastAsia" w:eastAsiaTheme="minorEastAsia" w:cstheme="minorEastAsia"/>
          <w:b w:val="0"/>
          <w:bCs/>
          <w:sz w:val="28"/>
          <w:szCs w:val="28"/>
          <w:shd w:val="clear" w:color="auto" w:fill="FFFFFF"/>
          <w:lang w:val="en-US" w:eastAsia="zh-CN" w:bidi="ar-SA"/>
        </w:rPr>
        <w:t>本年度差旅费支出64.48万元，与2023年度相比，增加60.01万元，增长1342.5%，</w:t>
      </w:r>
      <w:r>
        <w:rPr>
          <w:rFonts w:hint="eastAsia" w:asciiTheme="minorEastAsia" w:hAnsiTheme="minorEastAsia" w:eastAsiaTheme="minorEastAsia" w:cstheme="minorEastAsia"/>
          <w:b w:val="0"/>
          <w:bCs/>
          <w:sz w:val="28"/>
          <w:szCs w:val="28"/>
          <w:shd w:val="clear" w:color="auto" w:fill="FFFFFF"/>
        </w:rPr>
        <w:t>主要原因是</w:t>
      </w:r>
      <w:r>
        <w:rPr>
          <w:rFonts w:hint="eastAsia" w:asciiTheme="minorEastAsia" w:hAnsiTheme="minorEastAsia" w:eastAsiaTheme="minorEastAsia" w:cstheme="minorEastAsia"/>
          <w:b w:val="0"/>
          <w:bCs/>
          <w:sz w:val="28"/>
          <w:szCs w:val="28"/>
          <w:shd w:val="clear" w:color="auto" w:fill="FFFFFF"/>
          <w:lang w:val="en-US" w:eastAsia="zh-CN"/>
        </w:rPr>
        <w:t>2023年</w:t>
      </w:r>
      <w:r>
        <w:rPr>
          <w:rFonts w:hint="eastAsia" w:asciiTheme="minorEastAsia" w:hAnsiTheme="minorEastAsia" w:eastAsiaTheme="minorEastAsia" w:cstheme="minorEastAsia"/>
          <w:b w:val="0"/>
          <w:bCs/>
          <w:color w:val="auto"/>
          <w:sz w:val="28"/>
          <w:szCs w:val="28"/>
          <w:shd w:val="clear" w:color="auto" w:fill="FFFFFF"/>
          <w:lang w:eastAsia="zh-CN"/>
        </w:rPr>
        <w:t>财政紧张导致</w:t>
      </w:r>
      <w:r>
        <w:rPr>
          <w:rFonts w:hint="eastAsia" w:asciiTheme="minorEastAsia" w:hAnsiTheme="minorEastAsia" w:eastAsiaTheme="minorEastAsia" w:cstheme="minorEastAsia"/>
          <w:b w:val="0"/>
          <w:bCs/>
          <w:color w:val="auto"/>
          <w:sz w:val="28"/>
          <w:szCs w:val="28"/>
          <w:shd w:val="clear" w:color="auto" w:fill="FFFFFF"/>
          <w:lang w:val="en-US" w:eastAsia="zh-CN"/>
        </w:rPr>
        <w:t>2023年的差旅费在2024年报销。</w:t>
      </w:r>
    </w:p>
    <w:p w14:paraId="095213DE">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lang w:val="en-US" w:eastAsia="zh-CN"/>
        </w:rPr>
      </w:pPr>
      <w:r>
        <w:rPr>
          <w:rFonts w:hint="eastAsia" w:asciiTheme="minorEastAsia" w:hAnsiTheme="minorEastAsia" w:eastAsiaTheme="minorEastAsia" w:cstheme="minorEastAsia"/>
          <w:b w:val="0"/>
          <w:bCs w:val="0"/>
          <w:sz w:val="28"/>
          <w:szCs w:val="28"/>
          <w:shd w:val="clear" w:color="auto" w:fill="FFFFFF"/>
          <w:lang w:val="en-US" w:eastAsia="zh-CN"/>
        </w:rPr>
        <w:t>（二）机关运行经费情况说明</w:t>
      </w:r>
    </w:p>
    <w:p w14:paraId="10DD036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0"/>
          <w:rFonts w:hint="eastAsia" w:asciiTheme="minorEastAsia" w:hAnsiTheme="minorEastAsia" w:eastAsiaTheme="minorEastAsia" w:cstheme="minorEastAsia"/>
          <w:b w:val="0"/>
          <w:bCs/>
          <w:sz w:val="28"/>
          <w:szCs w:val="28"/>
          <w:shd w:val="clear" w:color="auto" w:fill="FFFFFF"/>
          <w:lang w:val="en-US" w:eastAsia="zh-CN" w:bidi="ar-SA"/>
        </w:rPr>
      </w:pPr>
      <w:r>
        <w:rPr>
          <w:rStyle w:val="10"/>
          <w:rFonts w:hint="eastAsia" w:asciiTheme="minorEastAsia" w:hAnsiTheme="minorEastAsia" w:eastAsiaTheme="minorEastAsia" w:cstheme="minorEastAsia"/>
          <w:b w:val="0"/>
          <w:bCs/>
          <w:sz w:val="28"/>
          <w:szCs w:val="28"/>
          <w:shd w:val="clear" w:color="auto" w:fill="FFFFFF"/>
          <w:lang w:val="en-US" w:eastAsia="zh-CN" w:bidi="ar-SA"/>
        </w:rPr>
        <w:t>2024年度本部门机关运行经费支出110.50万元，机关运行经费主要用于开支行政的日常公用经费支出，主要包括</w:t>
      </w:r>
      <w:r>
        <w:rPr>
          <w:rFonts w:hint="eastAsia" w:asciiTheme="minorEastAsia" w:hAnsiTheme="minorEastAsia" w:eastAsiaTheme="minorEastAsia" w:cstheme="minorEastAsia"/>
          <w:sz w:val="28"/>
          <w:szCs w:val="28"/>
          <w:shd w:val="clear" w:color="auto" w:fill="FFFFFF"/>
        </w:rPr>
        <w:t>办公费、印刷费、电费、邮电费、差旅费、维修费、会议费、培训费、公务</w:t>
      </w:r>
      <w:r>
        <w:rPr>
          <w:rStyle w:val="10"/>
          <w:rFonts w:hint="eastAsia" w:asciiTheme="minorEastAsia" w:hAnsiTheme="minorEastAsia" w:eastAsiaTheme="minorEastAsia" w:cstheme="minorEastAsia"/>
          <w:b w:val="0"/>
          <w:bCs/>
          <w:sz w:val="28"/>
          <w:szCs w:val="28"/>
          <w:shd w:val="clear" w:color="auto" w:fill="FFFFFF"/>
          <w:lang w:val="en-US" w:eastAsia="zh-CN" w:bidi="ar-SA"/>
        </w:rPr>
        <w:t>接待费、劳务费、工会经费、公务用车运行维护费、其他交通费用以及职工伙食费。机关运行经费较上年支出数减少161.68万元，下降59.4%，主要原因是较上年减少公务用车购置费用以及落实过紧日子要求。</w:t>
      </w:r>
    </w:p>
    <w:p w14:paraId="57EBB07E">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lang w:val="en-US" w:eastAsia="zh-CN"/>
        </w:rPr>
      </w:pPr>
      <w:r>
        <w:rPr>
          <w:rFonts w:hint="eastAsia" w:asciiTheme="minorEastAsia" w:hAnsiTheme="minorEastAsia" w:eastAsiaTheme="minorEastAsia" w:cstheme="minorEastAsia"/>
          <w:b w:val="0"/>
          <w:bCs w:val="0"/>
          <w:sz w:val="28"/>
          <w:szCs w:val="28"/>
          <w:shd w:val="clear" w:color="auto" w:fill="FFFFFF"/>
          <w:lang w:val="en-US" w:eastAsia="zh-CN"/>
        </w:rPr>
        <w:t>（三）国有资产占用情况说明</w:t>
      </w:r>
    </w:p>
    <w:p w14:paraId="2D4BF12E">
      <w:pPr>
        <w:keepNext w:val="0"/>
        <w:keepLines w:val="0"/>
        <w:pageBreakBefore w:val="0"/>
        <w:kinsoku/>
        <w:overflowPunct/>
        <w:topLinePunct w:val="0"/>
        <w:autoSpaceDN/>
        <w:bidi w:val="0"/>
        <w:adjustRightInd/>
        <w:snapToGrid w:val="0"/>
        <w:spacing w:line="600" w:lineRule="exact"/>
        <w:ind w:left="0" w:right="0" w:rightChars="0" w:firstLine="560" w:firstLineChars="200"/>
        <w:rPr>
          <w:rStyle w:val="10"/>
          <w:rFonts w:hint="eastAsia" w:asciiTheme="minorEastAsia" w:hAnsiTheme="minorEastAsia" w:eastAsiaTheme="minorEastAsia" w:cstheme="minorEastAsia"/>
          <w:b w:val="0"/>
          <w:bCs/>
          <w:sz w:val="28"/>
          <w:szCs w:val="28"/>
          <w:shd w:val="clear" w:color="auto" w:fill="FFFFFF"/>
          <w:lang w:val="en-US" w:eastAsia="zh-CN" w:bidi="ar-SA"/>
        </w:rPr>
      </w:pPr>
      <w:r>
        <w:rPr>
          <w:rStyle w:val="10"/>
          <w:rFonts w:hint="eastAsia" w:asciiTheme="minorEastAsia" w:hAnsiTheme="minorEastAsia" w:eastAsiaTheme="minorEastAsia" w:cstheme="minorEastAsia"/>
          <w:b w:val="0"/>
          <w:bCs/>
          <w:sz w:val="28"/>
          <w:szCs w:val="28"/>
          <w:shd w:val="clear" w:color="auto" w:fill="FFFFFF"/>
          <w:lang w:val="en-US" w:eastAsia="zh-CN" w:bidi="ar-SA"/>
        </w:rPr>
        <w:t>截至2024年12月31日，本部门共有车辆6辆，其中，副部（省）级及以上领导用车0辆、主要负责人用车0辆、机要通信用车0辆、应急保障用车4辆、执法执勤用车0辆，特种专业技术用车2辆，离退休干部用车0辆。单价100万元（含）以上专用设备0台（套）。</w:t>
      </w:r>
    </w:p>
    <w:p w14:paraId="6E8F48FB">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lang w:val="en-US" w:eastAsia="zh-CN"/>
        </w:rPr>
      </w:pPr>
      <w:r>
        <w:rPr>
          <w:rFonts w:hint="eastAsia" w:asciiTheme="minorEastAsia" w:hAnsiTheme="minorEastAsia" w:eastAsiaTheme="minorEastAsia" w:cstheme="minorEastAsia"/>
          <w:b w:val="0"/>
          <w:bCs w:val="0"/>
          <w:sz w:val="28"/>
          <w:szCs w:val="28"/>
          <w:shd w:val="clear" w:color="auto" w:fill="FFFFFF"/>
          <w:lang w:val="en-US" w:eastAsia="zh-CN"/>
        </w:rPr>
        <w:t>（四）政府采购支出情况说明</w:t>
      </w:r>
    </w:p>
    <w:p w14:paraId="313EBCF4">
      <w:pPr>
        <w:keepNext w:val="0"/>
        <w:keepLines w:val="0"/>
        <w:pageBreakBefore w:val="0"/>
        <w:kinsoku/>
        <w:overflowPunct/>
        <w:topLinePunct w:val="0"/>
        <w:autoSpaceDN/>
        <w:bidi w:val="0"/>
        <w:adjustRightInd/>
        <w:snapToGrid w:val="0"/>
        <w:spacing w:line="600" w:lineRule="exact"/>
        <w:ind w:left="0" w:right="0" w:rightChars="0" w:firstLine="560" w:firstLineChars="200"/>
        <w:rPr>
          <w:rStyle w:val="10"/>
          <w:rFonts w:hint="eastAsia" w:asciiTheme="minorEastAsia" w:hAnsiTheme="minorEastAsia" w:eastAsiaTheme="minorEastAsia" w:cstheme="minorEastAsia"/>
          <w:b w:val="0"/>
          <w:bCs/>
          <w:sz w:val="28"/>
          <w:szCs w:val="28"/>
          <w:shd w:val="clear" w:color="auto" w:fill="FFFFFF"/>
          <w:lang w:val="en-US" w:eastAsia="zh-CN" w:bidi="ar-SA"/>
        </w:rPr>
        <w:sectPr>
          <w:footerReference r:id="rId3" w:type="default"/>
          <w:pgSz w:w="11915" w:h="16840"/>
          <w:pgMar w:top="2098" w:right="1531" w:bottom="1984" w:left="1531" w:header="851" w:footer="992" w:gutter="0"/>
          <w:pgNumType w:fmt="decimal"/>
          <w:cols w:space="720" w:num="1"/>
          <w:docGrid w:type="lines" w:linePitch="312" w:charSpace="0"/>
        </w:sectPr>
      </w:pPr>
      <w:r>
        <w:rPr>
          <w:rStyle w:val="10"/>
          <w:rFonts w:hint="eastAsia" w:asciiTheme="minorEastAsia" w:hAnsiTheme="minorEastAsia" w:eastAsiaTheme="minorEastAsia" w:cstheme="minorEastAsia"/>
          <w:b w:val="0"/>
          <w:bCs/>
          <w:sz w:val="28"/>
          <w:szCs w:val="28"/>
          <w:shd w:val="clear" w:color="auto" w:fill="FFFFFF"/>
          <w:lang w:val="en-US" w:eastAsia="zh-CN" w:bidi="ar-SA"/>
        </w:rPr>
        <w:t>2024年度我部门未发生政府采购事项，无相关经费支出。</w:t>
      </w:r>
    </w:p>
    <w:p w14:paraId="0D42073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rightChars="0" w:firstLine="562" w:firstLineChars="200"/>
        <w:textAlignment w:val="auto"/>
        <w:rPr>
          <w:rStyle w:val="10"/>
          <w:rFonts w:hint="eastAsia" w:asciiTheme="minorEastAsia" w:hAnsiTheme="minorEastAsia" w:eastAsiaTheme="minorEastAsia" w:cstheme="minorEastAsia"/>
          <w:sz w:val="28"/>
          <w:szCs w:val="28"/>
          <w:shd w:val="clear" w:color="auto" w:fill="FFFFFF"/>
          <w:lang w:val="en-US" w:eastAsia="zh-CN" w:bidi="ar-SA"/>
        </w:rPr>
      </w:pPr>
      <w:r>
        <w:rPr>
          <w:rStyle w:val="10"/>
          <w:rFonts w:hint="eastAsia" w:asciiTheme="minorEastAsia" w:hAnsiTheme="minorEastAsia" w:eastAsiaTheme="minorEastAsia" w:cstheme="minorEastAsia"/>
          <w:sz w:val="28"/>
          <w:szCs w:val="28"/>
          <w:shd w:val="clear" w:color="auto" w:fill="FFFFFF"/>
          <w:lang w:val="en-US" w:eastAsia="zh-CN" w:bidi="ar-SA"/>
        </w:rPr>
        <w:t>五、2024年度预算绩效管理情况说明</w:t>
      </w:r>
    </w:p>
    <w:p w14:paraId="3E97498B">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（一）</w:t>
      </w:r>
      <w:r>
        <w:rPr>
          <w:rFonts w:hint="eastAsia" w:asciiTheme="minorEastAsia" w:hAnsiTheme="minorEastAsia" w:eastAsiaTheme="minorEastAsia" w:cstheme="minorEastAsia"/>
          <w:b w:val="0"/>
          <w:bCs w:val="0"/>
          <w:sz w:val="28"/>
          <w:szCs w:val="28"/>
          <w:shd w:val="clear" w:color="auto" w:fill="FFFFFF"/>
          <w:lang w:val="en-US" w:eastAsia="zh-CN"/>
        </w:rPr>
        <w:t>部门</w:t>
      </w:r>
      <w:r>
        <w:rPr>
          <w:rFonts w:hint="eastAsia" w:asciiTheme="minorEastAsia" w:hAnsiTheme="minorEastAsia" w:eastAsiaTheme="minorEastAsia" w:cstheme="minorEastAsia"/>
          <w:b w:val="0"/>
          <w:bCs w:val="0"/>
          <w:sz w:val="28"/>
          <w:szCs w:val="28"/>
          <w:shd w:val="clear" w:color="auto" w:fill="FFFFFF"/>
        </w:rPr>
        <w:t>自评情况</w:t>
      </w:r>
    </w:p>
    <w:p w14:paraId="568D4D2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rPr>
        <w:t>根据预算绩效管理要求，我</w:t>
      </w:r>
      <w:r>
        <w:rPr>
          <w:rFonts w:hint="eastAsia" w:asciiTheme="minorEastAsia" w:hAnsiTheme="minorEastAsia" w:eastAsiaTheme="minorEastAsia" w:cstheme="minorEastAsia"/>
          <w:kern w:val="0"/>
          <w:sz w:val="28"/>
          <w:szCs w:val="28"/>
          <w:shd w:val="clear" w:fill="FFFFFF"/>
          <w:lang w:val="en-US" w:eastAsia="zh-CN"/>
        </w:rPr>
        <w:t>部门</w:t>
      </w:r>
      <w:r>
        <w:rPr>
          <w:rFonts w:hint="eastAsia" w:asciiTheme="minorEastAsia" w:hAnsiTheme="minorEastAsia" w:eastAsiaTheme="minorEastAsia" w:cstheme="minorEastAsia"/>
          <w:kern w:val="0"/>
          <w:sz w:val="28"/>
          <w:szCs w:val="28"/>
          <w:shd w:val="clear" w:fill="FFFFFF"/>
        </w:rPr>
        <w:t>对</w:t>
      </w:r>
      <w:r>
        <w:rPr>
          <w:rFonts w:hint="eastAsia" w:asciiTheme="minorEastAsia" w:hAnsiTheme="minorEastAsia" w:eastAsiaTheme="minorEastAsia" w:cstheme="minorEastAsia"/>
          <w:kern w:val="0"/>
          <w:sz w:val="28"/>
          <w:szCs w:val="28"/>
          <w:shd w:val="clear" w:fill="FFFFFF"/>
          <w:lang w:val="en-US" w:eastAsia="zh-CN"/>
        </w:rPr>
        <w:t>部门</w:t>
      </w:r>
      <w:r>
        <w:rPr>
          <w:rFonts w:hint="eastAsia" w:asciiTheme="minorEastAsia" w:hAnsiTheme="minorEastAsia" w:eastAsiaTheme="minorEastAsia" w:cstheme="minorEastAsia"/>
          <w:kern w:val="0"/>
          <w:sz w:val="28"/>
          <w:szCs w:val="28"/>
          <w:shd w:val="clear" w:fill="FFFFFF"/>
        </w:rPr>
        <w:t>整体和</w:t>
      </w:r>
      <w:r>
        <w:rPr>
          <w:rFonts w:hint="eastAsia" w:asciiTheme="minorEastAsia" w:hAnsiTheme="minorEastAsia" w:eastAsiaTheme="minorEastAsia" w:cstheme="minorEastAsia"/>
          <w:kern w:val="0"/>
          <w:sz w:val="28"/>
          <w:szCs w:val="28"/>
          <w:shd w:val="clear" w:fill="FFFFFF"/>
          <w:lang w:val="en-US" w:eastAsia="zh-CN"/>
        </w:rPr>
        <w:t>102</w:t>
      </w:r>
      <w:r>
        <w:rPr>
          <w:rFonts w:hint="eastAsia" w:asciiTheme="minorEastAsia" w:hAnsiTheme="minorEastAsia" w:eastAsiaTheme="minorEastAsia" w:cstheme="minorEastAsia"/>
          <w:kern w:val="0"/>
          <w:sz w:val="28"/>
          <w:szCs w:val="28"/>
          <w:shd w:val="clear" w:fill="FFFFFF"/>
        </w:rPr>
        <w:t>个项目开展了绩效自评，涉及财政拨款项目支出资</w:t>
      </w:r>
      <w:r>
        <w:rPr>
          <w:rFonts w:hint="eastAsia" w:asciiTheme="minorEastAsia" w:hAnsiTheme="minorEastAsia" w:eastAsiaTheme="minorEastAsia" w:cstheme="minorEastAsia"/>
          <w:kern w:val="0"/>
          <w:sz w:val="28"/>
          <w:szCs w:val="28"/>
          <w:shd w:val="clear" w:fill="FFFFFF"/>
          <w:lang w:eastAsia="zh-CN"/>
        </w:rPr>
        <w:t>金</w:t>
      </w:r>
      <w:r>
        <w:rPr>
          <w:rFonts w:hint="eastAsia" w:asciiTheme="minorEastAsia" w:hAnsiTheme="minorEastAsia" w:eastAsiaTheme="minorEastAsia" w:cstheme="minorEastAsia"/>
          <w:kern w:val="0"/>
          <w:sz w:val="28"/>
          <w:szCs w:val="28"/>
          <w:shd w:val="clear" w:fill="FFFFFF"/>
        </w:rPr>
        <w:t>4221</w:t>
      </w:r>
      <w:r>
        <w:rPr>
          <w:rFonts w:hint="eastAsia" w:asciiTheme="minorEastAsia" w:hAnsiTheme="minorEastAsia" w:eastAsiaTheme="minorEastAsia" w:cstheme="minorEastAsia"/>
          <w:kern w:val="0"/>
          <w:sz w:val="28"/>
          <w:szCs w:val="28"/>
          <w:shd w:val="clear" w:fill="FFFFFF"/>
          <w:lang w:val="en-US" w:eastAsia="zh-CN"/>
        </w:rPr>
        <w:t>.</w:t>
      </w:r>
      <w:r>
        <w:rPr>
          <w:rFonts w:hint="eastAsia" w:asciiTheme="minorEastAsia" w:hAnsiTheme="minorEastAsia" w:eastAsiaTheme="minorEastAsia" w:cstheme="minorEastAsia"/>
          <w:kern w:val="0"/>
          <w:sz w:val="28"/>
          <w:szCs w:val="28"/>
          <w:shd w:val="clear" w:fill="FFFFFF"/>
        </w:rPr>
        <w:t>09万元</w:t>
      </w:r>
      <w:r>
        <w:rPr>
          <w:rFonts w:hint="eastAsia" w:asciiTheme="minorEastAsia" w:hAnsiTheme="minorEastAsia" w:eastAsiaTheme="minorEastAsia" w:cstheme="minorEastAsia"/>
          <w:kern w:val="0"/>
          <w:sz w:val="28"/>
          <w:szCs w:val="28"/>
          <w:shd w:val="clear" w:fill="FFFFFF"/>
          <w:lang w:eastAsia="zh-CN"/>
        </w:rPr>
        <w:t>。</w:t>
      </w:r>
    </w:p>
    <w:p w14:paraId="715CF1D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560" w:firstLineChars="200"/>
        <w:jc w:val="left"/>
        <w:textAlignment w:val="auto"/>
        <w:rPr>
          <w:rFonts w:hint="eastAsia" w:asciiTheme="minorEastAsia" w:hAnsiTheme="minorEastAsia" w:eastAsiaTheme="minorEastAsia" w:cstheme="minorEastAsia"/>
          <w:color w:val="auto"/>
          <w:kern w:val="0"/>
          <w:sz w:val="28"/>
          <w:szCs w:val="28"/>
          <w:shd w:val="clear" w:fill="FFFFFF"/>
          <w:lang w:eastAsia="zh-CN"/>
        </w:rPr>
      </w:pPr>
      <w:r>
        <w:rPr>
          <w:rFonts w:hint="eastAsia" w:asciiTheme="minorEastAsia" w:hAnsiTheme="minorEastAsia" w:eastAsiaTheme="minorEastAsia" w:cstheme="minorEastAsia"/>
          <w:color w:val="auto"/>
          <w:kern w:val="0"/>
          <w:sz w:val="28"/>
          <w:szCs w:val="28"/>
          <w:shd w:val="clear" w:fill="FFFFFF"/>
          <w:lang w:val="en-US" w:eastAsia="zh-CN"/>
        </w:rPr>
        <w:t>2024年度</w:t>
      </w:r>
      <w:r>
        <w:rPr>
          <w:rFonts w:hint="eastAsia" w:asciiTheme="minorEastAsia" w:hAnsiTheme="minorEastAsia" w:eastAsiaTheme="minorEastAsia" w:cstheme="minorEastAsia"/>
          <w:color w:val="auto"/>
          <w:kern w:val="0"/>
          <w:sz w:val="28"/>
          <w:szCs w:val="28"/>
          <w:shd w:val="clear" w:fill="FFFFFF"/>
        </w:rPr>
        <w:t>部门整体绩效自评</w:t>
      </w:r>
      <w:r>
        <w:rPr>
          <w:rFonts w:hint="eastAsia" w:asciiTheme="minorEastAsia" w:hAnsiTheme="minorEastAsia" w:eastAsiaTheme="minorEastAsia" w:cstheme="minorEastAsia"/>
          <w:color w:val="auto"/>
          <w:kern w:val="0"/>
          <w:sz w:val="28"/>
          <w:szCs w:val="28"/>
          <w:shd w:val="clear" w:fill="FFFFFF"/>
          <w:lang w:eastAsia="zh-CN"/>
        </w:rPr>
        <w:t>表</w:t>
      </w:r>
    </w:p>
    <w:p w14:paraId="09163FE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right="0" w:rightChars="0" w:firstLine="560" w:firstLineChars="200"/>
        <w:jc w:val="left"/>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rPr>
        <w:drawing>
          <wp:anchor distT="0" distB="0" distL="114300" distR="114300" simplePos="0" relativeHeight="251659264" behindDoc="0" locked="0" layoutInCell="1" allowOverlap="1">
            <wp:simplePos x="0" y="0"/>
            <wp:positionH relativeFrom="column">
              <wp:posOffset>-36830</wp:posOffset>
            </wp:positionH>
            <wp:positionV relativeFrom="paragraph">
              <wp:posOffset>217805</wp:posOffset>
            </wp:positionV>
            <wp:extent cx="5335270" cy="3101975"/>
            <wp:effectExtent l="0" t="0" r="17780" b="31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35270" cy="3101975"/>
                    </a:xfrm>
                    <a:prstGeom prst="rect">
                      <a:avLst/>
                    </a:prstGeom>
                    <a:noFill/>
                    <a:ln>
                      <a:noFill/>
                    </a:ln>
                  </pic:spPr>
                </pic:pic>
              </a:graphicData>
            </a:graphic>
          </wp:anchor>
        </w:draw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shd w:val="clear" w:color="auto" w:fill="FFFFFF"/>
          <w:lang w:val="en-US" w:eastAsia="zh-CN"/>
        </w:rPr>
        <w:t>2024年度项目绩效自评表见附件</w:t>
      </w:r>
    </w:p>
    <w:p w14:paraId="356E32B8">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rPr>
        <w:t>（二）部门绩效评价情况</w:t>
      </w:r>
    </w:p>
    <w:p w14:paraId="6530834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560" w:firstLineChars="200"/>
        <w:jc w:val="left"/>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我部门未组织开展绩效评价。</w:t>
      </w:r>
    </w:p>
    <w:p w14:paraId="6811AA35">
      <w:pPr>
        <w:pStyle w:val="11"/>
        <w:keepNext w:val="0"/>
        <w:keepLines w:val="0"/>
        <w:pageBreakBefore w:val="0"/>
        <w:widowControl/>
        <w:kinsoku/>
        <w:wordWrap/>
        <w:overflowPunct/>
        <w:topLinePunct w:val="0"/>
        <w:autoSpaceDE w:val="0"/>
        <w:autoSpaceDN/>
        <w:bidi w:val="0"/>
        <w:adjustRightInd/>
        <w:snapToGrid/>
        <w:spacing w:line="600" w:lineRule="exact"/>
        <w:ind w:left="0" w:right="0" w:rightChars="0" w:firstLine="560" w:firstLineChars="200"/>
        <w:textAlignment w:val="auto"/>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lang w:val="en-US" w:eastAsia="zh-CN"/>
        </w:rPr>
        <w:t>（三）财政绩效评价情况</w:t>
      </w:r>
    </w:p>
    <w:p w14:paraId="4009006C">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rightChars="0" w:firstLine="560" w:firstLineChars="200"/>
        <w:jc w:val="left"/>
        <w:textAlignment w:val="auto"/>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 xml:space="preserve">县财政局未委托第三方对我部门开展绩效评价    </w:t>
      </w:r>
    </w:p>
    <w:p w14:paraId="49A0C34F">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right="0" w:rightChars="0" w:firstLine="562" w:firstLineChars="200"/>
        <w:textAlignment w:val="auto"/>
        <w:rPr>
          <w:rFonts w:hint="eastAsia" w:asciiTheme="minorEastAsia" w:hAnsiTheme="minorEastAsia" w:eastAsiaTheme="minorEastAsia" w:cstheme="minorEastAsia"/>
          <w:kern w:val="0"/>
          <w:sz w:val="28"/>
          <w:szCs w:val="28"/>
        </w:rPr>
      </w:pPr>
      <w:r>
        <w:rPr>
          <w:rStyle w:val="10"/>
          <w:rFonts w:hint="eastAsia" w:asciiTheme="minorEastAsia" w:hAnsiTheme="minorEastAsia" w:eastAsiaTheme="minorEastAsia" w:cstheme="minorEastAsia"/>
          <w:sz w:val="28"/>
          <w:szCs w:val="28"/>
          <w:shd w:val="clear" w:color="auto" w:fill="FFFFFF"/>
          <w:lang w:val="en-US" w:eastAsia="zh-CN" w:bidi="ar-SA"/>
        </w:rPr>
        <w:t>六、专业名词解释</w:t>
      </w:r>
    </w:p>
    <w:p w14:paraId="05A33472">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（一）财政拨款收入：</w:t>
      </w:r>
      <w:r>
        <w:rPr>
          <w:rFonts w:hint="eastAsia" w:asciiTheme="minorEastAsia" w:hAnsiTheme="minorEastAsia" w:eastAsiaTheme="minorEastAsia" w:cstheme="minorEastAsia"/>
          <w:kern w:val="0"/>
          <w:sz w:val="28"/>
          <w:szCs w:val="28"/>
          <w:shd w:val="clear" w:fill="FFFFFF"/>
        </w:rPr>
        <w:t>指本年度从本级财政部门取得的财政拨款，包括一般公共预算财政拨款和政府性基金预算财政拨款。</w:t>
      </w:r>
    </w:p>
    <w:p w14:paraId="7B8F74C4">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（二）事业收入：</w:t>
      </w:r>
      <w:r>
        <w:rPr>
          <w:rFonts w:hint="eastAsia" w:asciiTheme="minorEastAsia" w:hAnsiTheme="minorEastAsia" w:eastAsiaTheme="minorEastAsia" w:cstheme="minorEastAsia"/>
          <w:kern w:val="0"/>
          <w:sz w:val="28"/>
          <w:szCs w:val="28"/>
          <w:shd w:val="clear" w:fill="FFFFFF"/>
        </w:rPr>
        <w:t>指事业单位开展专业业务活动及其辅助活动取得的现金流入；事业单位收到的财政专户实际核拨的教育收费等资金在此反映。</w:t>
      </w:r>
    </w:p>
    <w:p w14:paraId="010542F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（三）经营收入：</w:t>
      </w:r>
      <w:r>
        <w:rPr>
          <w:rFonts w:hint="eastAsia" w:asciiTheme="minorEastAsia" w:hAnsiTheme="minorEastAsia" w:eastAsiaTheme="minorEastAsia" w:cstheme="minorEastAsia"/>
          <w:kern w:val="0"/>
          <w:sz w:val="28"/>
          <w:szCs w:val="28"/>
          <w:shd w:val="clear" w:fill="FFFFFF"/>
        </w:rPr>
        <w:t>指事业单位在专业业务活动及其辅助活动之外开展非独立核算经营活动取得的现金流入。</w:t>
      </w:r>
    </w:p>
    <w:p w14:paraId="61F403C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（四）其他收入：</w:t>
      </w:r>
      <w:r>
        <w:rPr>
          <w:rFonts w:hint="eastAsia" w:asciiTheme="minorEastAsia" w:hAnsiTheme="minorEastAsia" w:eastAsiaTheme="minorEastAsia" w:cstheme="minorEastAsia"/>
          <w:kern w:val="0"/>
          <w:sz w:val="28"/>
          <w:szCs w:val="28"/>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8155D99">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（五）使用非财政拨款结余（含专用结余）：</w:t>
      </w:r>
      <w:r>
        <w:rPr>
          <w:rFonts w:hint="eastAsia" w:asciiTheme="minorEastAsia" w:hAnsiTheme="minorEastAsia" w:eastAsiaTheme="minorEastAsia" w:cstheme="minorEastAsia"/>
          <w:kern w:val="0"/>
          <w:sz w:val="28"/>
          <w:szCs w:val="28"/>
          <w:shd w:val="clear" w:fill="FFFFFF"/>
        </w:rPr>
        <w:t>指单位在当年的“财政拨款收入”、“事业收入”、“经营收入”、“其他收入”等不足以安排当年支出的情况下，使用以前年度积累的非财政拨款结余弥补本年度收支缺口的资金。</w:t>
      </w:r>
    </w:p>
    <w:p w14:paraId="32F6220B">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（六）年初结转和结余：</w:t>
      </w:r>
      <w:r>
        <w:rPr>
          <w:rFonts w:hint="eastAsia" w:asciiTheme="minorEastAsia" w:hAnsiTheme="minorEastAsia" w:eastAsiaTheme="minorEastAsia" w:cstheme="minorEastAsia"/>
          <w:kern w:val="0"/>
          <w:sz w:val="28"/>
          <w:szCs w:val="28"/>
          <w:shd w:val="clear" w:fill="FFFFFF"/>
        </w:rPr>
        <w:t>指单位上年结转本年使用的基本支出结转、项目支出结转和结余、经营结余。</w:t>
      </w:r>
    </w:p>
    <w:p w14:paraId="35FE7A97">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（七）结余分配：</w:t>
      </w:r>
      <w:r>
        <w:rPr>
          <w:rFonts w:hint="eastAsia" w:asciiTheme="minorEastAsia" w:hAnsiTheme="minorEastAsia" w:eastAsiaTheme="minorEastAsia" w:cstheme="minorEastAsia"/>
          <w:kern w:val="0"/>
          <w:sz w:val="28"/>
          <w:szCs w:val="28"/>
          <w:shd w:val="clear" w:fill="FFFFFF"/>
        </w:rPr>
        <w:t>指单位按照国家有关规定，缴纳所得税、提取专用基金、转入非财政拨款结余等当年结余的分配情况。</w:t>
      </w:r>
    </w:p>
    <w:p w14:paraId="3EC13E6C">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（八）年末结转和结余：</w:t>
      </w:r>
      <w:r>
        <w:rPr>
          <w:rFonts w:hint="eastAsia" w:asciiTheme="minorEastAsia" w:hAnsiTheme="minorEastAsia" w:eastAsiaTheme="minorEastAsia" w:cstheme="minorEastAsia"/>
          <w:kern w:val="0"/>
          <w:sz w:val="28"/>
          <w:szCs w:val="28"/>
          <w:shd w:val="clear" w:fill="FFFFFF"/>
        </w:rPr>
        <w:t>指单位结转下年的基本支出结转、项目支出结转和结余、经营结余。</w:t>
      </w:r>
    </w:p>
    <w:p w14:paraId="7D681D43">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（九）基本支出：</w:t>
      </w:r>
      <w:r>
        <w:rPr>
          <w:rFonts w:hint="eastAsia" w:asciiTheme="minorEastAsia" w:hAnsiTheme="minorEastAsia" w:eastAsiaTheme="minorEastAsia" w:cstheme="minorEastAsia"/>
          <w:kern w:val="0"/>
          <w:sz w:val="28"/>
          <w:szCs w:val="28"/>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3EB3EB">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（十）项目支出：</w:t>
      </w:r>
      <w:r>
        <w:rPr>
          <w:rFonts w:hint="eastAsia" w:asciiTheme="minorEastAsia" w:hAnsiTheme="minorEastAsia" w:eastAsiaTheme="minorEastAsia" w:cstheme="minorEastAsia"/>
          <w:kern w:val="0"/>
          <w:sz w:val="28"/>
          <w:szCs w:val="28"/>
          <w:shd w:val="clear" w:fill="FFFFFF"/>
        </w:rPr>
        <w:t>指在基本支出之外为完成特定行政任务和事业发展目标所发生的支出。</w:t>
      </w:r>
    </w:p>
    <w:p w14:paraId="4DF48D86">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（十一）经营支出：</w:t>
      </w:r>
      <w:r>
        <w:rPr>
          <w:rFonts w:hint="eastAsia" w:asciiTheme="minorEastAsia" w:hAnsiTheme="minorEastAsia" w:eastAsiaTheme="minorEastAsia" w:cstheme="minorEastAsia"/>
          <w:kern w:val="0"/>
          <w:sz w:val="28"/>
          <w:szCs w:val="28"/>
          <w:shd w:val="clear" w:fill="FFFFFF"/>
        </w:rPr>
        <w:t>指事业单位在专业业务活动及其辅助活动之外开展非独立核算经营活动发生的支出。</w:t>
      </w:r>
    </w:p>
    <w:p w14:paraId="59F10C90">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（十二）“三公”经费：</w:t>
      </w:r>
      <w:r>
        <w:rPr>
          <w:rFonts w:hint="eastAsia" w:asciiTheme="minorEastAsia" w:hAnsiTheme="minorEastAsia" w:eastAsiaTheme="minorEastAsia" w:cstheme="minorEastAsia"/>
          <w:kern w:val="0"/>
          <w:sz w:val="28"/>
          <w:szCs w:val="28"/>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96EB89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（十三）机关运行经费：</w:t>
      </w:r>
      <w:r>
        <w:rPr>
          <w:rFonts w:hint="eastAsia" w:asciiTheme="minorEastAsia" w:hAnsiTheme="minorEastAsia" w:eastAsiaTheme="minorEastAsia" w:cstheme="minorEastAsia"/>
          <w:kern w:val="0"/>
          <w:sz w:val="28"/>
          <w:szCs w:val="28"/>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8C3494">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（十四）工资福利支出（支出经济分类科目类级）：</w:t>
      </w:r>
      <w:r>
        <w:rPr>
          <w:rFonts w:hint="eastAsia" w:asciiTheme="minorEastAsia" w:hAnsiTheme="minorEastAsia" w:eastAsiaTheme="minorEastAsia" w:cstheme="minorEastAsia"/>
          <w:kern w:val="0"/>
          <w:sz w:val="28"/>
          <w:szCs w:val="28"/>
          <w:shd w:val="clear" w:fill="FFFFFF"/>
        </w:rPr>
        <w:t>反映单位开支的在职职工和编制外长期聘用人员的各类劳动报酬，以及为上述人员缴纳的各项社会保险费等。</w:t>
      </w:r>
    </w:p>
    <w:p w14:paraId="509FB67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（十五）商品和服务支出（支出经济分类科目类级）：</w:t>
      </w:r>
      <w:r>
        <w:rPr>
          <w:rFonts w:hint="eastAsia" w:asciiTheme="minorEastAsia" w:hAnsiTheme="minorEastAsia" w:eastAsiaTheme="minorEastAsia" w:cstheme="minorEastAsia"/>
          <w:kern w:val="0"/>
          <w:sz w:val="28"/>
          <w:szCs w:val="28"/>
          <w:shd w:val="clear" w:fill="FFFFFF"/>
        </w:rPr>
        <w:t>反映单位购买商品和服务的支出（不包括用于购置固定资产的支出、战略性和应急储备支出）。</w:t>
      </w:r>
    </w:p>
    <w:p w14:paraId="5E84351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（十六）对个人和家庭的补助（支出经济分类科目类级）：</w:t>
      </w:r>
      <w:r>
        <w:rPr>
          <w:rFonts w:hint="eastAsia" w:asciiTheme="minorEastAsia" w:hAnsiTheme="minorEastAsia" w:eastAsiaTheme="minorEastAsia" w:cstheme="minorEastAsia"/>
          <w:kern w:val="0"/>
          <w:sz w:val="28"/>
          <w:szCs w:val="28"/>
          <w:shd w:val="clear" w:fill="FFFFFF"/>
        </w:rPr>
        <w:t>反映用于对个人和家庭的补助支出。</w:t>
      </w:r>
    </w:p>
    <w:p w14:paraId="0856FAD5">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shd w:val="clear" w:color="auto" w:fill="FFFFFF"/>
          <w:lang w:val="en-US" w:eastAsia="zh-CN" w:bidi="ar-SA"/>
        </w:rPr>
        <w:t>（十七）其他资本性支出（支出经济分类科目类级）：</w:t>
      </w:r>
      <w:r>
        <w:rPr>
          <w:rFonts w:hint="eastAsia" w:asciiTheme="minorEastAsia" w:hAnsiTheme="minorEastAsia" w:eastAsiaTheme="minorEastAsia" w:cstheme="minorEastAsia"/>
          <w:kern w:val="0"/>
          <w:sz w:val="28"/>
          <w:szCs w:val="28"/>
          <w:shd w:val="clear" w:fill="FFFFFF"/>
        </w:rPr>
        <w:t>反映非各级发展与改革部门集中安排的用于购置固定资产、战略性和应急性储备、土地和无形资产，以及构建基础设施、大型修缮和财政支持企业更新改造所发生的支出。</w:t>
      </w:r>
    </w:p>
    <w:p w14:paraId="295F1AD9">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2" w:firstLineChars="200"/>
        <w:textAlignment w:val="auto"/>
        <w:rPr>
          <w:rFonts w:hint="eastAsia" w:asciiTheme="minorEastAsia" w:hAnsiTheme="minorEastAsia" w:eastAsiaTheme="minorEastAsia" w:cstheme="minorEastAsia"/>
          <w:kern w:val="0"/>
          <w:sz w:val="28"/>
          <w:szCs w:val="28"/>
        </w:rPr>
      </w:pPr>
      <w:r>
        <w:rPr>
          <w:rStyle w:val="10"/>
          <w:rFonts w:hint="eastAsia" w:asciiTheme="minorEastAsia" w:hAnsiTheme="minorEastAsia" w:eastAsiaTheme="minorEastAsia" w:cstheme="minorEastAsia"/>
          <w:sz w:val="28"/>
          <w:szCs w:val="28"/>
          <w:shd w:val="clear" w:color="auto" w:fill="FFFFFF"/>
          <w:lang w:val="en-US" w:eastAsia="zh-CN" w:bidi="ar-SA"/>
        </w:rPr>
        <w:t>七、决算公开联系方式及信息反馈渠道</w:t>
      </w:r>
    </w:p>
    <w:p w14:paraId="6756980F">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shd w:val="clear" w:fill="FFFFFF"/>
        </w:rPr>
        <w:t>本单位决算公开信息反馈和联系方式：</w:t>
      </w:r>
    </w:p>
    <w:p w14:paraId="03D50A78">
      <w:pPr>
        <w:pStyle w:val="12"/>
        <w:keepNext w:val="0"/>
        <w:keepLines w:val="0"/>
        <w:pageBreakBefore w:val="0"/>
        <w:widowControl/>
        <w:kinsoku/>
        <w:wordWrap/>
        <w:overflowPunct/>
        <w:topLinePunct w:val="0"/>
        <w:autoSpaceDN/>
        <w:bidi w:val="0"/>
        <w:adjustRightInd/>
        <w:snapToGrid/>
        <w:spacing w:before="0" w:beforeAutospacing="0" w:after="0" w:afterAutospacing="0" w:line="600" w:lineRule="exact"/>
        <w:ind w:left="0" w:right="0" w:rightChars="0" w:firstLine="560" w:firstLineChars="200"/>
        <w:textAlignment w:val="auto"/>
        <w:rPr>
          <w:rFonts w:hint="default" w:ascii="Times New Roman" w:hAnsi="Times New Roman" w:eastAsia="方正仿宋_GBK" w:cs="Times New Roman"/>
          <w:kern w:val="0"/>
          <w:sz w:val="32"/>
          <w:szCs w:val="32"/>
          <w:lang w:val="en-US" w:eastAsia="zh-CN"/>
        </w:rPr>
      </w:pPr>
      <w:r>
        <w:rPr>
          <w:rFonts w:hint="eastAsia" w:asciiTheme="minorEastAsia" w:hAnsiTheme="minorEastAsia" w:eastAsiaTheme="minorEastAsia" w:cstheme="minorEastAsia"/>
          <w:color w:val="auto"/>
          <w:kern w:val="0"/>
          <w:sz w:val="28"/>
          <w:szCs w:val="28"/>
          <w:shd w:val="clear" w:fill="FFFFFF"/>
          <w:lang w:eastAsia="zh-CN"/>
        </w:rPr>
        <w:t>王晓燕</w:t>
      </w:r>
      <w:r>
        <w:rPr>
          <w:rFonts w:hint="eastAsia" w:asciiTheme="minorEastAsia" w:hAnsiTheme="minorEastAsia" w:eastAsiaTheme="minorEastAsia" w:cstheme="minorEastAsia"/>
          <w:color w:val="auto"/>
          <w:kern w:val="0"/>
          <w:sz w:val="28"/>
          <w:szCs w:val="28"/>
          <w:shd w:val="clear" w:fill="FFFFFF"/>
        </w:rPr>
        <w:t xml:space="preserve">   023-</w:t>
      </w:r>
      <w:r>
        <w:rPr>
          <w:rFonts w:hint="eastAsia" w:asciiTheme="minorEastAsia" w:hAnsiTheme="minorEastAsia" w:eastAsiaTheme="minorEastAsia" w:cstheme="minorEastAsia"/>
          <w:color w:val="auto"/>
          <w:kern w:val="0"/>
          <w:sz w:val="28"/>
          <w:szCs w:val="28"/>
          <w:shd w:val="clear" w:fill="FFFFFF"/>
          <w:lang w:val="en-US" w:eastAsia="zh-CN"/>
        </w:rPr>
        <w:t>70660008</w:t>
      </w:r>
    </w:p>
    <w:p w14:paraId="79D4F631">
      <w:pPr>
        <w:pStyle w:val="11"/>
        <w:keepNext w:val="0"/>
        <w:keepLines w:val="0"/>
        <w:pageBreakBefore w:val="0"/>
        <w:kinsoku/>
        <w:overflowPunct/>
        <w:topLinePunct w:val="0"/>
        <w:autoSpaceDE w:val="0"/>
        <w:autoSpaceDN/>
        <w:bidi w:val="0"/>
        <w:adjustRightInd/>
        <w:spacing w:line="600" w:lineRule="exact"/>
        <w:ind w:left="0" w:right="0" w:rightChars="0" w:firstLine="640" w:firstLineChars="200"/>
        <w:jc w:val="both"/>
        <w:rPr>
          <w:rStyle w:val="10"/>
          <w:rFonts w:hint="default" w:ascii="Times New Roman" w:hAnsi="Times New Roman" w:eastAsia="方正仿宋_GBK" w:cs="Times New Roman"/>
          <w:sz w:val="32"/>
          <w:szCs w:val="32"/>
          <w:shd w:val="clear" w:color="auto" w:fill="FFFF00"/>
        </w:rPr>
        <w:sectPr>
          <w:footerReference r:id="rId4" w:type="default"/>
          <w:pgSz w:w="11915" w:h="16840"/>
          <w:pgMar w:top="1440" w:right="1800" w:bottom="1440" w:left="1800" w:header="851" w:footer="992" w:gutter="0"/>
          <w:pgNumType w:fmt="decimal"/>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3540"/>
        <w:gridCol w:w="1395"/>
        <w:gridCol w:w="4695"/>
        <w:gridCol w:w="5107"/>
      </w:tblGrid>
      <w:tr w14:paraId="12D118B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3CCAC82F">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1DC9F15A">
        <w:tblPrEx>
          <w:tblCellMar>
            <w:top w:w="0" w:type="dxa"/>
            <w:left w:w="0" w:type="dxa"/>
            <w:bottom w:w="0" w:type="dxa"/>
            <w:right w:w="0" w:type="dxa"/>
          </w:tblCellMar>
        </w:tblPrEx>
        <w:trPr>
          <w:trHeight w:val="232" w:hRule="atLeast"/>
        </w:trPr>
        <w:tc>
          <w:tcPr>
            <w:tcW w:w="3540" w:type="dxa"/>
            <w:tcBorders>
              <w:top w:val="nil"/>
              <w:left w:val="nil"/>
              <w:bottom w:val="nil"/>
              <w:right w:val="nil"/>
            </w:tcBorders>
            <w:shd w:val="clear" w:color="auto" w:fill="auto"/>
            <w:noWrap/>
            <w:tcMar>
              <w:top w:w="15" w:type="dxa"/>
              <w:left w:w="15" w:type="dxa"/>
              <w:right w:w="15" w:type="dxa"/>
            </w:tcMar>
            <w:vAlign w:val="bottom"/>
          </w:tcPr>
          <w:p w14:paraId="7703D3DA">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395" w:type="dxa"/>
            <w:tcBorders>
              <w:top w:val="nil"/>
              <w:left w:val="nil"/>
              <w:bottom w:val="nil"/>
              <w:right w:val="nil"/>
            </w:tcBorders>
            <w:shd w:val="clear" w:color="auto" w:fill="auto"/>
            <w:noWrap/>
            <w:tcMar>
              <w:top w:w="15" w:type="dxa"/>
              <w:left w:w="15" w:type="dxa"/>
              <w:right w:w="15" w:type="dxa"/>
            </w:tcMar>
            <w:vAlign w:val="bottom"/>
          </w:tcPr>
          <w:p w14:paraId="35A7B5B1">
            <w:pPr>
              <w:keepNext w:val="0"/>
              <w:keepLines w:val="0"/>
              <w:pageBreakBefore w:val="0"/>
              <w:kinsoku/>
              <w:overflowPunct/>
              <w:topLinePunct w:val="0"/>
              <w:autoSpaceDN/>
              <w:bidi w:val="0"/>
              <w:adjustRightInd/>
              <w:spacing w:line="600" w:lineRule="exact"/>
              <w:ind w:left="0" w:right="0" w:rightChars="0" w:firstLine="400" w:firstLineChars="200"/>
              <w:jc w:val="right"/>
              <w:rPr>
                <w:rFonts w:hint="default" w:ascii="Times New Roman" w:hAnsi="Times New Roman" w:cs="Times New Roman"/>
                <w:color w:val="000000"/>
                <w:sz w:val="20"/>
                <w:szCs w:val="20"/>
              </w:rPr>
            </w:pPr>
          </w:p>
        </w:tc>
        <w:tc>
          <w:tcPr>
            <w:tcW w:w="4695" w:type="dxa"/>
            <w:tcBorders>
              <w:top w:val="nil"/>
              <w:left w:val="nil"/>
              <w:bottom w:val="nil"/>
              <w:right w:val="nil"/>
            </w:tcBorders>
            <w:shd w:val="clear" w:color="auto" w:fill="auto"/>
            <w:noWrap/>
            <w:tcMar>
              <w:top w:w="15" w:type="dxa"/>
              <w:left w:w="15" w:type="dxa"/>
              <w:right w:w="15" w:type="dxa"/>
            </w:tcMar>
            <w:vAlign w:val="bottom"/>
          </w:tcPr>
          <w:p w14:paraId="4B4901BC">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5107" w:type="dxa"/>
            <w:tcBorders>
              <w:top w:val="nil"/>
              <w:left w:val="nil"/>
              <w:bottom w:val="nil"/>
              <w:right w:val="nil"/>
            </w:tcBorders>
            <w:shd w:val="clear" w:color="auto" w:fill="auto"/>
            <w:noWrap/>
            <w:tcMar>
              <w:top w:w="15" w:type="dxa"/>
              <w:left w:w="15" w:type="dxa"/>
              <w:right w:w="15" w:type="dxa"/>
            </w:tcMar>
            <w:vAlign w:val="bottom"/>
          </w:tcPr>
          <w:p w14:paraId="3C7BB3AF">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699B00B7">
        <w:tblPrEx>
          <w:tblCellMar>
            <w:top w:w="0" w:type="dxa"/>
            <w:left w:w="0" w:type="dxa"/>
            <w:bottom w:w="0" w:type="dxa"/>
            <w:right w:w="0" w:type="dxa"/>
          </w:tblCellMar>
        </w:tblPrEx>
        <w:trPr>
          <w:trHeight w:val="232" w:hRule="atLeast"/>
        </w:trPr>
        <w:tc>
          <w:tcPr>
            <w:tcW w:w="4935" w:type="dxa"/>
            <w:gridSpan w:val="2"/>
            <w:tcBorders>
              <w:top w:val="nil"/>
              <w:left w:val="nil"/>
              <w:bottom w:val="nil"/>
              <w:right w:val="nil"/>
            </w:tcBorders>
            <w:shd w:val="clear" w:color="auto" w:fill="auto"/>
            <w:noWrap/>
            <w:tcMar>
              <w:top w:w="15" w:type="dxa"/>
              <w:left w:w="15" w:type="dxa"/>
              <w:right w:w="15" w:type="dxa"/>
            </w:tcMar>
            <w:vAlign w:val="bottom"/>
          </w:tcPr>
          <w:p w14:paraId="03339216">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丰都县武平镇人民政府</w:t>
            </w:r>
          </w:p>
        </w:tc>
        <w:tc>
          <w:tcPr>
            <w:tcW w:w="4695" w:type="dxa"/>
            <w:tcBorders>
              <w:top w:val="nil"/>
              <w:left w:val="nil"/>
              <w:bottom w:val="nil"/>
              <w:right w:val="nil"/>
            </w:tcBorders>
            <w:shd w:val="clear" w:color="auto" w:fill="auto"/>
            <w:noWrap/>
            <w:tcMar>
              <w:top w:w="15" w:type="dxa"/>
              <w:left w:w="15" w:type="dxa"/>
              <w:right w:w="15" w:type="dxa"/>
            </w:tcMar>
            <w:vAlign w:val="bottom"/>
          </w:tcPr>
          <w:p w14:paraId="7FF32CA2">
            <w:pPr>
              <w:keepNext w:val="0"/>
              <w:keepLines w:val="0"/>
              <w:pageBreakBefore w:val="0"/>
              <w:kinsoku/>
              <w:overflowPunct/>
              <w:topLinePunct w:val="0"/>
              <w:autoSpaceDN/>
              <w:bidi w:val="0"/>
              <w:adjustRightInd/>
              <w:spacing w:line="600" w:lineRule="exact"/>
              <w:ind w:left="0" w:right="0" w:rightChars="0" w:firstLine="440" w:firstLineChars="200"/>
              <w:rPr>
                <w:rFonts w:hint="default" w:ascii="Times New Roman" w:hAnsi="Times New Roman" w:cs="Times New Roman"/>
                <w:color w:val="000000"/>
                <w:sz w:val="22"/>
                <w:szCs w:val="22"/>
              </w:rPr>
            </w:pPr>
          </w:p>
        </w:tc>
        <w:tc>
          <w:tcPr>
            <w:tcW w:w="5107" w:type="dxa"/>
            <w:tcBorders>
              <w:top w:val="nil"/>
              <w:left w:val="nil"/>
              <w:bottom w:val="nil"/>
              <w:right w:val="nil"/>
            </w:tcBorders>
            <w:shd w:val="clear" w:color="auto" w:fill="auto"/>
            <w:noWrap/>
            <w:tcMar>
              <w:top w:w="15" w:type="dxa"/>
              <w:left w:w="15" w:type="dxa"/>
              <w:right w:w="15" w:type="dxa"/>
            </w:tcMar>
            <w:vAlign w:val="bottom"/>
          </w:tcPr>
          <w:p w14:paraId="36E06464">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C6D40DC">
        <w:tblPrEx>
          <w:tblCellMar>
            <w:top w:w="0" w:type="dxa"/>
            <w:left w:w="0" w:type="dxa"/>
            <w:bottom w:w="0" w:type="dxa"/>
            <w:right w:w="0" w:type="dxa"/>
          </w:tblCellMar>
        </w:tblPrEx>
        <w:trPr>
          <w:trHeight w:val="243" w:hRule="atLeast"/>
        </w:trPr>
        <w:tc>
          <w:tcPr>
            <w:tcW w:w="49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A732">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980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0E9224">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3A6898B">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FB92">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6E48">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B6C26">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71F0">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01C96AEF">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BB1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40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3,895.48</w:t>
            </w: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8BA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9CE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610.98</w:t>
            </w:r>
            <w:r>
              <w:rPr>
                <w:rFonts w:hint="default" w:ascii="Times New Roman" w:hAnsi="Times New Roman" w:cs="Times New Roman"/>
                <w:color w:val="000000"/>
                <w:sz w:val="20"/>
                <w:u w:color="auto"/>
              </w:rPr>
              <w:t xml:space="preserve"> </w:t>
            </w:r>
          </w:p>
        </w:tc>
      </w:tr>
      <w:tr w14:paraId="7CEEBE0C">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506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4A6F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166.36</w:t>
            </w: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B1E5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F1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6C2165">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6D8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31BE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8E3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1F4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6B7EE3">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681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C22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F038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8D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B8EEE4">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DEE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F11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026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8D5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4718B8">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519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7476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2A1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2A28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91D49C">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77C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18B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292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ED3C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382.45</w:t>
            </w:r>
            <w:r>
              <w:rPr>
                <w:rFonts w:hint="default" w:ascii="Times New Roman" w:hAnsi="Times New Roman" w:cs="Times New Roman"/>
                <w:color w:val="000000"/>
                <w:sz w:val="20"/>
                <w:u w:color="auto"/>
              </w:rPr>
              <w:t xml:space="preserve"> </w:t>
            </w:r>
          </w:p>
        </w:tc>
      </w:tr>
      <w:tr w14:paraId="516855BF">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FD9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395" w:type="dxa"/>
            <w:tcBorders>
              <w:top w:val="nil"/>
              <w:left w:val="nil"/>
              <w:bottom w:val="nil"/>
              <w:right w:val="single" w:color="000000" w:sz="4" w:space="0"/>
            </w:tcBorders>
            <w:shd w:val="clear" w:color="auto" w:fill="auto"/>
            <w:noWrap/>
            <w:tcMar>
              <w:top w:w="15" w:type="dxa"/>
              <w:left w:w="15" w:type="dxa"/>
              <w:right w:w="15" w:type="dxa"/>
            </w:tcMar>
            <w:vAlign w:val="center"/>
          </w:tcPr>
          <w:p w14:paraId="7F8B9BD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E91C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E96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629.74</w:t>
            </w:r>
            <w:r>
              <w:rPr>
                <w:rFonts w:hint="default" w:ascii="Times New Roman" w:hAnsi="Times New Roman" w:cs="Times New Roman"/>
                <w:color w:val="000000"/>
                <w:sz w:val="20"/>
                <w:u w:color="auto"/>
              </w:rPr>
              <w:t xml:space="preserve"> </w:t>
            </w:r>
          </w:p>
        </w:tc>
      </w:tr>
      <w:tr w14:paraId="569F1C29">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018F">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CBF6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9C7F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3BB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66.59</w:t>
            </w:r>
            <w:r>
              <w:rPr>
                <w:rFonts w:hint="default" w:ascii="Times New Roman" w:hAnsi="Times New Roman" w:cs="Times New Roman"/>
                <w:color w:val="000000"/>
                <w:sz w:val="20"/>
                <w:u w:color="auto"/>
              </w:rPr>
              <w:t xml:space="preserve"> </w:t>
            </w:r>
          </w:p>
        </w:tc>
      </w:tr>
      <w:tr w14:paraId="1D8D2564">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4647">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2CB7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C9CF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748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24EAD4">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5AAE">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6730D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CC7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F16D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360.15</w:t>
            </w:r>
            <w:r>
              <w:rPr>
                <w:rFonts w:hint="default" w:ascii="Times New Roman" w:hAnsi="Times New Roman" w:cs="Times New Roman"/>
                <w:color w:val="000000"/>
                <w:sz w:val="20"/>
                <w:u w:color="auto"/>
              </w:rPr>
              <w:t xml:space="preserve"> </w:t>
            </w:r>
          </w:p>
        </w:tc>
      </w:tr>
      <w:tr w14:paraId="48EEA39E">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0C45">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D07D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B16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095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1,530.87</w:t>
            </w:r>
            <w:r>
              <w:rPr>
                <w:rFonts w:hint="default" w:ascii="Times New Roman" w:hAnsi="Times New Roman" w:cs="Times New Roman"/>
                <w:color w:val="000000"/>
                <w:sz w:val="20"/>
                <w:u w:color="auto"/>
              </w:rPr>
              <w:t xml:space="preserve"> </w:t>
            </w:r>
          </w:p>
        </w:tc>
      </w:tr>
      <w:tr w14:paraId="26460856">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7BFE">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5AE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0173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516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264.87</w:t>
            </w:r>
            <w:r>
              <w:rPr>
                <w:rFonts w:hint="default" w:ascii="Times New Roman" w:hAnsi="Times New Roman" w:cs="Times New Roman"/>
                <w:color w:val="000000"/>
                <w:sz w:val="20"/>
                <w:u w:color="auto"/>
              </w:rPr>
              <w:t xml:space="preserve"> </w:t>
            </w:r>
          </w:p>
        </w:tc>
      </w:tr>
      <w:tr w14:paraId="200E759F">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C563">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A77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4DFA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1D0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1B376E">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31A4">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735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EAF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E5F6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7ED7DF">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29BF">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9922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D29C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9005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136E5D">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437F">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936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E456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DFEA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1A4AD1">
        <w:tblPrEx>
          <w:tblCellMar>
            <w:top w:w="0" w:type="dxa"/>
            <w:left w:w="0" w:type="dxa"/>
            <w:bottom w:w="0" w:type="dxa"/>
            <w:right w:w="0" w:type="dxa"/>
          </w:tblCellMar>
        </w:tblPrEx>
        <w:trPr>
          <w:trHeight w:val="90"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5B3D">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A94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A90C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4135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AD32F1">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889B">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591F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62D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D0C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151.20</w:t>
            </w:r>
            <w:r>
              <w:rPr>
                <w:rFonts w:hint="default" w:ascii="Times New Roman" w:hAnsi="Times New Roman" w:cs="Times New Roman"/>
                <w:color w:val="000000"/>
                <w:sz w:val="20"/>
                <w:u w:color="auto"/>
              </w:rPr>
              <w:t xml:space="preserve"> </w:t>
            </w:r>
          </w:p>
        </w:tc>
      </w:tr>
      <w:tr w14:paraId="10DB73C4">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C987">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F34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D5D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F5D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28A523">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5D66">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11A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47F9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C10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753EA2">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2D27">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0893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380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675A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25.53</w:t>
            </w:r>
            <w:r>
              <w:rPr>
                <w:rFonts w:hint="default" w:ascii="Times New Roman" w:hAnsi="Times New Roman" w:cs="Times New Roman"/>
                <w:color w:val="000000"/>
                <w:sz w:val="20"/>
                <w:u w:color="auto"/>
              </w:rPr>
              <w:t xml:space="preserve"> </w:t>
            </w:r>
          </w:p>
        </w:tc>
      </w:tr>
      <w:tr w14:paraId="375A1D8D">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7252">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A57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F52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41D8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39.46</w:t>
            </w:r>
            <w:r>
              <w:rPr>
                <w:rFonts w:hint="default" w:ascii="Times New Roman" w:hAnsi="Times New Roman" w:cs="Times New Roman"/>
                <w:color w:val="000000"/>
                <w:sz w:val="20"/>
                <w:u w:color="auto"/>
              </w:rPr>
              <w:t xml:space="preserve"> </w:t>
            </w:r>
          </w:p>
        </w:tc>
      </w:tr>
      <w:tr w14:paraId="389B5BB3">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CAC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5F82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A3D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071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18605E">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B9AC">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4EF6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CBF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A09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215C6B">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2002">
            <w:pPr>
              <w:keepNext w:val="0"/>
              <w:keepLines w:val="0"/>
              <w:pageBreakBefore w:val="0"/>
              <w:kinsoku/>
              <w:overflowPunct/>
              <w:topLinePunct w:val="0"/>
              <w:autoSpaceDN/>
              <w:bidi w:val="0"/>
              <w:adjustRightInd/>
              <w:spacing w:line="600" w:lineRule="exact"/>
              <w:ind w:left="0" w:right="0" w:rightChars="0" w:firstLine="402" w:firstLineChars="200"/>
              <w:rPr>
                <w:rFonts w:hint="default" w:ascii="Times New Roman" w:hAnsi="Times New Roman" w:cs="Times New Roman"/>
                <w:b/>
                <w:bCs/>
                <w:color w:val="000000"/>
                <w:sz w:val="20"/>
                <w:szCs w:val="20"/>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A603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D51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A74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B59C84">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F6F5">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0393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4,061.84</w:t>
            </w: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3C82C">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F923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4,061.84</w:t>
            </w:r>
            <w:r>
              <w:rPr>
                <w:rFonts w:hint="default" w:ascii="Times New Roman" w:hAnsi="Times New Roman" w:cs="Times New Roman"/>
                <w:color w:val="000000"/>
                <w:sz w:val="20"/>
                <w:u w:color="auto"/>
              </w:rPr>
              <w:t xml:space="preserve"> </w:t>
            </w:r>
          </w:p>
        </w:tc>
      </w:tr>
      <w:tr w14:paraId="70C5A342">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68E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C1A1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A534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5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5ED2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E27328">
        <w:tblPrEx>
          <w:tblCellMar>
            <w:top w:w="0" w:type="dxa"/>
            <w:left w:w="0" w:type="dxa"/>
            <w:bottom w:w="0" w:type="dxa"/>
            <w:right w:w="0" w:type="dxa"/>
          </w:tblCellMar>
        </w:tblPrEx>
        <w:trPr>
          <w:trHeight w:val="24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8BE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8BE5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04A2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51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2A24CC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60B5AB">
        <w:tblPrEx>
          <w:tblCellMar>
            <w:top w:w="0" w:type="dxa"/>
            <w:left w:w="0" w:type="dxa"/>
            <w:bottom w:w="0" w:type="dxa"/>
            <w:right w:w="0" w:type="dxa"/>
          </w:tblCellMar>
        </w:tblPrEx>
        <w:trPr>
          <w:trHeight w:val="253" w:hRule="atLeast"/>
        </w:trPr>
        <w:tc>
          <w:tcPr>
            <w:tcW w:w="3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D3F9">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3A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4,061.84</w:t>
            </w:r>
            <w:r>
              <w:rPr>
                <w:rFonts w:hint="default" w:ascii="Times New Roman" w:hAnsi="Times New Roman" w:cs="Times New Roman"/>
                <w:color w:val="000000"/>
                <w:sz w:val="20"/>
                <w:u w:color="auto"/>
              </w:rPr>
              <w:t xml:space="preserve"> </w:t>
            </w:r>
          </w:p>
        </w:tc>
        <w:tc>
          <w:tcPr>
            <w:tcW w:w="469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D0C5943">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51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C46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4,061.84</w:t>
            </w:r>
            <w:r>
              <w:rPr>
                <w:rFonts w:hint="default" w:ascii="Times New Roman" w:hAnsi="Times New Roman" w:cs="Times New Roman"/>
                <w:color w:val="000000"/>
                <w:sz w:val="20"/>
                <w:u w:color="auto"/>
              </w:rPr>
              <w:t xml:space="preserve"> </w:t>
            </w:r>
          </w:p>
        </w:tc>
      </w:tr>
    </w:tbl>
    <w:p w14:paraId="664B7809">
      <w:pPr>
        <w:keepNext w:val="0"/>
        <w:keepLines w:val="0"/>
        <w:pageBreakBefore w:val="0"/>
        <w:kinsoku/>
        <w:overflowPunct/>
        <w:topLinePunct w:val="0"/>
        <w:autoSpaceDN/>
        <w:bidi w:val="0"/>
        <w:adjustRightInd/>
        <w:spacing w:line="600" w:lineRule="exact"/>
        <w:ind w:left="0" w:right="0" w:rightChars="0" w:firstLine="420" w:firstLineChars="200"/>
        <w:rPr>
          <w:rFonts w:hint="default" w:ascii="Times New Roman" w:hAnsi="Times New Roman" w:cs="Times New Roman"/>
          <w:sz w:val="21"/>
          <w:szCs w:val="21"/>
        </w:rPr>
      </w:pPr>
    </w:p>
    <w:p w14:paraId="6F8A17AB">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6209FEB6">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3D2AB225">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7319A216">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14:paraId="2568EB29">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丰都县武平镇人民政府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14:paraId="62FDEBBD">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3E59E3CB">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2AB1D3AD">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2F1FF0D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A6F450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698CEF8">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0150A569">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B2EAC22">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14:paraId="4084E057">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14:paraId="5F867772">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14:paraId="06082924">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14:paraId="6EC705D2">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14:paraId="6E6EE6A4">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4494E76">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2361116">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14:paraId="144D6E4B">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C0E3509">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2260E5A">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567E">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5165">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DB6E">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00C23">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FC51">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C970">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1DB8">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E51DF1B">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52E1">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56FFE5B">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96992">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B0BA">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06DF">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1328">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EEBA8">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C5F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91A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9202F">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511BB93B">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738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3CA6F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FA9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7124">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214F">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B97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181D">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56C2">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2B9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5203D">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7E291E3C">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B34B">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F4588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732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949D">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F779D">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E43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3C72B">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D5B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F2174">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07A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367BA1B7">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0FD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F5E9F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75BF">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BB7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817B">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B7D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4E29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595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9B2E">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483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677F56E1">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BAFB">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314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4,061.84</w:t>
            </w:r>
            <w:r>
              <w:rPr>
                <w:rFonts w:hint="default" w:ascii="Times New Roman" w:hAnsi="Times New Roman" w:cs="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EFC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4,061.84</w:t>
            </w:r>
            <w:r>
              <w:rPr>
                <w:rFonts w:hint="default" w:ascii="Times New Roman" w:hAnsi="Times New Roman" w:cs="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AC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DC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69AB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87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770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DFB0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99754F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15F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5718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256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610.98</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096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610.98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C55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6CC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84F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58A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1A0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38D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13909B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426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570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07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591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D35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689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D8C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F4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E67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F11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939CF9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5C8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88B3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F03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FC1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8C5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F0D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904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E9A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364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DB9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BB083D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7AE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65C3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DB9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597.93</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DAA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891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D91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80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A8C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AAB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337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065C95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A8B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F28D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3E5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480.08</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E19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CE3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FF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8E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60E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616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DBE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F1762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6C1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82F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008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117.85</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AF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117.85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676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F7C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9DA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8BD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C9E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3FB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7E3E38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5A1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612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070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33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E79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71A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88C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64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B71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8E0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623C0AD">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326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2A3D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CE6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BBF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3D3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AC4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84D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DEE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3F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5B8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151B2B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4A4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7F2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5A2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CD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34B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72D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2DD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768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0D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33F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EDDAE3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2A1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4729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3BA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8B3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A55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1B3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2BB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CA5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F09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D8D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C9301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DEC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C4E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C37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F92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035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59E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846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C7F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6F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A90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ACFC5D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BE9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C1E5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29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F44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004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65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A49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15C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3BB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BE63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0CB224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183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DC1C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8A1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C5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F5A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522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254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F95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4AA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787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F89459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162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2410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902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F91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3A6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7D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A40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C14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182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D62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E41CC6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AC3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642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E5F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62.29</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43A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62.29</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3C9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60F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F32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51C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F67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848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9245FC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CE7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981B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0BE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320.16</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03D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320.16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97E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4AA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DB4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91B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E76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7B7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AC0064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843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C42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5BF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629.74</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53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629.74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EDE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691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4D1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B6C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F1A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CD0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3587E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953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51DB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43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123.64</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798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123.64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429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CF9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204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107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8BE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C4F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A496EC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7D9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FAEB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89A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123.64</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2B1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123.64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5F8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09C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0CC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4F2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347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EA0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5CF96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407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BB2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A15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142.45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CEA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142.45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83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5D9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310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CD0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69D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0D4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C1A399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969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E37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144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142.45</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8C7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142.45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183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28E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704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CE6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7E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84A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225C22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36E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4DB6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556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249.43</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0DC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4F9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75C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F70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524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F7D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B31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EFD13F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8A6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17D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653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8AF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08D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BC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D74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942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66D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2D3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59A21E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F8C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8B79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76C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96.92</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6C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96.92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90E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44D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AF4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B2E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BAF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5FC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D31469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74A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55B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CA9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CF6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8CB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63B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7C8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B7D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10A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249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D5B822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16A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173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48C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101.80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3AE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101.80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834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CDB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6D0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D0C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BCB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956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4F1728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68C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C9F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AE6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78.29</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1F9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78.29</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5BA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451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A1C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805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013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B40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1FC81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CAF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023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F0E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78.29</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D9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78.29</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B85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DEC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1C2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06D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0E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757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8FFC7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1B5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260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1DC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60A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08D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E94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115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6AB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92A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DB7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265D4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D2D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EA39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A4C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9C9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BDB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A29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5D2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C6B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CEE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AF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A2603C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9F4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9D82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D2A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EFC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8D5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D32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71D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3C2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5E0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4D8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943E2E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9EA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2A0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8B6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5.94</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49C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338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54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45E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AA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29E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84A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A8CCA6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057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07D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A6A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0EA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B8C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96E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4D0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591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78A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2CA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398B6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068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863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B5E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BBB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443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E7B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3BD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B37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1AD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BE7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DBDCA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3E0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AFD9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60D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23.85</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020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5DA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A78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132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A2B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8E7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40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75ECAB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6D1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2CFC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C8B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18.68</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32F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154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38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4BA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54E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C58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2C1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DCA54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FF2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50C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293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9E2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4C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754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37F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3DE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6D6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2B6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22622B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7A5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F41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049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360.15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FB6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360.15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97D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6B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B33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4A9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330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258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0BD616C">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6A3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4403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6F6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CAE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DF1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49D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1D0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E9E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FB1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418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169FFA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AD9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D5C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DD8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63.25</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B4F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168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CB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28C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62F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6C8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5FA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5089B7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5F2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24E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EF8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D8C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51A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EF9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BDE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A7A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20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E2F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6271D7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E2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15A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FE4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D01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FB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4E3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DC7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FD9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517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C7F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E833F4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9CC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5C0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EA3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181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E9D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A3D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723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059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46D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618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72181C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78E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DA0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A45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798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1B0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12B8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6D5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99A1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A8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6B4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50603A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7E3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BD04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C6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E94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1D7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0FA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C37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05D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482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BB4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A81BA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BCE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53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25B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AD0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D44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D86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74C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384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5E1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5DC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E817D5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840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E57C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国有土地收益基金安排的支出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191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B3F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2A8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66F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4F6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406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267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07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9F212B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541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2121099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05A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其他国有土地收益基金支出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733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66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E09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D93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F47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812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E05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6E7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351B42">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E30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6CE5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D61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1,530.87</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0B1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1,530.87</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717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EA1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6BE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D6F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4E1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2C4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A627B6A">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876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ED9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CAF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432.85</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832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432.85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C79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12F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46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778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A18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E6D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DCB1CE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D19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740F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FCC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271.17</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C3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271.17</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03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B3C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D0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C62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9805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6D6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DCFD3B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B5C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3695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16F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20.69</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E1A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20.69</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326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236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870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E47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780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C7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B29E4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343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C8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F67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140.98</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103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140.98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33C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ECD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CC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33E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B9F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8FD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041904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9AF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7DD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A4D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13.94</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39C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08E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062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5FF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CE4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397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CFD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CEB42E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BF2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7B4D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F01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13.94</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0DA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6F2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5B0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DC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7C6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BD7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A82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9D9623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4D9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6C5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D62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A21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B19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FB7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1A9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45D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341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CB5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AF1EA8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2070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D1B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6C4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7.52</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243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1A9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904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246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D1B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6FC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E99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B2E071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37D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335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6F3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10.84</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7AE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1FD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13F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B16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220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346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CE9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54F57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6FE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755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3F0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800.73</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234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800.73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CCB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42D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D90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3370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6C4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2F2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764527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1DC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E7D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50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150.23</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151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150.23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46D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686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7DB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8F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21E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296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482770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992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599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C27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544.01</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F9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544.01</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107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7A6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750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EC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35F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0A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8AA7C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297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08D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B0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577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D82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F4B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296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6ED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1B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569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F56B81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4A9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7E6F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0C05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98.68</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01C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98.68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A2C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B67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359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358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C8C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AD2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631B553">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996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0E2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594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EEE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050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9E5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D43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C3C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48F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907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1B1A5C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C3B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BD1B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D5B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874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29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FDA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489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450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BC1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41F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16C6CA1">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616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30AA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D12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263.50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E79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E83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E91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5A4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4DA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B30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3E1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30536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EF6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4206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815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858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F10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ECA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27F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677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9A4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5A9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EDF0C5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2B9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4A8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2D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B93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430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AF3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99D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527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760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D21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B48889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8CE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5BBF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D99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252.67</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BF1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252.67</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FB2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606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828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87D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8D0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50A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35303A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312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9B0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B34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369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9C7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8F2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C8E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E73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F3B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44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EDF37A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E8B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747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5FF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151.20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59E4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151.20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DA3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3D9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413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F1D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B86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8AF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639C80">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BDA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65A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257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400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0B1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3EC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289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559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42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748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94C919">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096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A54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19A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722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ACA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47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824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7C5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3AA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463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2ED36E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D68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A6C1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167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C92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FD9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168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8FC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45F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8B7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41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644EF4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FAE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74A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ACE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636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DD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3F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91D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F93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776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BF0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CF0C38">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63F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2A1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445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25.53</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BF3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776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A26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216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935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BA6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A0E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062618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D88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7C6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6D0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A17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F2C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788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2C4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A5D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6C6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295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B55044E">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270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DF5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4F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BC2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E1D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DA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63E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1DB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9C0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568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7D2479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6AD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1CD3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E5E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D97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530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1AB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EB1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623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31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28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5658D95">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AD3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C194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8B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BBF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553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3CE0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B4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16D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464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CF3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46A374F">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E98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741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AF4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422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897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E15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2B8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B7F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74B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1E1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451EC4">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DD3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47AD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3CC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FEB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C52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C0B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3CE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31C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47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2C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6AB950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FB7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B81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CAB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418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7F0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147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CC3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426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DAB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F8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139EFB">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D6F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77F1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E4F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FA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B6D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987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DA8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BCB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825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C8B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4073977">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280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EA26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CA8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EEE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B36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364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E89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562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A3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0C4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079C2F6">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AD2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137B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70B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AC3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DB2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75F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93E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A74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809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912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F7F74D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88B91FC">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25249425">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E1F6699">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78D39A9">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14:paraId="154DD0DB">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丰都县武平镇人民政府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14:paraId="5635DA92">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45EAE13E">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2D6E5442">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15EAD75A">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596CF771">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0E962024">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14:paraId="7FCD4083">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14:paraId="28D38447">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1F1CF5F9">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14:paraId="2167821A">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14:paraId="129D0E38">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14:paraId="0FC83D20">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9E46895">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54F64">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9AE0">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03CC">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70F07">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38EBD">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50E8">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C771">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4B0C7C5">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D180">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52ECCC0">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0DB5">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B43E">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140E">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A89E">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771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A30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6E561271">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5E0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B9D89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7DD2">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AB6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1D4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34B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BCD0">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0790">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2E5F9F06">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9D34">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2B1F0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CF0D">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AFFA">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A9FF">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DC5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8E90">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1396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4A2BE169">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197F">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5C527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EF94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2E82">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8B0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016A">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6E8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C0B0">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2D95B725">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5198">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EC07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4,061.84</w:t>
            </w:r>
            <w:r>
              <w:rPr>
                <w:rFonts w:hint="default" w:ascii="Times New Roman" w:hAnsi="Times New Roman" w:cs="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C65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1,739.60</w:t>
            </w:r>
            <w:r>
              <w:rPr>
                <w:rFonts w:hint="default" w:ascii="Times New Roman" w:hAnsi="Times New Roman" w:cs="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908F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2,322.24</w:t>
            </w:r>
            <w:r>
              <w:rPr>
                <w:rFonts w:hint="default" w:ascii="Times New Roman" w:hAnsi="Times New Roman" w:cs="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0023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00F2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738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83BBC8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C18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B224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7CC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610.98</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8F7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573.21</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F29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37.76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A5C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51F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F49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858EBC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CDB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713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648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22F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39B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7BF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989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3F0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4A9FE3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CC7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4B3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46F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00B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D40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D14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75A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3BE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B0014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66B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099D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07F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597.93</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282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573.21</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381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24.72</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391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452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F21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0FA5F3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FB6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851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616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480.08</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57B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480.08</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C83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B7D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A9D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6A3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89084C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C94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54BF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554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117.85</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0B9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93.13</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8BF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24.72</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F901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0E9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F22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346793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E75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BBC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693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D4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7D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77A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12F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083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50201E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988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7E38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74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0E3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847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7A2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915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4B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93962D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120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EF4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116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AB4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687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5E7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BED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303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10AE7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38D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6FA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9E8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1EE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46E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AB8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9E6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EB8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EC15A8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3BA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96FB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4E3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960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DD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B22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2AA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CC6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40F36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531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E08B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703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08E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C28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777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D64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F5B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35223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4E7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B11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063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596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62.29</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1E8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320.16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6FC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AD7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E47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A43542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7A7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5C80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321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E97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62.29</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851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320.16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716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AFE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515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31660E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474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4447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844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62.29</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669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62.29</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9F6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9BC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272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12B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A94C93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1D8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4FBD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192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320.16</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A7D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27A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320.16</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E46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95A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F4B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D8D251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8A9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24A8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653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629.74</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27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430.76</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3B9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198.98</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00A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EE9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956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C331C9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C4C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E72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894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123.64</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FE5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123.64</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F7D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E7B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1BE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F30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1AF1BD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0E1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F293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520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123.64</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20F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123.64</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30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FB0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4AE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70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935909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B0D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1C6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6A6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142.45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FF0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57.69</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3C0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84.76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9C2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FDA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F94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60BEE4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BDC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2DDC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66D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142.45</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2FA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57.69</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3D4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576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81F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10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902C41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EC0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991F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987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249.43</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A77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249.43</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203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031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DBE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B94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0E1A1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0B7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0AE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833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1FB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871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6E8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249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3C7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0CE63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052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9AC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5A9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96.92</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303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96.92</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BFB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B1C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DD2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106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DC6B6B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571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7F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E4B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64A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50.23</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2E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21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3D9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466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69784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A6B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825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D4F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101.80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D67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101.80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694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2A1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F7E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EAA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4C158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461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758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45F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78.29</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41B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1B2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78.29</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369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4E1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CA5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4F4654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1DA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2670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DEF7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78.29</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6B9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78F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78.29</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F22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4E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AF8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EDD09A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BF6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4A6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B82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07A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E80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5BC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B8A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388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87FC9E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FC5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41EF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0BA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793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D16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991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0F0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DA1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08C739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7B2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43AB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B2A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AFD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225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5.94</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0E4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685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F34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448AE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009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2E8A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15D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5.94</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081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B70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5.94</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053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02C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897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C3EB7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06D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A4C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07A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22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046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FC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510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C53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01242B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259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A9C7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61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E5C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0B8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5C7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819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01C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06F33AC">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246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638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E7D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23.85</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8647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23.85</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77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928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B0A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711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9BC18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0C1B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74C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FE6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18.68</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81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18.68</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22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70F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5AA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DA3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17A36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B80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07B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2D7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4D5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24.06</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EA7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7CB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C62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66B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E15BA5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489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A181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123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360.15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0B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84F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296.90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4F5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BB4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D5B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21B116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D24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04F1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B2D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ED6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7A6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6D4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F1D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DA2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6D7096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F8D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A697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732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63.25</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6FC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63.25</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D9E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79D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3C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F9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C85BC33">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9D2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A0BA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E26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259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18A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4F0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D9A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2B8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90EE7A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967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EB14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DE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ACC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303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33A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2C0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07C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77F72F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279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A429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4DC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C70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C03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12C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B80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49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C28AF4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5F3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B931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187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CA8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4AB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665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3E2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830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623ACC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EAC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0B3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60F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39B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F2B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688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53A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410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4C2A30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283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EDB3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A76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68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CF2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CF6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5CF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B5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2FD55A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CF4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71A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国有土地收益基金安排的支出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CF5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963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B96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2C8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FE1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DC6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78A0F8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107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2121099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C0E8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其他国有土地收益基金支出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BF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90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F94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DFA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F2E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4AE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29615BD">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0B9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F31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0AE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1,530.87</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700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478.69</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65D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1,052.18</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548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DD0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D1A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2B378B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6D5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228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31E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432.85</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AE9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271.17</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798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161.67</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791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0F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8BF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97531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CA9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CB94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EFB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271.17</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68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271.17</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C83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E8D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7DF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858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2DFB94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520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E5B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23F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20.69</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AF8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4BC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20.69</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528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57C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696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F440C2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3D7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BAD7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0C9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140.98</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DD8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F20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140.98</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99B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E8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4D2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6EC92A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06E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B7F9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80D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13.94</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1C0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D5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13.94</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D9A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6A2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A8C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9EE50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46C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EB3C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6B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13.94</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6FB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BAE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13.94</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724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E1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8A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1431A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DE3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DA71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10C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D79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D41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55D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C58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59C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C0729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6AC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506C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BFD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7.52</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992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68F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7.52</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690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587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503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F9A39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7AC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ED5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002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10.84</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AFD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399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10.84</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FCC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B39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193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1CA318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829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2558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BA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800.73</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EA6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39E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800.73</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204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DB8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473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763B1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060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373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A43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150.23</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2B4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29B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150.23</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AB1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A44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5D3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68C9A9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678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E365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788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544.01</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133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DB6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544.01</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5AD9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955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984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394F54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097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5FD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B8E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51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F72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7.82</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213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FE7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E8C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A59FAC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3E7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2C0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7E7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98.68</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908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AE7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98.68</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326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5C5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3A1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AD839C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EC8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B66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CB3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265.00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C92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207.52</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345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57.48</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5A78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FB9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63A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9448EC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A49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A3A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3E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2A2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E97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829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1DCB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149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6ADB0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2FC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A757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16C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263.50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B60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207.52</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C25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55.98</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E87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339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3B5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D11D0B7">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D78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5786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AD5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F0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3A9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D6A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04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1BD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1083B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0D5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693C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0A4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DAA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0CF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484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54B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E6B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4EB1E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81F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ED5C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782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252.67</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9B3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369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252.67</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4C1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BCE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2A8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B9F672">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C79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E2C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C4A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1FF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986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FC1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690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401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84892D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6E6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70A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331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151.20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2C1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2F4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CD7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6BC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7A9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4E27CA">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CC3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6E3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088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AEC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9A7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303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890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ACE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51D0311">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8F3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5CE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60B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343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09C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86.40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BD0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C9B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7E7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7D4EFE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1CF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212F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F26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8B7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ED7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45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CBD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4B7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A74981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5BB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8078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985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243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0E8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E62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8E3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B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63BF6BF">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DC2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906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EDB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25.53</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E73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13D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25.53</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25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468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6D4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7447626">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BA6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5146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CE5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D8A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885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06F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3EE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C16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F6B2A2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B2B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723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89C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93D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5CF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0B6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A24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F1D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63C94C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B85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F1B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D25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EBC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576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B48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91B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E4E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C40EA40">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164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137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B68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ED6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2E2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566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843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DC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EEB742E">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512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6F0C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7E7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1C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9DE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386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E84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2F1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68F77E4">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133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31C1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B9B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119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4E4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1AF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90E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EB1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F1CE338">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7FB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5A7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8E9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0D5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59D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EFA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85B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4A3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8E8AE89">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427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04AC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1AA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AE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21E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F31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40C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FA5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E32531B">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F29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CE9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D79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406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165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19E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8FE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4C3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5A7B2A5">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C54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511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496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AC5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D90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8AE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288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3A8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063B9DC2">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5CABE71">
      <w:pPr>
        <w:keepNext w:val="0"/>
        <w:keepLines w:val="0"/>
        <w:pageBreakBefore w:val="0"/>
        <w:kinsoku/>
        <w:overflowPunct/>
        <w:topLinePunct w:val="0"/>
        <w:autoSpaceDN/>
        <w:bidi w:val="0"/>
        <w:adjustRightInd/>
        <w:spacing w:line="600"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14:paraId="4160820C">
      <w:pPr>
        <w:keepNext w:val="0"/>
        <w:keepLines w:val="0"/>
        <w:pageBreakBefore w:val="0"/>
        <w:kinsoku/>
        <w:overflowPunct/>
        <w:topLinePunct w:val="0"/>
        <w:autoSpaceDN/>
        <w:bidi w:val="0"/>
        <w:adjustRightInd/>
        <w:spacing w:line="600" w:lineRule="exact"/>
        <w:ind w:left="0" w:right="0" w:rightChars="0" w:firstLine="420" w:firstLineChars="200"/>
        <w:rPr>
          <w:rFonts w:hint="default" w:ascii="Times New Roman" w:hAnsi="Times New Roman" w:cs="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1DB568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7C8ABF4">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3E7A120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D78412E">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丰都县武平镇人民政府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BDE7EAE">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002C13A">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09B4F7F">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7E07158">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15257A9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FD038A6">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651B51B">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D150570">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6E1D0F4">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467A46A">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EDAD31F">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7E48">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12AB">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24EA337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8FC3">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82B5">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1B87A">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381C">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7A8B862">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3A1E">
            <w:pPr>
              <w:keepNext w:val="0"/>
              <w:keepLines w:val="0"/>
              <w:pageBreakBefore w:val="0"/>
              <w:kinsoku/>
              <w:overflowPunct/>
              <w:topLinePunct w:val="0"/>
              <w:autoSpaceDN/>
              <w:bidi w:val="0"/>
              <w:adjustRightIn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33CE">
            <w:pPr>
              <w:keepNext w:val="0"/>
              <w:keepLines w:val="0"/>
              <w:pageBreakBefore w:val="0"/>
              <w:kinsoku/>
              <w:overflowPunct/>
              <w:topLinePunct w:val="0"/>
              <w:autoSpaceDN/>
              <w:bidi w:val="0"/>
              <w:adjustRightIn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1870F">
            <w:pPr>
              <w:keepNext w:val="0"/>
              <w:keepLines w:val="0"/>
              <w:pageBreakBefore w:val="0"/>
              <w:kinsoku/>
              <w:overflowPunct/>
              <w:topLinePunct w:val="0"/>
              <w:autoSpaceDN/>
              <w:bidi w:val="0"/>
              <w:adjustRightIn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0F3D">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7AF7">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D6D59">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4A53F">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3A42BF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6F3D">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3FB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3,895.48</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EF92">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0AB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610.98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299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610.98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6EB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8CB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95FF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9CD7">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88C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166.36</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69FE">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43E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9F6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9C5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1E1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21B45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A100">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116C">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BAF8">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2B0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83E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C59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B87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63B9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9A6D">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656D7">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9414">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F18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5A26">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5B3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24B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D48A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CF704">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9B246">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96CB">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53D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D7EF">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B58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F2AC">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5483C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94F5">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83851">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CAE7">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8E1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8556">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CC9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2B9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C2FD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F329">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CE185">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8555">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65D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BEC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2EF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45F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7F19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64D5">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3D7378">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5666">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616F">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629.74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474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629.74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3FDF">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F39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FC1D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FC41">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53198">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9912">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1F3C">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189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C3A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CFF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0632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ACBE">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0B26">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6C4E">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012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1B6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1B9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16D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36F1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16D8">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1726">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3D89">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776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360.15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304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233.25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63B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126.90</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E73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C806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A298">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C7CD">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F42B">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5C1C">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B86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1,530.87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AEF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E57C">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C375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1D92">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141F1">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0165">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0106">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29F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264.87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74C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A22F">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D8A3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A83D">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E1CE">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35F1">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7A4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9BB9">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6613">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1BA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4CFF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E8FF">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3E27">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341C">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7D9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5C86">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7898">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EA66">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4A3E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0262">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C001">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F140">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FD0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48D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5C98">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3A4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2CF1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C1E0">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B84F">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86EB">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0D8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0DD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50D3">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D07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E2BE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E0B5">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1660">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8ED5">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507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0C1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16C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5713">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DE7D5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5757">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26DA">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CDCB">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90D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49C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151.20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5D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B8E3">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89F1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D12C">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313E">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CECD">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79A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6A7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BBB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D8D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878D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A6C4">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9B52">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16D2">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AD3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112B">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26E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6BF3">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4BAB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37DC">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08A7">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1E8B">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D3E1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83B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9B0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0EA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5C44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2002">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7507">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5159">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316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399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FF5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39.46</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622D">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3A8F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E2852">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5AB0">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BA11">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1EA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44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E42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5757">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7C25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A4B7B4">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6950">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5531">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709F">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D3C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CADA">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ABB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CE576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D8348">
            <w:pPr>
              <w:keepNext w:val="0"/>
              <w:keepLines w:val="0"/>
              <w:pageBreakBefore w:val="0"/>
              <w:kinsoku/>
              <w:overflowPunct/>
              <w:topLinePunct w:val="0"/>
              <w:autoSpaceDN/>
              <w:bidi w:val="0"/>
              <w:adjustRightInd/>
              <w:spacing w:line="600" w:lineRule="exact"/>
              <w:ind w:left="0" w:right="0" w:rightChars="0" w:firstLine="361" w:firstLineChars="200"/>
              <w:rPr>
                <w:rFonts w:hint="default" w:ascii="Times New Roman" w:hAnsi="Times New Roman" w:cs="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EE09">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15D4">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81F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228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4F9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849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EB4D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1F68">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701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4,061.84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051D">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857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4,061.84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86E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3,895.48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75AF">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166.36</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94C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6852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9AB3">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C28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8910">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9C2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27A0">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BA6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218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D7B8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D9E4">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BE2C">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C3C0A">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EE57F">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3F73B7">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0C985">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43CF8">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color w:val="000000"/>
                <w:sz w:val="18"/>
                <w:szCs w:val="18"/>
              </w:rPr>
            </w:pPr>
          </w:p>
        </w:tc>
      </w:tr>
      <w:tr w14:paraId="5AC7E4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82E6">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E79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4608">
            <w:pPr>
              <w:keepNext w:val="0"/>
              <w:keepLines w:val="0"/>
              <w:pageBreakBefore w:val="0"/>
              <w:kinsoku/>
              <w:overflowPunct/>
              <w:topLinePunct w:val="0"/>
              <w:autoSpaceDN/>
              <w:bidi w:val="0"/>
              <w:adjustRightIn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23AD">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D080">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BCA1">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9119">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r>
      <w:tr w14:paraId="5793BF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8640">
            <w:pPr>
              <w:keepNext w:val="0"/>
              <w:keepLines w:val="0"/>
              <w:pageBreakBefore w:val="0"/>
              <w:kinsoku/>
              <w:overflowPunct/>
              <w:topLinePunct w:val="0"/>
              <w:autoSpaceDN/>
              <w:bidi w:val="0"/>
              <w:adjustRightIn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6711">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64C7">
            <w:pPr>
              <w:keepNext w:val="0"/>
              <w:keepLines w:val="0"/>
              <w:pageBreakBefore w:val="0"/>
              <w:kinsoku/>
              <w:overflowPunct/>
              <w:topLinePunct w:val="0"/>
              <w:autoSpaceDN/>
              <w:bidi w:val="0"/>
              <w:adjustRightIn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137F">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1FF0">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DD34">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3EC9">
            <w:pPr>
              <w:keepNext w:val="0"/>
              <w:keepLines w:val="0"/>
              <w:pageBreakBefore w:val="0"/>
              <w:kinsoku/>
              <w:overflowPunct/>
              <w:topLinePunct w:val="0"/>
              <w:autoSpaceDN/>
              <w:bidi w:val="0"/>
              <w:adjustRightInd/>
              <w:spacing w:line="600" w:lineRule="exact"/>
              <w:ind w:left="0" w:right="0" w:rightChars="0" w:firstLine="360" w:firstLineChars="200"/>
              <w:jc w:val="right"/>
              <w:rPr>
                <w:rFonts w:hint="default" w:ascii="Times New Roman" w:hAnsi="Times New Roman" w:cs="Times New Roman"/>
                <w:color w:val="000000"/>
                <w:sz w:val="18"/>
                <w:szCs w:val="18"/>
              </w:rPr>
            </w:pPr>
          </w:p>
        </w:tc>
      </w:tr>
      <w:tr w14:paraId="11C086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96B6">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392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4,061.84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8A30">
            <w:pPr>
              <w:keepNext w:val="0"/>
              <w:keepLines w:val="0"/>
              <w:pageBreakBefore w:val="0"/>
              <w:kinsoku/>
              <w:overflowPunct/>
              <w:topLinePunct w:val="0"/>
              <w:autoSpaceDN/>
              <w:bidi w:val="0"/>
              <w:adjustRightIn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B7C2">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4,061.84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6A74">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3,895.48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1E9E">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166.36</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6B35">
            <w:pPr>
              <w:keepNext w:val="0"/>
              <w:keepLines w:val="0"/>
              <w:pageBreakBefore w:val="0"/>
              <w:kinsoku/>
              <w:wordWrap w:val="0"/>
              <w:overflowPunct/>
              <w:topLinePunct w:val="0"/>
              <w:autoSpaceDN/>
              <w:bidi w:val="0"/>
              <w:adjustRightIn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1CC86E8">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30"/>
        <w:gridCol w:w="4067"/>
        <w:gridCol w:w="3300"/>
        <w:gridCol w:w="3291"/>
        <w:gridCol w:w="3334"/>
      </w:tblGrid>
      <w:tr w14:paraId="477F440F">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4759D9B">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E5327C5">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14:paraId="5D5F1490">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丰都县武平镇人民政府</w:t>
            </w:r>
          </w:p>
        </w:tc>
        <w:tc>
          <w:tcPr>
            <w:tcW w:w="3291" w:type="dxa"/>
            <w:tcBorders>
              <w:top w:val="nil"/>
              <w:left w:val="nil"/>
              <w:bottom w:val="nil"/>
              <w:right w:val="nil"/>
            </w:tcBorders>
            <w:shd w:val="clear" w:color="auto" w:fill="auto"/>
            <w:noWrap/>
            <w:tcMar>
              <w:top w:w="15" w:type="dxa"/>
              <w:left w:w="15" w:type="dxa"/>
              <w:right w:w="15" w:type="dxa"/>
            </w:tcMar>
            <w:vAlign w:val="bottom"/>
          </w:tcPr>
          <w:p w14:paraId="6DA3DDEA">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D77CD45">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5443D09">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14:paraId="1A794EDD">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14:paraId="4F8E20D2">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580DBC4">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09C9CBB">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6EF0">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65E08D">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5C8F6C6">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D636">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35FFB">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77955">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7A77E">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2FEE3">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E9DA41A">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C39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4D05A">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E5AD4">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23C2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89A34">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2917A1EA">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1BF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6457B">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999D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D4FC6">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0720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7A305751">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D40F">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A5D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3,895.48</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AF2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1,739.60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7340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2,155.88</w:t>
            </w:r>
            <w:r>
              <w:rPr>
                <w:rFonts w:hint="default" w:ascii="Times New Roman" w:hAnsi="Times New Roman" w:cs="Times New Roman"/>
                <w:b/>
                <w:color w:val="000000"/>
                <w:sz w:val="20"/>
                <w:u w:color="auto"/>
              </w:rPr>
              <w:t xml:space="preserve"> </w:t>
            </w:r>
          </w:p>
        </w:tc>
      </w:tr>
      <w:tr w14:paraId="653A702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EEE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1BF0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397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610.98</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6372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573.21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DC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37.76</w:t>
            </w:r>
            <w:r>
              <w:rPr>
                <w:rFonts w:hint="default" w:ascii="Times New Roman" w:hAnsi="Times New Roman" w:cs="Times New Roman"/>
                <w:b/>
                <w:color w:val="000000"/>
                <w:sz w:val="20"/>
                <w:u w:color="auto"/>
              </w:rPr>
              <w:t xml:space="preserve"> </w:t>
            </w:r>
          </w:p>
        </w:tc>
      </w:tr>
      <w:tr w14:paraId="6C6E370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04C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5FF9">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60BE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456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3C8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r>
      <w:tr w14:paraId="77125A8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210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F52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7FF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3605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F33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r>
      <w:tr w14:paraId="4B41F2C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960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5755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3E2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597.93</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DC7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573.21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2B6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24.72</w:t>
            </w:r>
            <w:r>
              <w:rPr>
                <w:rFonts w:hint="default" w:ascii="Times New Roman" w:hAnsi="Times New Roman" w:cs="Times New Roman"/>
                <w:b/>
                <w:color w:val="000000"/>
                <w:sz w:val="20"/>
                <w:u w:color="auto"/>
              </w:rPr>
              <w:t xml:space="preserve"> </w:t>
            </w:r>
          </w:p>
        </w:tc>
      </w:tr>
      <w:tr w14:paraId="684E703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CEE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AA6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17EB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480.08</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365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480.08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66A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586E66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E7B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651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C2FB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117.85</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ED91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93.13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64DA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24.72</w:t>
            </w:r>
            <w:r>
              <w:rPr>
                <w:rFonts w:hint="default" w:ascii="Times New Roman" w:hAnsi="Times New Roman" w:cs="Times New Roman"/>
                <w:color w:val="000000"/>
                <w:sz w:val="20"/>
                <w:u w:color="auto"/>
              </w:rPr>
              <w:t xml:space="preserve"> </w:t>
            </w:r>
          </w:p>
        </w:tc>
      </w:tr>
      <w:tr w14:paraId="718E627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455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F4C0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统计信息事务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6A05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233C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445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14:paraId="79567A4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F5B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2010507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58BB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专项普查活动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E260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4F1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8FF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14:paraId="358E394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F9B4">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6012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634E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093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F6B8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r>
      <w:tr w14:paraId="47CD7AD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906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627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CDB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BA9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7E5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14:paraId="5C33C32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8E6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1689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市场监督管理事务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9A5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4C54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4188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3.60</w:t>
            </w:r>
            <w:r>
              <w:rPr>
                <w:rFonts w:hint="default" w:ascii="Times New Roman" w:hAnsi="Times New Roman" w:cs="Times New Roman"/>
                <w:b/>
                <w:color w:val="000000"/>
                <w:sz w:val="20"/>
                <w:u w:color="auto"/>
              </w:rPr>
              <w:t xml:space="preserve"> </w:t>
            </w:r>
          </w:p>
        </w:tc>
      </w:tr>
      <w:tr w14:paraId="628C5B1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5EE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2013816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A068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食品安全监管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4CAF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6D4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282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3.60</w:t>
            </w:r>
            <w:r>
              <w:rPr>
                <w:rFonts w:hint="default" w:ascii="Times New Roman" w:hAnsi="Times New Roman" w:cs="Times New Roman"/>
                <w:color w:val="000000"/>
                <w:sz w:val="20"/>
                <w:u w:color="auto"/>
              </w:rPr>
              <w:t xml:space="preserve"> </w:t>
            </w:r>
          </w:p>
        </w:tc>
      </w:tr>
      <w:tr w14:paraId="1B77AE6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BEC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7211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2E9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283E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62.29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8952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320.16</w:t>
            </w:r>
            <w:r>
              <w:rPr>
                <w:rFonts w:hint="default" w:ascii="Times New Roman" w:hAnsi="Times New Roman" w:cs="Times New Roman"/>
                <w:b/>
                <w:color w:val="000000"/>
                <w:sz w:val="20"/>
                <w:u w:color="auto"/>
              </w:rPr>
              <w:t xml:space="preserve"> </w:t>
            </w:r>
          </w:p>
        </w:tc>
      </w:tr>
      <w:tr w14:paraId="57FC6BB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58E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8E8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83CE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382.45</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FA0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62.29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8E6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320.16</w:t>
            </w:r>
            <w:r>
              <w:rPr>
                <w:rFonts w:hint="default" w:ascii="Times New Roman" w:hAnsi="Times New Roman" w:cs="Times New Roman"/>
                <w:b/>
                <w:color w:val="000000"/>
                <w:sz w:val="20"/>
                <w:u w:color="auto"/>
              </w:rPr>
              <w:t xml:space="preserve"> </w:t>
            </w:r>
          </w:p>
        </w:tc>
      </w:tr>
      <w:tr w14:paraId="1C36748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DB5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B51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AEDA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62.29</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3B00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D963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FB9CBF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FA4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2AE5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F796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320.16</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092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2B5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320.16</w:t>
            </w:r>
            <w:r>
              <w:rPr>
                <w:rFonts w:hint="default" w:ascii="Times New Roman" w:hAnsi="Times New Roman" w:cs="Times New Roman"/>
                <w:color w:val="000000"/>
                <w:sz w:val="20"/>
                <w:u w:color="auto"/>
              </w:rPr>
              <w:t xml:space="preserve"> </w:t>
            </w:r>
          </w:p>
        </w:tc>
      </w:tr>
      <w:tr w14:paraId="0C48E3C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A07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2FF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528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629.74</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FD2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430.76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1FE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198.98</w:t>
            </w:r>
            <w:r>
              <w:rPr>
                <w:rFonts w:hint="default" w:ascii="Times New Roman" w:hAnsi="Times New Roman" w:cs="Times New Roman"/>
                <w:b/>
                <w:color w:val="000000"/>
                <w:sz w:val="20"/>
                <w:u w:color="auto"/>
              </w:rPr>
              <w:t xml:space="preserve"> </w:t>
            </w:r>
          </w:p>
        </w:tc>
      </w:tr>
      <w:tr w14:paraId="2F06BCC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497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347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E52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123.64</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D8C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123.64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D27D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78A24C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D52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63B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BA70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123.64</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1B30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123.64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839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455C69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599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83F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603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142.45</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D9D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BA55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84.76</w:t>
            </w:r>
            <w:r>
              <w:rPr>
                <w:rFonts w:hint="default" w:ascii="Times New Roman" w:hAnsi="Times New Roman" w:cs="Times New Roman"/>
                <w:b/>
                <w:color w:val="000000"/>
                <w:sz w:val="20"/>
                <w:u w:color="auto"/>
              </w:rPr>
              <w:t xml:space="preserve"> </w:t>
            </w:r>
          </w:p>
        </w:tc>
      </w:tr>
      <w:tr w14:paraId="3AC5488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F06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B1A9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71E1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142.45</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BA5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57.69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E9E4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84.76</w:t>
            </w:r>
            <w:r>
              <w:rPr>
                <w:rFonts w:hint="default" w:ascii="Times New Roman" w:hAnsi="Times New Roman" w:cs="Times New Roman"/>
                <w:color w:val="000000"/>
                <w:sz w:val="20"/>
                <w:u w:color="auto"/>
              </w:rPr>
              <w:t xml:space="preserve"> </w:t>
            </w:r>
          </w:p>
        </w:tc>
      </w:tr>
      <w:tr w14:paraId="4D9FC84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96F0">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B95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8D5A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249.43</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067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CA37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8530D9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81F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FF42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EC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7C4A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2BD3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F3834A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A43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C25C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185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96.92</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1F75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96.92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854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2D13D4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3DD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3C4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23F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50.23</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B7F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50.23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51C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06395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9A0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B4DF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B0BF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101.80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D040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101.80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4814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723E6C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C62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5BE9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就业补助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8BE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78.29</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3D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27B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78.29</w:t>
            </w:r>
            <w:r>
              <w:rPr>
                <w:rFonts w:hint="default" w:ascii="Times New Roman" w:hAnsi="Times New Roman" w:cs="Times New Roman"/>
                <w:b/>
                <w:color w:val="000000"/>
                <w:sz w:val="20"/>
                <w:u w:color="auto"/>
              </w:rPr>
              <w:t xml:space="preserve"> </w:t>
            </w:r>
          </w:p>
        </w:tc>
      </w:tr>
      <w:tr w14:paraId="4CD21C7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62C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83CA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公益性岗位补贴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466F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78.29</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0F0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CDC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78.29</w:t>
            </w:r>
            <w:r>
              <w:rPr>
                <w:rFonts w:hint="default" w:ascii="Times New Roman" w:hAnsi="Times New Roman" w:cs="Times New Roman"/>
                <w:color w:val="000000"/>
                <w:sz w:val="20"/>
                <w:u w:color="auto"/>
              </w:rPr>
              <w:t xml:space="preserve"> </w:t>
            </w:r>
          </w:p>
        </w:tc>
      </w:tr>
      <w:tr w14:paraId="483D065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4A0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9C2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14F5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21F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EE8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14:paraId="65E5AEC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4A0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C55B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A438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A3B1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C00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r>
      <w:tr w14:paraId="054B4D1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C4F2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C1ED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3B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4850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08B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5.94</w:t>
            </w:r>
            <w:r>
              <w:rPr>
                <w:rFonts w:hint="default" w:ascii="Times New Roman" w:hAnsi="Times New Roman" w:cs="Times New Roman"/>
                <w:b/>
                <w:color w:val="000000"/>
                <w:sz w:val="20"/>
                <w:u w:color="auto"/>
              </w:rPr>
              <w:t xml:space="preserve"> </w:t>
            </w:r>
          </w:p>
        </w:tc>
      </w:tr>
      <w:tr w14:paraId="6E2F958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4853">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56E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83F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5.94</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F404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F24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5.94</w:t>
            </w:r>
            <w:r>
              <w:rPr>
                <w:rFonts w:hint="default" w:ascii="Times New Roman" w:hAnsi="Times New Roman" w:cs="Times New Roman"/>
                <w:color w:val="000000"/>
                <w:sz w:val="20"/>
                <w:u w:color="auto"/>
              </w:rPr>
              <w:t xml:space="preserve"> </w:t>
            </w:r>
          </w:p>
        </w:tc>
      </w:tr>
      <w:tr w14:paraId="5B5D0F43">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72E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9485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6B8E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3FA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F1FD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5FBDC98">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379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F399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32F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F88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66.59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6B1F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4E21AA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8B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4D3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258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23.85</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5B31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7272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91830D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528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68F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3F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18.68</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CC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5B0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ABC8D0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2D5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96E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924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24.06</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85F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CC0A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2C0B72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535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BFCC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CA9D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233.25</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9C9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A8AE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170.00</w:t>
            </w:r>
            <w:r>
              <w:rPr>
                <w:rFonts w:hint="default" w:ascii="Times New Roman" w:hAnsi="Times New Roman" w:cs="Times New Roman"/>
                <w:b/>
                <w:color w:val="000000"/>
                <w:sz w:val="20"/>
                <w:u w:color="auto"/>
              </w:rPr>
              <w:t xml:space="preserve"> </w:t>
            </w:r>
          </w:p>
        </w:tc>
      </w:tr>
      <w:tr w14:paraId="6D51C16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057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CB08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510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871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63.25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CE1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B59278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396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0365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C6C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63.25</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7E5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63.25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A2F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AB274C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DE1A">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1F1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9589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107.00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F176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0B1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107.00</w:t>
            </w:r>
            <w:r>
              <w:rPr>
                <w:rFonts w:hint="default" w:ascii="Times New Roman" w:hAnsi="Times New Roman" w:cs="Times New Roman"/>
                <w:b/>
                <w:color w:val="000000"/>
                <w:sz w:val="20"/>
                <w:u w:color="auto"/>
              </w:rPr>
              <w:t xml:space="preserve"> </w:t>
            </w:r>
          </w:p>
        </w:tc>
      </w:tr>
      <w:tr w14:paraId="56FFB47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4F6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5ECB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53D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107.00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20E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18D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107.00</w:t>
            </w:r>
            <w:r>
              <w:rPr>
                <w:rFonts w:hint="default" w:ascii="Times New Roman" w:hAnsi="Times New Roman" w:cs="Times New Roman"/>
                <w:color w:val="000000"/>
                <w:sz w:val="20"/>
                <w:u w:color="auto"/>
              </w:rPr>
              <w:t xml:space="preserve"> </w:t>
            </w:r>
          </w:p>
        </w:tc>
      </w:tr>
      <w:tr w14:paraId="44A56F4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788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F9A4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0FC5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47D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BB01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63.00</w:t>
            </w:r>
            <w:r>
              <w:rPr>
                <w:rFonts w:hint="default" w:ascii="Times New Roman" w:hAnsi="Times New Roman" w:cs="Times New Roman"/>
                <w:b/>
                <w:color w:val="000000"/>
                <w:sz w:val="20"/>
                <w:u w:color="auto"/>
              </w:rPr>
              <w:t xml:space="preserve"> </w:t>
            </w:r>
          </w:p>
        </w:tc>
      </w:tr>
      <w:tr w14:paraId="2B13C08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E00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030C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E38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E04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B0E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63.00</w:t>
            </w:r>
            <w:r>
              <w:rPr>
                <w:rFonts w:hint="default" w:ascii="Times New Roman" w:hAnsi="Times New Roman" w:cs="Times New Roman"/>
                <w:color w:val="000000"/>
                <w:sz w:val="20"/>
                <w:u w:color="auto"/>
              </w:rPr>
              <w:t xml:space="preserve"> </w:t>
            </w:r>
          </w:p>
        </w:tc>
      </w:tr>
      <w:tr w14:paraId="29610BE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A23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ADF9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271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1,530.87</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8C38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17BA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1,052.18</w:t>
            </w:r>
            <w:r>
              <w:rPr>
                <w:rFonts w:hint="default" w:ascii="Times New Roman" w:hAnsi="Times New Roman" w:cs="Times New Roman"/>
                <w:b/>
                <w:color w:val="000000"/>
                <w:sz w:val="20"/>
                <w:u w:color="auto"/>
              </w:rPr>
              <w:t xml:space="preserve"> </w:t>
            </w:r>
          </w:p>
        </w:tc>
      </w:tr>
      <w:tr w14:paraId="78877C4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64D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E8B9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63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432.85</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600D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271.17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9D0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161.67</w:t>
            </w:r>
            <w:r>
              <w:rPr>
                <w:rFonts w:hint="default" w:ascii="Times New Roman" w:hAnsi="Times New Roman" w:cs="Times New Roman"/>
                <w:b/>
                <w:color w:val="000000"/>
                <w:sz w:val="20"/>
                <w:u w:color="auto"/>
              </w:rPr>
              <w:t xml:space="preserve"> </w:t>
            </w:r>
          </w:p>
        </w:tc>
      </w:tr>
      <w:tr w14:paraId="21AB96D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ABD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1BAA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107A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271.17</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79D9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271.17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44D9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730B68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8CA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D7A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5C2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20.69</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6EC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53E9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20.69</w:t>
            </w:r>
            <w:r>
              <w:rPr>
                <w:rFonts w:hint="default" w:ascii="Times New Roman" w:hAnsi="Times New Roman" w:cs="Times New Roman"/>
                <w:color w:val="000000"/>
                <w:sz w:val="20"/>
                <w:u w:color="auto"/>
              </w:rPr>
              <w:t xml:space="preserve"> </w:t>
            </w:r>
          </w:p>
        </w:tc>
      </w:tr>
      <w:tr w14:paraId="16A2765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539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25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4F17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140.98</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40C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468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140.98</w:t>
            </w:r>
            <w:r>
              <w:rPr>
                <w:rFonts w:hint="default" w:ascii="Times New Roman" w:hAnsi="Times New Roman" w:cs="Times New Roman"/>
                <w:color w:val="000000"/>
                <w:sz w:val="20"/>
                <w:u w:color="auto"/>
              </w:rPr>
              <w:t xml:space="preserve"> </w:t>
            </w:r>
          </w:p>
        </w:tc>
      </w:tr>
      <w:tr w14:paraId="771A10F1">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526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3A055">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E44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13.94</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7FD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382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13.94</w:t>
            </w:r>
            <w:r>
              <w:rPr>
                <w:rFonts w:hint="default" w:ascii="Times New Roman" w:hAnsi="Times New Roman" w:cs="Times New Roman"/>
                <w:b/>
                <w:color w:val="000000"/>
                <w:sz w:val="20"/>
                <w:u w:color="auto"/>
              </w:rPr>
              <w:t xml:space="preserve"> </w:t>
            </w:r>
          </w:p>
        </w:tc>
      </w:tr>
      <w:tr w14:paraId="0162698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AB82">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0F3B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649F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13.94</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15E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36E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13.94</w:t>
            </w:r>
            <w:r>
              <w:rPr>
                <w:rFonts w:hint="default" w:ascii="Times New Roman" w:hAnsi="Times New Roman" w:cs="Times New Roman"/>
                <w:color w:val="000000"/>
                <w:sz w:val="20"/>
                <w:u w:color="auto"/>
              </w:rPr>
              <w:t xml:space="preserve"> </w:t>
            </w:r>
          </w:p>
        </w:tc>
      </w:tr>
      <w:tr w14:paraId="566DEE1B">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D70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BD4D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C96B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D62D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F3F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18.36</w:t>
            </w:r>
            <w:r>
              <w:rPr>
                <w:rFonts w:hint="default" w:ascii="Times New Roman" w:hAnsi="Times New Roman" w:cs="Times New Roman"/>
                <w:b/>
                <w:color w:val="000000"/>
                <w:sz w:val="20"/>
                <w:u w:color="auto"/>
              </w:rPr>
              <w:t xml:space="preserve"> </w:t>
            </w:r>
          </w:p>
        </w:tc>
      </w:tr>
      <w:tr w14:paraId="2F4BBCED">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8C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0B83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水利工程运行与维护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21A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7.52</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0EB0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4544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7.52</w:t>
            </w:r>
            <w:r>
              <w:rPr>
                <w:rFonts w:hint="default" w:ascii="Times New Roman" w:hAnsi="Times New Roman" w:cs="Times New Roman"/>
                <w:color w:val="000000"/>
                <w:sz w:val="20"/>
                <w:u w:color="auto"/>
              </w:rPr>
              <w:t xml:space="preserve"> </w:t>
            </w:r>
          </w:p>
        </w:tc>
      </w:tr>
      <w:tr w14:paraId="36E8C35A">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D99B">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D451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335E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10.84</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2B36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A468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10.84</w:t>
            </w:r>
            <w:r>
              <w:rPr>
                <w:rFonts w:hint="default" w:ascii="Times New Roman" w:hAnsi="Times New Roman" w:cs="Times New Roman"/>
                <w:color w:val="000000"/>
                <w:sz w:val="20"/>
                <w:u w:color="auto"/>
              </w:rPr>
              <w:t xml:space="preserve"> </w:t>
            </w:r>
          </w:p>
        </w:tc>
      </w:tr>
      <w:tr w14:paraId="482D50F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3AC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54042">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154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800.73</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08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B482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800.73</w:t>
            </w:r>
            <w:r>
              <w:rPr>
                <w:rFonts w:hint="default" w:ascii="Times New Roman" w:hAnsi="Times New Roman" w:cs="Times New Roman"/>
                <w:b/>
                <w:color w:val="000000"/>
                <w:sz w:val="20"/>
                <w:u w:color="auto"/>
              </w:rPr>
              <w:t xml:space="preserve"> </w:t>
            </w:r>
          </w:p>
        </w:tc>
      </w:tr>
      <w:tr w14:paraId="47653CA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58E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2EA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5C3F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150.23</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C736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A60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150.23</w:t>
            </w:r>
            <w:r>
              <w:rPr>
                <w:rFonts w:hint="default" w:ascii="Times New Roman" w:hAnsi="Times New Roman" w:cs="Times New Roman"/>
                <w:color w:val="000000"/>
                <w:sz w:val="20"/>
                <w:u w:color="auto"/>
              </w:rPr>
              <w:t xml:space="preserve"> </w:t>
            </w:r>
          </w:p>
        </w:tc>
      </w:tr>
      <w:tr w14:paraId="183BEEB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EDA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C1B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B8CD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544.01</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1B0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0D2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544.01</w:t>
            </w:r>
            <w:r>
              <w:rPr>
                <w:rFonts w:hint="default" w:ascii="Times New Roman" w:hAnsi="Times New Roman" w:cs="Times New Roman"/>
                <w:color w:val="000000"/>
                <w:sz w:val="20"/>
                <w:u w:color="auto"/>
              </w:rPr>
              <w:t xml:space="preserve"> </w:t>
            </w:r>
          </w:p>
        </w:tc>
      </w:tr>
      <w:tr w14:paraId="605971F9">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7631">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0565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9405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7.82</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096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229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7.82</w:t>
            </w:r>
            <w:r>
              <w:rPr>
                <w:rFonts w:hint="default" w:ascii="Times New Roman" w:hAnsi="Times New Roman" w:cs="Times New Roman"/>
                <w:color w:val="000000"/>
                <w:sz w:val="20"/>
                <w:u w:color="auto"/>
              </w:rPr>
              <w:t xml:space="preserve"> </w:t>
            </w:r>
          </w:p>
        </w:tc>
      </w:tr>
      <w:tr w14:paraId="6397F69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B6E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C4690">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DD9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98.68</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5F1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3208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98.68</w:t>
            </w:r>
            <w:r>
              <w:rPr>
                <w:rFonts w:hint="default" w:ascii="Times New Roman" w:hAnsi="Times New Roman" w:cs="Times New Roman"/>
                <w:color w:val="000000"/>
                <w:sz w:val="20"/>
                <w:u w:color="auto"/>
              </w:rPr>
              <w:t xml:space="preserve"> </w:t>
            </w:r>
          </w:p>
        </w:tc>
      </w:tr>
      <w:tr w14:paraId="7FB1FC7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7C1B">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4945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9D9C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265.00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AD1E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EE30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57.48</w:t>
            </w:r>
            <w:r>
              <w:rPr>
                <w:rFonts w:hint="default" w:ascii="Times New Roman" w:hAnsi="Times New Roman" w:cs="Times New Roman"/>
                <w:b/>
                <w:color w:val="000000"/>
                <w:sz w:val="20"/>
                <w:u w:color="auto"/>
              </w:rPr>
              <w:t xml:space="preserve"> </w:t>
            </w:r>
          </w:p>
        </w:tc>
      </w:tr>
      <w:tr w14:paraId="7EE4F6D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9EA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4F51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844B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B35B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25E1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r>
      <w:tr w14:paraId="3D2AF6E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389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37BE">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11CD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263.50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60A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FB51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55.98</w:t>
            </w:r>
            <w:r>
              <w:rPr>
                <w:rFonts w:hint="default" w:ascii="Times New Roman" w:hAnsi="Times New Roman" w:cs="Times New Roman"/>
                <w:color w:val="000000"/>
                <w:sz w:val="20"/>
                <w:u w:color="auto"/>
              </w:rPr>
              <w:t xml:space="preserve"> </w:t>
            </w:r>
          </w:p>
        </w:tc>
      </w:tr>
      <w:tr w14:paraId="660A263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5AA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07A8">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5065">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8A1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BAF3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r>
      <w:tr w14:paraId="3D90E72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250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4A6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FDDF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D7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6DE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264.87</w:t>
            </w:r>
            <w:r>
              <w:rPr>
                <w:rFonts w:hint="default" w:ascii="Times New Roman" w:hAnsi="Times New Roman" w:cs="Times New Roman"/>
                <w:b/>
                <w:color w:val="000000"/>
                <w:sz w:val="20"/>
                <w:u w:color="auto"/>
              </w:rPr>
              <w:t xml:space="preserve"> </w:t>
            </w:r>
          </w:p>
        </w:tc>
      </w:tr>
      <w:tr w14:paraId="52BA385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F7E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4D74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E6AD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252.67</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CFAC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0AA9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252.67</w:t>
            </w:r>
            <w:r>
              <w:rPr>
                <w:rFonts w:hint="default" w:ascii="Times New Roman" w:hAnsi="Times New Roman" w:cs="Times New Roman"/>
                <w:color w:val="000000"/>
                <w:sz w:val="20"/>
                <w:u w:color="auto"/>
              </w:rPr>
              <w:t xml:space="preserve"> </w:t>
            </w:r>
          </w:p>
        </w:tc>
      </w:tr>
      <w:tr w14:paraId="66D68DAE">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891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B28D">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公路和运输安全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DE3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E00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D16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12.20</w:t>
            </w:r>
            <w:r>
              <w:rPr>
                <w:rFonts w:hint="default" w:ascii="Times New Roman" w:hAnsi="Times New Roman" w:cs="Times New Roman"/>
                <w:color w:val="000000"/>
                <w:sz w:val="20"/>
                <w:u w:color="auto"/>
              </w:rPr>
              <w:t xml:space="preserve"> </w:t>
            </w:r>
          </w:p>
        </w:tc>
      </w:tr>
      <w:tr w14:paraId="455A6B0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8CF7">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AFD6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D3A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151.20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244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477B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r>
      <w:tr w14:paraId="41F5C58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452F">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62E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B53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DD91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5FE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86.40</w:t>
            </w:r>
            <w:r>
              <w:rPr>
                <w:rFonts w:hint="default" w:ascii="Times New Roman" w:hAnsi="Times New Roman" w:cs="Times New Roman"/>
                <w:b/>
                <w:color w:val="000000"/>
                <w:sz w:val="20"/>
                <w:u w:color="auto"/>
              </w:rPr>
              <w:t xml:space="preserve"> </w:t>
            </w:r>
          </w:p>
        </w:tc>
      </w:tr>
      <w:tr w14:paraId="57C37D4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CEB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CE5C">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02D8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86.40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19F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A48E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86.40</w:t>
            </w:r>
            <w:r>
              <w:rPr>
                <w:rFonts w:hint="default" w:ascii="Times New Roman" w:hAnsi="Times New Roman" w:cs="Times New Roman"/>
                <w:color w:val="000000"/>
                <w:sz w:val="20"/>
                <w:u w:color="auto"/>
              </w:rPr>
              <w:t xml:space="preserve"> </w:t>
            </w:r>
          </w:p>
        </w:tc>
      </w:tr>
      <w:tr w14:paraId="022BD096">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9CF1">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08A6">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19B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A9C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308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5907067">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7C5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DA9E8">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821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FF85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64.80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EE7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5483CC5">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4B1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472DE">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5C6E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25.53</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587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F39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25.53</w:t>
            </w:r>
            <w:r>
              <w:rPr>
                <w:rFonts w:hint="default" w:ascii="Times New Roman" w:hAnsi="Times New Roman" w:cs="Times New Roman"/>
                <w:b/>
                <w:color w:val="000000"/>
                <w:sz w:val="20"/>
                <w:u w:color="auto"/>
              </w:rPr>
              <w:t xml:space="preserve"> </w:t>
            </w:r>
          </w:p>
        </w:tc>
      </w:tr>
      <w:tr w14:paraId="5F92B4C2">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B47C">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4A0C3">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888C">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3F10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DE97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16.53</w:t>
            </w:r>
            <w:r>
              <w:rPr>
                <w:rFonts w:hint="default" w:ascii="Times New Roman" w:hAnsi="Times New Roman" w:cs="Times New Roman"/>
                <w:b/>
                <w:color w:val="000000"/>
                <w:sz w:val="20"/>
                <w:u w:color="auto"/>
              </w:rPr>
              <w:t xml:space="preserve"> </w:t>
            </w:r>
          </w:p>
        </w:tc>
      </w:tr>
      <w:tr w14:paraId="04D9FE6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BB6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6C4C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11E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D665B">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C238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14:paraId="6C3AF67F">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A12F">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9CDA">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6DA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F47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6042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4.83</w:t>
            </w:r>
            <w:r>
              <w:rPr>
                <w:rFonts w:hint="default" w:ascii="Times New Roman" w:hAnsi="Times New Roman" w:cs="Times New Roman"/>
                <w:color w:val="000000"/>
                <w:sz w:val="20"/>
                <w:u w:color="auto"/>
              </w:rPr>
              <w:t xml:space="preserve"> </w:t>
            </w:r>
          </w:p>
        </w:tc>
      </w:tr>
      <w:tr w14:paraId="2574C95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9737">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935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其他自然灾害防治支出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DB85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F29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260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3.70</w:t>
            </w:r>
            <w:r>
              <w:rPr>
                <w:rFonts w:hint="default" w:ascii="Times New Roman" w:hAnsi="Times New Roman" w:cs="Times New Roman"/>
                <w:color w:val="000000"/>
                <w:sz w:val="20"/>
                <w:u w:color="auto"/>
              </w:rPr>
              <w:t xml:space="preserve"> </w:t>
            </w:r>
          </w:p>
        </w:tc>
      </w:tr>
      <w:tr w14:paraId="091A2EF4">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E64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5E7D">
            <w:pPr>
              <w:keepNext w:val="0"/>
              <w:keepLines w:val="0"/>
              <w:pageBreakBefore w:val="0"/>
              <w:kinsoku/>
              <w:overflowPunct/>
              <w:topLinePunct w:val="0"/>
              <w:autoSpaceDN/>
              <w:bidi w:val="0"/>
              <w:adjustRightInd/>
              <w:spacing w:line="600"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FE2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9D6D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5D06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r>
      <w:tr w14:paraId="0966906C">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7904">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FC4D5">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0084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13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F438">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r>
    </w:tbl>
    <w:p w14:paraId="7006C26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FD8C158">
      <w:pPr>
        <w:keepNext w:val="0"/>
        <w:keepLines w:val="0"/>
        <w:pageBreakBefore w:val="0"/>
        <w:kinsoku/>
        <w:overflowPunct/>
        <w:topLinePunct w:val="0"/>
        <w:autoSpaceDN/>
        <w:bidi w:val="0"/>
        <w:adjustRightInd/>
        <w:spacing w:line="600"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14:paraId="604DAC0E">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FEA35DA">
            <w:pPr>
              <w:keepNext w:val="0"/>
              <w:keepLines w:val="0"/>
              <w:pageBreakBefore w:val="0"/>
              <w:widowControl/>
              <w:kinsoku/>
              <w:wordWrap/>
              <w:overflowPunct/>
              <w:topLinePunct w:val="0"/>
              <w:autoSpaceDE/>
              <w:autoSpaceDN/>
              <w:bidi w:val="0"/>
              <w:adjustRightInd/>
              <w:snapToGri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38B607C5">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14:paraId="40F9571E">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丰都县武平镇人民政府</w:t>
            </w:r>
          </w:p>
        </w:tc>
        <w:tc>
          <w:tcPr>
            <w:tcW w:w="1400" w:type="dxa"/>
            <w:tcBorders>
              <w:top w:val="nil"/>
              <w:left w:val="nil"/>
              <w:bottom w:val="nil"/>
              <w:right w:val="nil"/>
            </w:tcBorders>
            <w:shd w:val="clear" w:color="auto" w:fill="auto"/>
            <w:noWrap/>
            <w:tcMar>
              <w:top w:w="15" w:type="dxa"/>
              <w:left w:w="15" w:type="dxa"/>
              <w:right w:w="15" w:type="dxa"/>
            </w:tcMar>
            <w:vAlign w:val="bottom"/>
          </w:tcPr>
          <w:p w14:paraId="1F5C9C9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14:paraId="2486591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14:paraId="2F9B9BE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14:paraId="37F31E2F">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57D8490">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14:paraId="0C01F7E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14:paraId="54C6C2D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14:paraId="3513224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14:paraId="784145D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14:paraId="514EB5EF">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E0B4482">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DBB9">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36AC3A">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7E973D06">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0640">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A43C0">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eastAsia="zh-CN"/>
              </w:rPr>
              <w:t>经济</w:t>
            </w:r>
            <w:r>
              <w:rPr>
                <w:rFonts w:hint="default" w:ascii="Times New Roman" w:hAnsi="Times New Roman" w:cs="Times New Roman"/>
                <w:b/>
                <w:color w:val="000000"/>
                <w:sz w:val="18"/>
                <w:szCs w:val="18"/>
              </w:rPr>
              <w:t>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5E4F6">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25F4">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44AE5">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eastAsia="zh-CN"/>
              </w:rPr>
              <w:t>经济</w:t>
            </w:r>
            <w:r>
              <w:rPr>
                <w:rFonts w:hint="default" w:ascii="Times New Roman" w:hAnsi="Times New Roman" w:cs="Times New Roman"/>
                <w:b/>
                <w:color w:val="000000"/>
                <w:sz w:val="18"/>
                <w:szCs w:val="18"/>
              </w:rPr>
              <w:t>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DC6C6">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271A">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9C758">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eastAsia="zh-CN"/>
              </w:rPr>
              <w:t>经济</w:t>
            </w:r>
            <w:r>
              <w:rPr>
                <w:rFonts w:hint="default" w:ascii="Times New Roman" w:hAnsi="Times New Roman" w:cs="Times New Roman"/>
                <w:b/>
                <w:color w:val="000000"/>
                <w:sz w:val="18"/>
                <w:szCs w:val="18"/>
              </w:rPr>
              <w:t>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EFCEE">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5A82C7DB">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84F99">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DF788">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51863">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FDC4">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396E8">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201E7">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C664E">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7A5A5">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D7563">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rPr>
                <w:rFonts w:hint="default" w:ascii="Times New Roman" w:hAnsi="Times New Roman" w:cs="Times New Roman"/>
                <w:b/>
                <w:color w:val="000000"/>
                <w:sz w:val="18"/>
                <w:szCs w:val="18"/>
              </w:rPr>
            </w:pPr>
          </w:p>
        </w:tc>
      </w:tr>
      <w:tr w14:paraId="517DC79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FD29">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F1D0">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6D7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1,068.44</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A919">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A7FA">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858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262.21</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E3F8">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C4E7">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BC9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r>
              <w:rPr>
                <w:rFonts w:hint="default" w:ascii="Times New Roman" w:hAnsi="Times New Roman" w:cs="Times New Roman"/>
                <w:color w:val="000000"/>
                <w:sz w:val="18"/>
                <w:u w:color="auto"/>
              </w:rPr>
              <w:t xml:space="preserve"> </w:t>
            </w:r>
          </w:p>
        </w:tc>
      </w:tr>
      <w:tr w14:paraId="0FEDD46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E68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DB3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1B9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235.31</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24F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AA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851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6.43</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D10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CDD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DEFB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E3A920">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F2E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EC8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C84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113.99</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DFF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45B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053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57B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AD4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AFB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0.38</w:t>
            </w:r>
            <w:r>
              <w:rPr>
                <w:rFonts w:hint="default" w:ascii="Times New Roman" w:hAnsi="Times New Roman" w:cs="Times New Roman"/>
                <w:color w:val="000000"/>
                <w:sz w:val="18"/>
                <w:u w:color="auto"/>
              </w:rPr>
              <w:t xml:space="preserve"> </w:t>
            </w:r>
          </w:p>
        </w:tc>
      </w:tr>
      <w:tr w14:paraId="02A640A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513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3B0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D3FA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144.13</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B24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309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DE4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F9D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349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6C7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FAEC46">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06A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74C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120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91E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29C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7A6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44F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DAB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9DA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13798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8B6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4A6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58F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291.47</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512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A92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83F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905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568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5DA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F56F44">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D27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A3D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1A7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99.18</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962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B37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3F5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21.47</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528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240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33A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CFA3A2">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4F9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FDA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801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51.38</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D78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C36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986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25.09</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ACC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4A7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B6B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3CF24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8E2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7AE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658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42.73</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683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319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1FD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2D3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1CE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B67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9A744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754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66F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75A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FEE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831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2DE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82B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C5B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5A4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A12628">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72C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457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E49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F84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A17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7E3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64.03</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A41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BDD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D2E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FC481E">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516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4F6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C0F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69.72</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795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649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78E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054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19A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E00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295960">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2C5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F01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2B7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9.20</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463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F8C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21A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684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596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E06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0EC109">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F27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3AC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682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B9A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771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C1D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797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9E7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001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F9EEF1">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2A82">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9AE8">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93F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408.57</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302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EBD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978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7EC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CDD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87E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A77D0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4CF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C78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A89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CC1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C4A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47E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E65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62C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0C0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05B58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ACA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934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A55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D71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31E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1E7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8.45</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E40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445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7E2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F6A6C9">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C2E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928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4FE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1EA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AEF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26F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28E6">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6FBC">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078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2BAA00">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881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973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898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671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D72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D3A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5C0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D39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5CD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7C40BAB">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6F5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454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292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401.97</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D64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BAC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30C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2B3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135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E1D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6655C1">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20B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483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70D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156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B60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933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24.68</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3D2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855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532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FDDA5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CB9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217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B8A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6.60</w:t>
            </w: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06C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75C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DFB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83F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30D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35B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523065">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AEB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B3D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E3B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05F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6DF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486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31.60</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9C9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ABB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608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3CA975">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FBA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0C3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77D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39E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6E6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2F7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058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CCF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B58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D379F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894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6DB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DF7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09E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EA1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E8F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11.43</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B5CE">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661B">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5B4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3BAC45">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8E3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AC1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52E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36F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06A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EF7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18.30</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0EA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651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30D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A670F3">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607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7AD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559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B35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98D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9B1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2D4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D3C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F1A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C4CFDA">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2AB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76D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E92C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D9B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BEF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823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47.51</w:t>
            </w: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048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3C3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9A5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70FD4D">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AD5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A43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8D30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FFB8">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2FE7">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F8E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D07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180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874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D4E400">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F95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A86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74CA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3EC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51C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D74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AD5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997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6FC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D44780C">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C7A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298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4506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CE9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8D18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AA4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92C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9D7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021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rPr>
                <w:rFonts w:hint="default" w:ascii="Times New Roman" w:hAnsi="Times New Roman" w:cs="Times New Roman"/>
                <w:color w:val="000000"/>
                <w:sz w:val="18"/>
                <w:szCs w:val="18"/>
              </w:rPr>
            </w:pPr>
          </w:p>
        </w:tc>
      </w:tr>
      <w:tr w14:paraId="653F13D3">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D31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471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4DEE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82D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162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0BE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26D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FF7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A40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rPr>
                <w:rFonts w:hint="default" w:ascii="Times New Roman" w:hAnsi="Times New Roman" w:cs="Times New Roman"/>
                <w:color w:val="000000"/>
                <w:sz w:val="18"/>
                <w:szCs w:val="18"/>
              </w:rPr>
            </w:pPr>
          </w:p>
        </w:tc>
      </w:tr>
      <w:tr w14:paraId="30AA2DE5">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BEC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977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B7F6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C00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376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813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651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B37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rPr>
                <w:rFonts w:hint="default" w:ascii="Times New Roman" w:hAnsi="Times New Roman" w:cs="Times New Roman"/>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817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rPr>
                <w:rFonts w:hint="default" w:ascii="Times New Roman" w:hAnsi="Times New Roman" w:cs="Times New Roman"/>
                <w:color w:val="000000"/>
                <w:sz w:val="18"/>
                <w:szCs w:val="18"/>
              </w:rPr>
            </w:pPr>
          </w:p>
        </w:tc>
      </w:tr>
      <w:tr w14:paraId="2AFEFE2D">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90B5">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EBD2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1,477.01</w:t>
            </w:r>
            <w:r>
              <w:rPr>
                <w:rFonts w:hint="default" w:ascii="Times New Roman" w:hAnsi="Times New Roman" w:cs="Times New Roman"/>
                <w:color w:val="000000"/>
                <w:sz w:val="18"/>
                <w:u w:color="auto"/>
              </w:rPr>
              <w:t xml:space="preserve"> </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848C">
            <w:pPr>
              <w:keepNext w:val="0"/>
              <w:keepLines w:val="0"/>
              <w:pageBreakBefore w:val="0"/>
              <w:widowControl/>
              <w:kinsoku/>
              <w:wordWrap/>
              <w:overflowPunct/>
              <w:topLinePunct w:val="0"/>
              <w:autoSpaceDE/>
              <w:autoSpaceDN/>
              <w:bidi w:val="0"/>
              <w:adjustRightInd/>
              <w:snapToGrid/>
              <w:spacing w:line="600"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4D31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262.59</w:t>
            </w:r>
            <w:r>
              <w:rPr>
                <w:rFonts w:hint="default" w:ascii="Times New Roman" w:hAnsi="Times New Roman" w:cs="Times New Roman"/>
                <w:color w:val="000000"/>
                <w:sz w:val="18"/>
                <w:u w:color="auto"/>
              </w:rPr>
              <w:t xml:space="preserve"> </w:t>
            </w:r>
          </w:p>
        </w:tc>
      </w:tr>
    </w:tbl>
    <w:p w14:paraId="646A6DC5">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14:paraId="0CC90BF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7D9E580">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C94AEF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4DD68B64">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丰都县武平镇人民政府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67FAD8F">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CBADCCD">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C17D56">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BBA7F3A">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19ACD81">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46FC54BB">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1AF934E">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5DFF27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CE29723">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912738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5BB27FD">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80F72D6">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032E43">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F27C">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D21EB7">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D9D59">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23320B">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8FA1">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8D67668">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A431">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027C">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CD2542">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BEB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03E9B">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8C335">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C4E4E">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2A7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6490AF62">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5D5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27B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38FF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DB5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ACB7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DA2A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40D1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C4F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14EF34D3">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7AA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210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ED4A4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2792">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62E6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9ACCB">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AC2F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5C0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41F4BAC7">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20E4">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B97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AAD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2AC5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CAA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A5CB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2DB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DACAFEF">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CACB">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59A96">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FBD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443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126.90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A24B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126.90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CE55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C664">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126.90</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EB40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A98F29A">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7B06">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5F22">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ABF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7DB2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CFC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543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FD0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104.55</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6FE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3DA4C52">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FA43">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9E661">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B4A72">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BC16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EFD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7BC7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DFAE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104.55</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9B80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BD2D906">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23DD">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21210</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108B">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国有土地收益基金安排的支出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EE7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86CC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3C0A">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788AD">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BA21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22.35</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13E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DDB14B0">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B888">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2121099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2CD3">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其他国有土地收益基金支出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514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589C3">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4DC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5239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EC6A">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22.35</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21C10">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BEF61E3">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B1D8">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4C182">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4CC3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73FF">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C9273">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DE19">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D1E0">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582D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B98DAF3">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3F79">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7A466">
            <w:pPr>
              <w:keepNext w:val="0"/>
              <w:keepLines w:val="0"/>
              <w:pageBreakBefore w:val="0"/>
              <w:kinsoku/>
              <w:overflowPunct/>
              <w:topLinePunct w:val="0"/>
              <w:autoSpaceDN/>
              <w:bidi w:val="0"/>
              <w:adjustRightInd/>
              <w:spacing w:line="600"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BD1B7">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9C9B">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1756">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3A84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BA18">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39.46</w:t>
            </w:r>
            <w:r>
              <w:rPr>
                <w:rFonts w:hint="default" w:ascii="Times New Roman" w:hAnsi="Times New Roman" w:cs="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42D91">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EA29221">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03F2">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5F441">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105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808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50C2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5585">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EB80E">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24.46</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6BB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FF91C7E">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6437">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2296099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5068C">
            <w:pPr>
              <w:keepNext w:val="0"/>
              <w:keepLines w:val="0"/>
              <w:pageBreakBefore w:val="0"/>
              <w:kinsoku/>
              <w:overflowPunct/>
              <w:topLinePunct w:val="0"/>
              <w:autoSpaceDN/>
              <w:bidi w:val="0"/>
              <w:adjustRightInd/>
              <w:spacing w:line="600"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568FC">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4B99">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C44F">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2766D">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CED6">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FFE1">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E6F53E0">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2C2E376">
      <w:pPr>
        <w:keepNext w:val="0"/>
        <w:keepLines w:val="0"/>
        <w:pageBreakBefore w:val="0"/>
        <w:kinsoku/>
        <w:overflowPunct/>
        <w:topLinePunct w:val="0"/>
        <w:autoSpaceDN/>
        <w:bidi w:val="0"/>
        <w:adjustRightInd/>
        <w:spacing w:line="600"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2A3D8D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726B5C2">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B910AA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7B9A9BF1">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丰都县武平镇人民政府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091A8C0">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FFA0633">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434B8214">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6B5D1DC">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545E734">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28C12E34">
            <w:pPr>
              <w:keepNext w:val="0"/>
              <w:keepLines w:val="0"/>
              <w:pageBreakBefore w:val="0"/>
              <w:widowControl/>
              <w:kinsoku/>
              <w:wordWrap/>
              <w:overflowPunct/>
              <w:topLinePunct w:val="0"/>
              <w:autoSpaceDE/>
              <w:autoSpaceDN/>
              <w:bidi w:val="0"/>
              <w:adjustRightInd/>
              <w:snapToGrid/>
              <w:spacing w:line="600"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6B35D85">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D4F53">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80103">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49C0076">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3534">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9082F">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1EA9">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25FFF">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10865">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36EE545">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4B710">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397F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824A">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6E4D9">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48304">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5A54D23B">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E795">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1A22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2C4D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B687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499A7">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6E649C5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1D3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3D793">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AE11">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5E48">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28D5C">
            <w:pPr>
              <w:keepNext w:val="0"/>
              <w:keepLines w:val="0"/>
              <w:pageBreakBefore w:val="0"/>
              <w:kinsoku/>
              <w:overflowPunct/>
              <w:topLinePunct w:val="0"/>
              <w:autoSpaceDN/>
              <w:bidi w:val="0"/>
              <w:adjustRightInd/>
              <w:spacing w:line="600" w:lineRule="exact"/>
              <w:ind w:left="0" w:right="0" w:rightChars="0" w:firstLine="402" w:firstLineChars="200"/>
              <w:jc w:val="center"/>
              <w:rPr>
                <w:rFonts w:hint="default" w:ascii="Times New Roman" w:hAnsi="Times New Roman" w:cs="Times New Roman"/>
                <w:b/>
                <w:color w:val="000000"/>
                <w:sz w:val="20"/>
                <w:szCs w:val="20"/>
              </w:rPr>
            </w:pPr>
          </w:p>
        </w:tc>
      </w:tr>
      <w:tr w14:paraId="131EF62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361D">
            <w:pPr>
              <w:keepNext w:val="0"/>
              <w:keepLines w:val="0"/>
              <w:pageBreakBefore w:val="0"/>
              <w:kinsoku/>
              <w:overflowPunct/>
              <w:topLinePunct w:val="0"/>
              <w:autoSpaceDN/>
              <w:bidi w:val="0"/>
              <w:adjustRightInd/>
              <w:spacing w:line="600"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08B4E">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4E96">
            <w:pPr>
              <w:keepNext w:val="0"/>
              <w:keepLines w:val="0"/>
              <w:pageBreakBefore w:val="0"/>
              <w:kinsoku/>
              <w:overflowPunct/>
              <w:topLinePunct w:val="0"/>
              <w:autoSpaceDN/>
              <w:bidi w:val="0"/>
              <w:adjustRightInd/>
              <w:spacing w:line="600" w:lineRule="exact"/>
              <w:ind w:left="0" w:right="0" w:rightChars="0" w:firstLine="402" w:firstLineChars="200"/>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4C172">
            <w:pPr>
              <w:keepNext w:val="0"/>
              <w:keepLines w:val="0"/>
              <w:pageBreakBefore w:val="0"/>
              <w:kinsoku/>
              <w:wordWrap w:val="0"/>
              <w:overflowPunct/>
              <w:topLinePunct w:val="0"/>
              <w:autoSpaceDN/>
              <w:bidi w:val="0"/>
              <w:adjustRightInd/>
              <w:spacing w:line="600"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5797AD4A">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BA59">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73866">
            <w:pPr>
              <w:keepNext w:val="0"/>
              <w:keepLines w:val="0"/>
              <w:pageBreakBefore w:val="0"/>
              <w:kinsoku/>
              <w:overflowPunct/>
              <w:topLinePunct w:val="0"/>
              <w:autoSpaceDN/>
              <w:bidi w:val="0"/>
              <w:adjustRightInd/>
              <w:spacing w:line="600" w:lineRule="exact"/>
              <w:ind w:left="0" w:right="0" w:rightChars="0" w:firstLine="400" w:firstLineChars="200"/>
              <w:textAlignment w:val="center"/>
              <w:rPr>
                <w:rFonts w:hint="default" w:ascii="Times New Roman" w:hAnsi="Times New Roman" w:cs="Times New Roman"/>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E7F44">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76D2">
            <w:pPr>
              <w:keepNext w:val="0"/>
              <w:keepLines w:val="0"/>
              <w:pageBreakBefore w:val="0"/>
              <w:kinsoku/>
              <w:overflowPunct/>
              <w:topLinePunct w:val="0"/>
              <w:autoSpaceDN/>
              <w:bidi w:val="0"/>
              <w:adjustRightInd/>
              <w:spacing w:line="600" w:lineRule="exact"/>
              <w:ind w:left="0" w:right="0" w:rightChars="0" w:firstLine="402" w:firstLineChars="200"/>
              <w:jc w:val="right"/>
              <w:rPr>
                <w:rFonts w:hint="default" w:ascii="Times New Roman" w:hAnsi="Times New Roman" w:cs="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28907">
            <w:pPr>
              <w:keepNext w:val="0"/>
              <w:keepLines w:val="0"/>
              <w:pageBreakBefore w:val="0"/>
              <w:kinsoku/>
              <w:wordWrap w:val="0"/>
              <w:overflowPunct/>
              <w:topLinePunct w:val="0"/>
              <w:autoSpaceDN/>
              <w:bidi w:val="0"/>
              <w:adjustRightInd/>
              <w:spacing w:line="600"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64C527B9">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126C7F3">
      <w:pPr>
        <w:keepNext w:val="0"/>
        <w:keepLines w:val="0"/>
        <w:pageBreakBefore w:val="0"/>
        <w:kinsoku/>
        <w:overflowPunct/>
        <w:topLinePunct w:val="0"/>
        <w:autoSpaceDN/>
        <w:bidi w:val="0"/>
        <w:adjustRightInd/>
        <w:spacing w:line="600"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14:paraId="537E6F60">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68423DEE">
            <w:pPr>
              <w:keepNext w:val="0"/>
              <w:keepLines w:val="0"/>
              <w:pageBreakBefore w:val="0"/>
              <w:kinsoku/>
              <w:overflowPunct/>
              <w:topLinePunct w:val="0"/>
              <w:autoSpaceDN/>
              <w:bidi w:val="0"/>
              <w:adjustRightInd/>
              <w:spacing w:line="600" w:lineRule="exact"/>
              <w:ind w:left="0" w:right="0" w:rightChars="0" w:firstLine="643" w:firstLineChars="200"/>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5B62CA22">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14:paraId="6DC46591">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kern w:val="2"/>
                <w:sz w:val="20"/>
                <w:szCs w:val="20"/>
              </w:rPr>
            </w:pPr>
          </w:p>
        </w:tc>
        <w:tc>
          <w:tcPr>
            <w:tcW w:w="2402" w:type="dxa"/>
            <w:shd w:val="clear" w:color="auto" w:fill="auto"/>
            <w:noWrap/>
            <w:tcMar>
              <w:top w:w="15" w:type="dxa"/>
              <w:left w:w="15" w:type="dxa"/>
              <w:right w:w="15" w:type="dxa"/>
            </w:tcMar>
            <w:vAlign w:val="bottom"/>
          </w:tcPr>
          <w:p w14:paraId="0A3778CD">
            <w:pPr>
              <w:keepNext w:val="0"/>
              <w:keepLines w:val="0"/>
              <w:pageBreakBefore w:val="0"/>
              <w:kinsoku/>
              <w:overflowPunct/>
              <w:topLinePunct w:val="0"/>
              <w:autoSpaceDN/>
              <w:bidi w:val="0"/>
              <w:adjustRightInd/>
              <w:spacing w:line="600" w:lineRule="exact"/>
              <w:ind w:left="0" w:right="0" w:rightChars="0" w:firstLine="400" w:firstLineChars="200"/>
              <w:jc w:val="center"/>
              <w:rPr>
                <w:rFonts w:hint="default" w:ascii="Times New Roman" w:hAnsi="Times New Roman" w:cs="Times New Roman"/>
                <w:color w:val="000000"/>
                <w:kern w:val="2"/>
                <w:sz w:val="20"/>
                <w:szCs w:val="20"/>
              </w:rPr>
            </w:pPr>
          </w:p>
        </w:tc>
        <w:tc>
          <w:tcPr>
            <w:tcW w:w="2360" w:type="dxa"/>
            <w:shd w:val="clear" w:color="auto" w:fill="auto"/>
            <w:noWrap/>
            <w:tcMar>
              <w:top w:w="15" w:type="dxa"/>
              <w:left w:w="15" w:type="dxa"/>
              <w:right w:w="15" w:type="dxa"/>
            </w:tcMar>
            <w:vAlign w:val="bottom"/>
          </w:tcPr>
          <w:p w14:paraId="48106F05">
            <w:pPr>
              <w:keepNext w:val="0"/>
              <w:keepLines w:val="0"/>
              <w:pageBreakBefore w:val="0"/>
              <w:kinsoku/>
              <w:overflowPunct/>
              <w:topLinePunct w:val="0"/>
              <w:autoSpaceDN/>
              <w:bidi w:val="0"/>
              <w:adjustRightInd/>
              <w:spacing w:line="600" w:lineRule="exact"/>
              <w:ind w:left="0" w:right="0" w:rightChars="0" w:firstLine="400" w:firstLineChars="200"/>
              <w:jc w:val="right"/>
              <w:rPr>
                <w:rFonts w:hint="default" w:ascii="Times New Roman" w:hAnsi="Times New Roman" w:cs="Times New Roman"/>
                <w:color w:val="000000"/>
                <w:kern w:val="2"/>
                <w:sz w:val="20"/>
                <w:szCs w:val="20"/>
              </w:rPr>
            </w:pPr>
          </w:p>
        </w:tc>
        <w:tc>
          <w:tcPr>
            <w:tcW w:w="3726" w:type="dxa"/>
            <w:shd w:val="clear" w:color="auto" w:fill="auto"/>
            <w:noWrap/>
            <w:tcMar>
              <w:top w:w="15" w:type="dxa"/>
              <w:left w:w="15" w:type="dxa"/>
              <w:right w:w="15" w:type="dxa"/>
            </w:tcMar>
            <w:vAlign w:val="bottom"/>
          </w:tcPr>
          <w:p w14:paraId="0BD6F0A6">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kern w:val="2"/>
                <w:sz w:val="20"/>
                <w:szCs w:val="20"/>
              </w:rPr>
            </w:pPr>
          </w:p>
        </w:tc>
        <w:tc>
          <w:tcPr>
            <w:tcW w:w="2480" w:type="dxa"/>
            <w:shd w:val="clear" w:color="auto" w:fill="auto"/>
            <w:noWrap/>
            <w:tcMar>
              <w:top w:w="15" w:type="dxa"/>
              <w:left w:w="15" w:type="dxa"/>
              <w:right w:w="15" w:type="dxa"/>
            </w:tcMar>
            <w:vAlign w:val="bottom"/>
          </w:tcPr>
          <w:p w14:paraId="5027F242">
            <w:pPr>
              <w:keepNext w:val="0"/>
              <w:keepLines w:val="0"/>
              <w:pageBreakBefore w:val="0"/>
              <w:kinsoku/>
              <w:overflowPunct/>
              <w:topLinePunct w:val="0"/>
              <w:autoSpaceDN/>
              <w:bidi w:val="0"/>
              <w:adjustRightInd/>
              <w:spacing w:line="600" w:lineRule="exact"/>
              <w:ind w:left="0" w:right="0" w:rightChars="0" w:firstLine="400" w:firstLineChars="20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47EDAA10">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DF75C75">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kern w:val="2"/>
                <w:sz w:val="20"/>
                <w:szCs w:val="20"/>
              </w:rPr>
            </w:pPr>
            <w:r>
              <w:rPr>
                <w:rFonts w:hint="default" w:ascii="Times New Roman" w:hAnsi="Times New Roman" w:cs="Times New Roman"/>
                <w:sz w:val="20"/>
                <w:szCs w:val="20"/>
                <w:lang w:eastAsia="zh-CN"/>
              </w:rPr>
              <w:t>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丰都县武平镇人民政府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14:paraId="66A32272">
            <w:pPr>
              <w:keepNext w:val="0"/>
              <w:keepLines w:val="0"/>
              <w:pageBreakBefore w:val="0"/>
              <w:kinsoku/>
              <w:overflowPunct/>
              <w:topLinePunct w:val="0"/>
              <w:autoSpaceDN/>
              <w:bidi w:val="0"/>
              <w:adjustRightInd/>
              <w:spacing w:line="600" w:lineRule="exact"/>
              <w:ind w:left="0" w:right="0" w:rightChars="0" w:firstLine="400" w:firstLineChars="200"/>
              <w:jc w:val="right"/>
              <w:rPr>
                <w:rFonts w:hint="default" w:ascii="Times New Roman" w:hAnsi="Times New Roman" w:cs="Times New Roman"/>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14:paraId="35E814C8">
            <w:pPr>
              <w:keepNext w:val="0"/>
              <w:keepLines w:val="0"/>
              <w:pageBreakBefore w:val="0"/>
              <w:kinsoku/>
              <w:overflowPunct/>
              <w:topLinePunct w:val="0"/>
              <w:autoSpaceDN/>
              <w:bidi w:val="0"/>
              <w:adjustRightInd/>
              <w:spacing w:line="600" w:lineRule="exact"/>
              <w:ind w:left="0" w:right="0" w:rightChars="0" w:firstLine="400" w:firstLineChars="200"/>
              <w:rPr>
                <w:rFonts w:hint="default" w:ascii="Times New Roman" w:hAnsi="Times New Roman" w:cs="Times New Roman"/>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14:paraId="10D24BF3">
            <w:pPr>
              <w:keepNext w:val="0"/>
              <w:keepLines w:val="0"/>
              <w:pageBreakBefore w:val="0"/>
              <w:kinsoku/>
              <w:overflowPunct/>
              <w:topLinePunct w:val="0"/>
              <w:autoSpaceDN/>
              <w:bidi w:val="0"/>
              <w:adjustRightInd/>
              <w:spacing w:line="600" w:lineRule="exact"/>
              <w:ind w:left="0" w:right="0" w:rightChars="0" w:firstLine="400" w:firstLineChars="20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7E873A3">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7A971">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31876">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427FA">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621F8">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461C7">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76AC5DF8">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AD70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BC50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821E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E725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1CB9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110.50</w:t>
            </w:r>
            <w:r>
              <w:rPr>
                <w:rFonts w:hint="default" w:ascii="Times New Roman" w:hAnsi="Times New Roman" w:cs="Times New Roman"/>
                <w:color w:val="000000"/>
                <w:sz w:val="18"/>
                <w:u w:color="auto"/>
              </w:rPr>
              <w:t xml:space="preserve"> </w:t>
            </w:r>
          </w:p>
        </w:tc>
      </w:tr>
      <w:tr w14:paraId="3A7B1E8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7B5E2">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E7BFF">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19.88</w:t>
            </w:r>
            <w:r>
              <w:rPr>
                <w:rFonts w:hint="default" w:ascii="Times New Roman" w:hAnsi="Times New Roman" w:cs="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C54A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19.88</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A1B36">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F20C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110.50</w:t>
            </w:r>
            <w:r>
              <w:rPr>
                <w:rFonts w:hint="default" w:ascii="Times New Roman" w:hAnsi="Times New Roman" w:cs="Times New Roman"/>
                <w:color w:val="000000"/>
                <w:sz w:val="18"/>
                <w:u w:color="auto"/>
              </w:rPr>
              <w:t xml:space="preserve"> </w:t>
            </w:r>
          </w:p>
        </w:tc>
      </w:tr>
      <w:tr w14:paraId="0B02E51B">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8E66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2FB0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4454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92B2A">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62BB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49649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7E803">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091DE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11.43</w:t>
            </w:r>
            <w:r>
              <w:rPr>
                <w:rFonts w:hint="default" w:ascii="Times New Roman" w:hAnsi="Times New Roman" w:cs="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562E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11.43</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E0A49">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B656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9A5BB0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1CA5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EB35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45D2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DA765">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3E7B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r>
              <w:rPr>
                <w:rFonts w:hint="default" w:ascii="Times New Roman" w:hAnsi="Times New Roman" w:cs="Times New Roman"/>
                <w:color w:val="000000"/>
                <w:sz w:val="18"/>
                <w:u w:color="auto"/>
              </w:rPr>
              <w:t xml:space="preserve"> </w:t>
            </w:r>
          </w:p>
        </w:tc>
      </w:tr>
      <w:tr w14:paraId="6414E318">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EDC57">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6EC5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11.43</w:t>
            </w:r>
            <w:r>
              <w:rPr>
                <w:rFonts w:hint="default" w:ascii="Times New Roman" w:hAnsi="Times New Roman" w:cs="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BEEF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11.43</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A5F4C">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70BC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771AF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C41C4">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722F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8.45</w:t>
            </w:r>
            <w:r>
              <w:rPr>
                <w:rFonts w:hint="default" w:ascii="Times New Roman" w:hAnsi="Times New Roman" w:cs="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FA1D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8.45</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71283">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EB37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3B578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75F75B">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6A44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EBEE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8.45</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3B741">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1196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3C4694">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6DBD7">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97ED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467F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1728B">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11D4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r>
              <w:rPr>
                <w:rFonts w:hint="default" w:ascii="Times New Roman" w:hAnsi="Times New Roman" w:cs="Times New Roman"/>
                <w:color w:val="000000"/>
                <w:sz w:val="18"/>
                <w:u w:color="auto"/>
              </w:rPr>
              <w:t xml:space="preserve"> </w:t>
            </w:r>
          </w:p>
        </w:tc>
      </w:tr>
      <w:tr w14:paraId="5F575E6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83576">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1AA8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D6F7D">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7B488">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46F8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34A427">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8DCD5">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BF6E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26FD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6197C">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4EDB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14:paraId="29E1557C">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CF055">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6148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4A11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0FCF5">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AD08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9B0EE6">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5E094">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DB31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30CA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66CC3">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F16EC">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504B49">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8957F">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069D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9942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7A4AC">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A52D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44D572">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4C5EB">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9B1C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6BCF8">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DA610">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FF671">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B85713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4B306">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6624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2FE2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173</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FDA39">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4502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AF289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4FA42">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56FE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0749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35721">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BBE6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0FB5C4">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5B866">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451C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5B12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1,417</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5F8DA">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E7F6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E30E1E">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CD71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819E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CA56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60AE9">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C96FB">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228E01">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90818">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CEC3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7FFA3">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7F35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1E51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F5049A">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2E86D">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60737">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2C596">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727E8">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B2319">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7ADDEE">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2EF61">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11530">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D8514">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0E15F">
            <w:pPr>
              <w:keepNext w:val="0"/>
              <w:keepLines w:val="0"/>
              <w:pageBreakBefore w:val="0"/>
              <w:widowControl/>
              <w:kinsoku/>
              <w:wordWrap/>
              <w:overflowPunct/>
              <w:topLinePunct w:val="0"/>
              <w:autoSpaceDE/>
              <w:autoSpaceDN/>
              <w:bidi w:val="0"/>
              <w:adjustRightInd/>
              <w:snapToGrid/>
              <w:spacing w:line="600" w:lineRule="exact"/>
              <w:ind w:left="0" w:right="0" w:rightChars="0" w:firstLine="320" w:firstLineChars="200"/>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81FE4">
            <w:pPr>
              <w:keepNext w:val="0"/>
              <w:keepLines w:val="0"/>
              <w:pageBreakBefore w:val="0"/>
              <w:widowControl/>
              <w:kinsoku/>
              <w:wordWrap/>
              <w:overflowPunct/>
              <w:topLinePunct w:val="0"/>
              <w:autoSpaceDE/>
              <w:autoSpaceDN/>
              <w:bidi w:val="0"/>
              <w:adjustRightInd/>
              <w:snapToGrid/>
              <w:spacing w:line="600" w:lineRule="exact"/>
              <w:ind w:left="0" w:right="0" w:rightChars="0" w:firstLine="320" w:firstLineChars="200"/>
              <w:jc w:val="right"/>
              <w:rPr>
                <w:rFonts w:hint="default" w:ascii="Times New Roman" w:hAnsi="Times New Roman" w:cs="Times New Roman"/>
                <w:color w:val="000000"/>
                <w:kern w:val="2"/>
                <w:sz w:val="16"/>
                <w:szCs w:val="16"/>
              </w:rPr>
            </w:pPr>
          </w:p>
        </w:tc>
      </w:tr>
      <w:tr w14:paraId="13899DA8">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59B77">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078AA">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E1E82">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1.93</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0455C">
            <w:pPr>
              <w:keepNext w:val="0"/>
              <w:keepLines w:val="0"/>
              <w:pageBreakBefore w:val="0"/>
              <w:widowControl/>
              <w:kinsoku/>
              <w:wordWrap/>
              <w:overflowPunct/>
              <w:topLinePunct w:val="0"/>
              <w:autoSpaceDE/>
              <w:autoSpaceDN/>
              <w:bidi w:val="0"/>
              <w:adjustRightInd/>
              <w:snapToGrid/>
              <w:spacing w:line="600" w:lineRule="exact"/>
              <w:ind w:left="0" w:right="0" w:rightChars="0" w:firstLine="320" w:firstLineChars="200"/>
              <w:rPr>
                <w:rFonts w:hint="default" w:ascii="Times New Roman" w:hAnsi="Times New Roman" w:cs="Times New Roman"/>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E5299">
            <w:pPr>
              <w:keepNext w:val="0"/>
              <w:keepLines w:val="0"/>
              <w:pageBreakBefore w:val="0"/>
              <w:widowControl/>
              <w:kinsoku/>
              <w:wordWrap/>
              <w:overflowPunct/>
              <w:topLinePunct w:val="0"/>
              <w:autoSpaceDE/>
              <w:autoSpaceDN/>
              <w:bidi w:val="0"/>
              <w:adjustRightInd/>
              <w:snapToGrid/>
              <w:spacing w:line="600" w:lineRule="exact"/>
              <w:ind w:left="0" w:right="0" w:rightChars="0" w:firstLine="320" w:firstLineChars="200"/>
              <w:jc w:val="right"/>
              <w:rPr>
                <w:rFonts w:hint="default" w:ascii="Times New Roman" w:hAnsi="Times New Roman" w:cs="Times New Roman"/>
                <w:color w:val="000000"/>
                <w:kern w:val="2"/>
                <w:sz w:val="16"/>
                <w:szCs w:val="16"/>
              </w:rPr>
            </w:pPr>
          </w:p>
        </w:tc>
      </w:tr>
      <w:tr w14:paraId="0F0DEEBC">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64B9E">
            <w:pPr>
              <w:keepNext w:val="0"/>
              <w:keepLines w:val="0"/>
              <w:pageBreakBefore w:val="0"/>
              <w:widowControl/>
              <w:kinsoku/>
              <w:wordWrap/>
              <w:overflowPunct/>
              <w:topLinePunct w:val="0"/>
              <w:autoSpaceDE/>
              <w:autoSpaceDN/>
              <w:bidi w:val="0"/>
              <w:adjustRightInd/>
              <w:snapToGrid/>
              <w:spacing w:line="600" w:lineRule="exact"/>
              <w:ind w:left="0" w:right="0" w:rightChars="0" w:firstLine="321" w:firstLineChars="200"/>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475F5">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8C35E">
            <w:pPr>
              <w:keepNext w:val="0"/>
              <w:keepLines w:val="0"/>
              <w:pageBreakBefore w:val="0"/>
              <w:widowControl/>
              <w:kinsoku/>
              <w:wordWrap/>
              <w:overflowPunct/>
              <w:topLinePunct w:val="0"/>
              <w:autoSpaceDE/>
              <w:autoSpaceDN/>
              <w:bidi w:val="0"/>
              <w:adjustRightInd/>
              <w:snapToGrid/>
              <w:spacing w:line="600"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64.48</w:t>
            </w:r>
            <w:r>
              <w:rPr>
                <w:rFonts w:hint="default" w:ascii="Times New Roman" w:hAnsi="Times New Roman" w:cs="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FDAFE">
            <w:pPr>
              <w:keepNext w:val="0"/>
              <w:keepLines w:val="0"/>
              <w:pageBreakBefore w:val="0"/>
              <w:widowControl/>
              <w:kinsoku/>
              <w:wordWrap/>
              <w:overflowPunct/>
              <w:topLinePunct w:val="0"/>
              <w:autoSpaceDE/>
              <w:autoSpaceDN/>
              <w:bidi w:val="0"/>
              <w:adjustRightInd/>
              <w:snapToGrid/>
              <w:spacing w:line="600" w:lineRule="exact"/>
              <w:ind w:left="0" w:right="0" w:rightChars="0" w:firstLine="320" w:firstLineChars="200"/>
              <w:rPr>
                <w:rFonts w:hint="default" w:ascii="Times New Roman" w:hAnsi="Times New Roman" w:cs="Times New Roman"/>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840C9">
            <w:pPr>
              <w:keepNext w:val="0"/>
              <w:keepLines w:val="0"/>
              <w:pageBreakBefore w:val="0"/>
              <w:widowControl/>
              <w:kinsoku/>
              <w:wordWrap/>
              <w:overflowPunct/>
              <w:topLinePunct w:val="0"/>
              <w:autoSpaceDE/>
              <w:autoSpaceDN/>
              <w:bidi w:val="0"/>
              <w:adjustRightInd/>
              <w:snapToGrid/>
              <w:spacing w:line="600" w:lineRule="exact"/>
              <w:ind w:left="0" w:right="0" w:rightChars="0" w:firstLine="320" w:firstLineChars="200"/>
              <w:jc w:val="right"/>
              <w:rPr>
                <w:rFonts w:hint="default" w:ascii="Times New Roman" w:hAnsi="Times New Roman" w:cs="Times New Roman"/>
                <w:color w:val="000000"/>
                <w:sz w:val="16"/>
                <w:szCs w:val="16"/>
              </w:rPr>
            </w:pPr>
          </w:p>
        </w:tc>
      </w:tr>
    </w:tbl>
    <w:p w14:paraId="203C55A7">
      <w:pPr>
        <w:keepNext w:val="0"/>
        <w:keepLines w:val="0"/>
        <w:pageBreakBefore w:val="0"/>
        <w:kinsoku/>
        <w:overflowPunct/>
        <w:topLinePunct w:val="0"/>
        <w:autoSpaceDN/>
        <w:bidi w:val="0"/>
        <w:adjustRightInd/>
        <w:spacing w:line="600" w:lineRule="exact"/>
        <w:ind w:left="0" w:right="0" w:rightChars="0"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5" w:type="default"/>
      <w:footerReference r:id="rId6"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D059">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16C06">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F16C06">
                    <w:pPr>
                      <w:pStyle w:val="3"/>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E18F">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DABCAF">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DABCAF">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FDCA">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AB0479">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17</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7AB0479">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17</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2945141">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2945141">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D6A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34505"/>
    <w:rsid w:val="01474EBF"/>
    <w:rsid w:val="01F3521E"/>
    <w:rsid w:val="024E6A5C"/>
    <w:rsid w:val="03077B2E"/>
    <w:rsid w:val="03B87EA0"/>
    <w:rsid w:val="03E3214F"/>
    <w:rsid w:val="043661BC"/>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9CD560F"/>
    <w:rsid w:val="09CF5A25"/>
    <w:rsid w:val="0A5C4B69"/>
    <w:rsid w:val="0A86124A"/>
    <w:rsid w:val="0AB54CC0"/>
    <w:rsid w:val="0B9335CE"/>
    <w:rsid w:val="0C7927C4"/>
    <w:rsid w:val="0C9205DE"/>
    <w:rsid w:val="0C9B098C"/>
    <w:rsid w:val="0D527A98"/>
    <w:rsid w:val="0D673E11"/>
    <w:rsid w:val="0DDA54E4"/>
    <w:rsid w:val="0E084ABF"/>
    <w:rsid w:val="0E3A5F83"/>
    <w:rsid w:val="0E74421A"/>
    <w:rsid w:val="0EA46639"/>
    <w:rsid w:val="0EC6180C"/>
    <w:rsid w:val="0F497FB6"/>
    <w:rsid w:val="0F836721"/>
    <w:rsid w:val="0FA25D96"/>
    <w:rsid w:val="0FDC060A"/>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EA0CC1"/>
    <w:rsid w:val="13FD55AB"/>
    <w:rsid w:val="14200702"/>
    <w:rsid w:val="14907817"/>
    <w:rsid w:val="15E53788"/>
    <w:rsid w:val="163A6CEE"/>
    <w:rsid w:val="173708E3"/>
    <w:rsid w:val="174C19C7"/>
    <w:rsid w:val="17C374FC"/>
    <w:rsid w:val="189079DC"/>
    <w:rsid w:val="189B0D0B"/>
    <w:rsid w:val="18B43F7C"/>
    <w:rsid w:val="194A1770"/>
    <w:rsid w:val="19B906A4"/>
    <w:rsid w:val="19FB026E"/>
    <w:rsid w:val="1B6F15B6"/>
    <w:rsid w:val="1BAA2EDC"/>
    <w:rsid w:val="1C1642E7"/>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84605"/>
    <w:rsid w:val="1F2C5189"/>
    <w:rsid w:val="1F4B0B02"/>
    <w:rsid w:val="1FBB35CD"/>
    <w:rsid w:val="1FCD26AF"/>
    <w:rsid w:val="20642787"/>
    <w:rsid w:val="20F4064E"/>
    <w:rsid w:val="210F6900"/>
    <w:rsid w:val="21556F04"/>
    <w:rsid w:val="22403BD3"/>
    <w:rsid w:val="23A128D5"/>
    <w:rsid w:val="23DA37D9"/>
    <w:rsid w:val="24B92327"/>
    <w:rsid w:val="24C14514"/>
    <w:rsid w:val="2500362B"/>
    <w:rsid w:val="2530124C"/>
    <w:rsid w:val="2533755C"/>
    <w:rsid w:val="25791755"/>
    <w:rsid w:val="26396DF4"/>
    <w:rsid w:val="27167136"/>
    <w:rsid w:val="27B23302"/>
    <w:rsid w:val="29310A5F"/>
    <w:rsid w:val="29C37A35"/>
    <w:rsid w:val="2A076083"/>
    <w:rsid w:val="2A73162E"/>
    <w:rsid w:val="2A751F0B"/>
    <w:rsid w:val="2AAC50E1"/>
    <w:rsid w:val="2B167953"/>
    <w:rsid w:val="2B200583"/>
    <w:rsid w:val="2B220436"/>
    <w:rsid w:val="2B8209DE"/>
    <w:rsid w:val="2C3A38C6"/>
    <w:rsid w:val="2C6762A3"/>
    <w:rsid w:val="2CE455E0"/>
    <w:rsid w:val="2CE55F4A"/>
    <w:rsid w:val="2E204D3E"/>
    <w:rsid w:val="2EBF7B3E"/>
    <w:rsid w:val="2EDE1934"/>
    <w:rsid w:val="2FCA4B37"/>
    <w:rsid w:val="2FE029D7"/>
    <w:rsid w:val="2FF06E00"/>
    <w:rsid w:val="30562E26"/>
    <w:rsid w:val="30586FEC"/>
    <w:rsid w:val="306012EF"/>
    <w:rsid w:val="30EC7046"/>
    <w:rsid w:val="315F0B22"/>
    <w:rsid w:val="319D022C"/>
    <w:rsid w:val="31C90022"/>
    <w:rsid w:val="31D84415"/>
    <w:rsid w:val="31EF0522"/>
    <w:rsid w:val="320C3F83"/>
    <w:rsid w:val="32285F6F"/>
    <w:rsid w:val="32770556"/>
    <w:rsid w:val="329C0913"/>
    <w:rsid w:val="32AA0460"/>
    <w:rsid w:val="3337290D"/>
    <w:rsid w:val="33E31118"/>
    <w:rsid w:val="33EF7674"/>
    <w:rsid w:val="342D7BC6"/>
    <w:rsid w:val="34475F39"/>
    <w:rsid w:val="352930DB"/>
    <w:rsid w:val="35573069"/>
    <w:rsid w:val="355F6038"/>
    <w:rsid w:val="358C217E"/>
    <w:rsid w:val="35937598"/>
    <w:rsid w:val="36442548"/>
    <w:rsid w:val="364C4922"/>
    <w:rsid w:val="36C9128A"/>
    <w:rsid w:val="36E56B24"/>
    <w:rsid w:val="372E3953"/>
    <w:rsid w:val="37841E99"/>
    <w:rsid w:val="37BF1123"/>
    <w:rsid w:val="383C3F15"/>
    <w:rsid w:val="38BE4696"/>
    <w:rsid w:val="3939115E"/>
    <w:rsid w:val="39B82A39"/>
    <w:rsid w:val="39C067D9"/>
    <w:rsid w:val="39C42CA8"/>
    <w:rsid w:val="39DC4FD6"/>
    <w:rsid w:val="39F03D7A"/>
    <w:rsid w:val="39F33306"/>
    <w:rsid w:val="3A2C1C67"/>
    <w:rsid w:val="3B1705E5"/>
    <w:rsid w:val="3B18334B"/>
    <w:rsid w:val="3B36794F"/>
    <w:rsid w:val="3C3D50E6"/>
    <w:rsid w:val="3C566AD6"/>
    <w:rsid w:val="3C6A5B02"/>
    <w:rsid w:val="3D2757A1"/>
    <w:rsid w:val="3D3D4FC4"/>
    <w:rsid w:val="3DDF3AB1"/>
    <w:rsid w:val="3DF4776F"/>
    <w:rsid w:val="3E1D0952"/>
    <w:rsid w:val="3E42660A"/>
    <w:rsid w:val="3E7555B1"/>
    <w:rsid w:val="3E787ED9"/>
    <w:rsid w:val="3E7E3AE6"/>
    <w:rsid w:val="3EEC37F3"/>
    <w:rsid w:val="3F032E93"/>
    <w:rsid w:val="3F0527E5"/>
    <w:rsid w:val="3F4814B0"/>
    <w:rsid w:val="3F5E5D98"/>
    <w:rsid w:val="3F694D83"/>
    <w:rsid w:val="3F885DCC"/>
    <w:rsid w:val="3FB82389"/>
    <w:rsid w:val="3FCD675E"/>
    <w:rsid w:val="3FD86860"/>
    <w:rsid w:val="4004000C"/>
    <w:rsid w:val="40C8729B"/>
    <w:rsid w:val="40D54604"/>
    <w:rsid w:val="411B52E3"/>
    <w:rsid w:val="411B6CE5"/>
    <w:rsid w:val="412070D7"/>
    <w:rsid w:val="41314E40"/>
    <w:rsid w:val="41346D93"/>
    <w:rsid w:val="418E2292"/>
    <w:rsid w:val="41E0734B"/>
    <w:rsid w:val="426554D0"/>
    <w:rsid w:val="426C1EA8"/>
    <w:rsid w:val="42736402"/>
    <w:rsid w:val="42E86A87"/>
    <w:rsid w:val="43282273"/>
    <w:rsid w:val="43307B09"/>
    <w:rsid w:val="43470647"/>
    <w:rsid w:val="438D0E97"/>
    <w:rsid w:val="43BB152F"/>
    <w:rsid w:val="440A3726"/>
    <w:rsid w:val="44494994"/>
    <w:rsid w:val="44BA6EFA"/>
    <w:rsid w:val="44C37687"/>
    <w:rsid w:val="45685582"/>
    <w:rsid w:val="45CB699A"/>
    <w:rsid w:val="45FF0E83"/>
    <w:rsid w:val="46453C76"/>
    <w:rsid w:val="465B470D"/>
    <w:rsid w:val="46990836"/>
    <w:rsid w:val="469D6AD4"/>
    <w:rsid w:val="47044DA5"/>
    <w:rsid w:val="471E6C84"/>
    <w:rsid w:val="4748792B"/>
    <w:rsid w:val="475D719D"/>
    <w:rsid w:val="47674801"/>
    <w:rsid w:val="48225EF7"/>
    <w:rsid w:val="488663C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B43398"/>
    <w:rsid w:val="50F06B6E"/>
    <w:rsid w:val="52234D33"/>
    <w:rsid w:val="52261ABA"/>
    <w:rsid w:val="522F6E0C"/>
    <w:rsid w:val="52463BA1"/>
    <w:rsid w:val="5298794F"/>
    <w:rsid w:val="52F163D4"/>
    <w:rsid w:val="531A2DB4"/>
    <w:rsid w:val="53C0244D"/>
    <w:rsid w:val="53C41B44"/>
    <w:rsid w:val="53DD4D4E"/>
    <w:rsid w:val="53E578CE"/>
    <w:rsid w:val="541330F0"/>
    <w:rsid w:val="54272666"/>
    <w:rsid w:val="543B029D"/>
    <w:rsid w:val="544C3364"/>
    <w:rsid w:val="54861779"/>
    <w:rsid w:val="54C1058A"/>
    <w:rsid w:val="552256E1"/>
    <w:rsid w:val="554E5773"/>
    <w:rsid w:val="555A3CBC"/>
    <w:rsid w:val="5582012B"/>
    <w:rsid w:val="558E4E05"/>
    <w:rsid w:val="55BE2E85"/>
    <w:rsid w:val="55D82B6C"/>
    <w:rsid w:val="561D52C4"/>
    <w:rsid w:val="5651697D"/>
    <w:rsid w:val="56530F5D"/>
    <w:rsid w:val="56692AE5"/>
    <w:rsid w:val="567700D3"/>
    <w:rsid w:val="56FF7E9E"/>
    <w:rsid w:val="578867FC"/>
    <w:rsid w:val="583D3C73"/>
    <w:rsid w:val="5842572D"/>
    <w:rsid w:val="59D91B01"/>
    <w:rsid w:val="59F030C8"/>
    <w:rsid w:val="5A3B59D6"/>
    <w:rsid w:val="5AD134D8"/>
    <w:rsid w:val="5B6503B1"/>
    <w:rsid w:val="5C0F7EC4"/>
    <w:rsid w:val="5C1146F5"/>
    <w:rsid w:val="5C263CE4"/>
    <w:rsid w:val="5C4A2E02"/>
    <w:rsid w:val="5C5D2777"/>
    <w:rsid w:val="5CF66BF3"/>
    <w:rsid w:val="5D290C69"/>
    <w:rsid w:val="5DA50C7E"/>
    <w:rsid w:val="5F2D4A41"/>
    <w:rsid w:val="5F9349E4"/>
    <w:rsid w:val="60C74F6C"/>
    <w:rsid w:val="61025A59"/>
    <w:rsid w:val="613D5BBC"/>
    <w:rsid w:val="61536C39"/>
    <w:rsid w:val="61E64F4A"/>
    <w:rsid w:val="61ED6709"/>
    <w:rsid w:val="623E0993"/>
    <w:rsid w:val="62944DD7"/>
    <w:rsid w:val="6319381F"/>
    <w:rsid w:val="63236436"/>
    <w:rsid w:val="63C25DC5"/>
    <w:rsid w:val="63C62057"/>
    <w:rsid w:val="64571EF5"/>
    <w:rsid w:val="64601BC3"/>
    <w:rsid w:val="64CB0157"/>
    <w:rsid w:val="64F00823"/>
    <w:rsid w:val="64FB113D"/>
    <w:rsid w:val="65036946"/>
    <w:rsid w:val="654A25FE"/>
    <w:rsid w:val="656152C6"/>
    <w:rsid w:val="6587477F"/>
    <w:rsid w:val="658C3A08"/>
    <w:rsid w:val="65BF03BD"/>
    <w:rsid w:val="65C031CA"/>
    <w:rsid w:val="65CE6852"/>
    <w:rsid w:val="66267C04"/>
    <w:rsid w:val="663F505A"/>
    <w:rsid w:val="66967186"/>
    <w:rsid w:val="66BE2D49"/>
    <w:rsid w:val="66D9569B"/>
    <w:rsid w:val="66EE5541"/>
    <w:rsid w:val="67924660"/>
    <w:rsid w:val="683200C2"/>
    <w:rsid w:val="68407834"/>
    <w:rsid w:val="6883293E"/>
    <w:rsid w:val="688412AD"/>
    <w:rsid w:val="68EB1B71"/>
    <w:rsid w:val="69475C96"/>
    <w:rsid w:val="6AAD2300"/>
    <w:rsid w:val="6B36509C"/>
    <w:rsid w:val="6B474EF5"/>
    <w:rsid w:val="6BBF53FD"/>
    <w:rsid w:val="6C560CAE"/>
    <w:rsid w:val="6C576495"/>
    <w:rsid w:val="6D7E290C"/>
    <w:rsid w:val="6D837514"/>
    <w:rsid w:val="6D903FF5"/>
    <w:rsid w:val="6DA955B8"/>
    <w:rsid w:val="6DE346AB"/>
    <w:rsid w:val="6DE5391A"/>
    <w:rsid w:val="6EFD1324"/>
    <w:rsid w:val="6F5A53AC"/>
    <w:rsid w:val="6FAC003D"/>
    <w:rsid w:val="6FE55E12"/>
    <w:rsid w:val="6FFB2E76"/>
    <w:rsid w:val="70001CFE"/>
    <w:rsid w:val="708F6F7F"/>
    <w:rsid w:val="70D94BD3"/>
    <w:rsid w:val="71C34D91"/>
    <w:rsid w:val="722842FE"/>
    <w:rsid w:val="72DB435C"/>
    <w:rsid w:val="72E2613A"/>
    <w:rsid w:val="72F771F4"/>
    <w:rsid w:val="734150D5"/>
    <w:rsid w:val="736650B0"/>
    <w:rsid w:val="73840550"/>
    <w:rsid w:val="73934AD2"/>
    <w:rsid w:val="750837F0"/>
    <w:rsid w:val="754758CF"/>
    <w:rsid w:val="761275E6"/>
    <w:rsid w:val="762D1373"/>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CD0124"/>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8316</Words>
  <Characters>9832</Characters>
  <Lines>186</Lines>
  <Paragraphs>52</Paragraphs>
  <TotalTime>0</TotalTime>
  <ScaleCrop>false</ScaleCrop>
  <LinksUpToDate>false</LinksUpToDate>
  <CharactersWithSpaces>10037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而已.</cp:lastModifiedBy>
  <dcterms:modified xsi:type="dcterms:W3CDTF">2025-09-24T02:52:11Z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