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Autospacing="0"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丰都县兴龙镇人民政府</w:t>
      </w:r>
    </w:p>
    <w:p>
      <w:pPr>
        <w:pStyle w:val="6"/>
        <w:spacing w:before="0" w:beforeAutospacing="0" w:afterAutospacing="0" w:line="560"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2023年度决算公开说明</w:t>
      </w:r>
    </w:p>
    <w:p>
      <w:pPr>
        <w:pStyle w:val="6"/>
        <w:spacing w:before="0" w:beforeAutospacing="0" w:afterAutospacing="0" w:line="560" w:lineRule="exact"/>
        <w:jc w:val="center"/>
        <w:rPr>
          <w:rFonts w:hint="eastAsia" w:ascii="方正小标宋_GBK" w:hAnsi="方正小标宋_GBK" w:eastAsia="方正小标宋_GBK" w:cs="方正小标宋_GBK"/>
          <w:b w:val="0"/>
          <w:bCs w:val="0"/>
          <w:sz w:val="36"/>
          <w:szCs w:val="36"/>
          <w:shd w:val="clear" w:color="auto" w:fill="FFFFFF"/>
        </w:rPr>
      </w:pPr>
    </w:p>
    <w:p>
      <w:pPr>
        <w:pStyle w:val="6"/>
        <w:spacing w:beforeAutospacing="0" w:afterAutospacing="0" w:line="560" w:lineRule="exact"/>
        <w:ind w:firstLine="640" w:firstLineChars="200"/>
        <w:rPr>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shd w:val="clear" w:color="auto" w:fill="FFFFFF"/>
        </w:rPr>
        <w:t>一、部门基本情况</w:t>
      </w:r>
    </w:p>
    <w:p>
      <w:pPr>
        <w:pStyle w:val="6"/>
        <w:spacing w:beforeAutospacing="0" w:afterAutospacing="0" w:line="560" w:lineRule="exact"/>
        <w:ind w:firstLine="420"/>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1.执行本级人民代表大会的决议和上级国家行政机关的决定和命令，发布决定和命令。</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2.执行本行政区域内的经济和社会发展计划，加强公共设施的建设和管理，发展各项服务事业。</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3.依法管理本级财政、执行本级预算。</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4.为农民提供有效的科技、教育、文化、信息、卫生、体育、医疗、人才开发、劳动就业、安全生产等方面的服务。</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5.保护国有资产和集体所有的财产，保护公民私人所有的合法财产、保障公民的人身权利、民主权利和其他权利，保护各种组织的合法权益。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6.开展社会主义民主与法制教育，加强社会治安综合治理，调解民事纠纷，维护社会秩序。</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color w:val="000000" w:themeColor="text1"/>
          <w:sz w:val="32"/>
          <w:szCs w:val="32"/>
          <w:highlight w:val="none"/>
          <w:shd w:val="clear" w:color="auto" w:fill="FFFFFF"/>
        </w:rPr>
      </w:pPr>
      <w:r>
        <w:rPr>
          <w:rFonts w:hint="default" w:ascii="Times New Roman" w:hAnsi="Times New Roman" w:eastAsia="方正仿宋_GBK"/>
          <w:b w:val="0"/>
          <w:bCs w:val="0"/>
          <w:color w:val="000000" w:themeColor="text1"/>
          <w:sz w:val="32"/>
          <w:szCs w:val="32"/>
          <w:highlight w:val="none"/>
          <w:shd w:val="clear" w:color="auto" w:fill="FFFFFF"/>
        </w:rPr>
        <w:t>7.保护妇女、儿童和老人的合法权益。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8.负责民政工作，发展社会福利事业，做好社会保障工作，办理兵役事项。</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9.承办上级人民政府交办的其他事项。</w:t>
      </w:r>
    </w:p>
    <w:p>
      <w:pPr>
        <w:pStyle w:val="6"/>
        <w:spacing w:beforeAutospacing="0" w:afterAutospacing="0" w:line="560" w:lineRule="exact"/>
        <w:ind w:firstLine="420"/>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（二）机构设置</w:t>
      </w:r>
    </w:p>
    <w:p>
      <w:pPr>
        <w:pStyle w:val="6"/>
        <w:spacing w:beforeAutospacing="0" w:afterAutospacing="0" w:line="560" w:lineRule="exact"/>
        <w:ind w:firstLine="640" w:firstLineChars="200"/>
        <w:rPr>
          <w:rStyle w:val="10"/>
          <w:rFonts w:hint="default" w:ascii="Times New Roman" w:hAnsi="Times New Roman" w:eastAsia="方正仿宋_GBK" w:cs="Times New Roman"/>
          <w:b w:val="0"/>
          <w:bCs w:val="0"/>
          <w:sz w:val="32"/>
          <w:szCs w:val="32"/>
          <w:highlight w:val="none"/>
          <w:shd w:val="clear" w:color="auto" w:fill="FFFFFF"/>
        </w:rPr>
      </w:pPr>
      <w:r>
        <w:rPr>
          <w:rStyle w:val="10"/>
          <w:rFonts w:hint="default" w:ascii="Times New Roman" w:hAnsi="Times New Roman" w:eastAsia="方正仿宋_GBK" w:cs="Times New Roman"/>
          <w:b w:val="0"/>
          <w:bCs w:val="0"/>
          <w:sz w:val="32"/>
          <w:szCs w:val="32"/>
          <w:highlight w:val="none"/>
          <w:shd w:val="clear" w:color="auto" w:fill="FFFFFF"/>
        </w:rPr>
        <w:t>丰都县兴龙镇人民政府下设综合办事机构9个，分别是党政办公室、党群工作办公室、人大常委会办公室、经济发展办公室（挂统计、农村经营管理办公室牌子）、民政和社会事务办公室（挂卫生健康办公室牌子）、平安建设办公室、规划建设管理环保办公室、财政办公室、应急管理办公室。下设事业单位5个，分别是兴龙镇农业服务中心、兴龙镇文化服务中心、兴龙镇劳动就业和社会保障服务所、兴龙镇退役军人服务站、兴龙镇综合行政执法大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二、部门决算情况说明</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spacing w:beforeAutospacing="0" w:afterAutospacing="0" w:line="560" w:lineRule="exact"/>
        <w:ind w:firstLine="640" w:firstLineChars="200"/>
        <w:rPr>
          <w:rFonts w:hint="default" w:ascii="Times New Roman" w:hAnsi="Times New Roman" w:eastAsia="方正仿宋_GBK"/>
          <w:b w:val="0"/>
          <w:bCs w:val="0"/>
          <w:sz w:val="32"/>
          <w:szCs w:val="32"/>
        </w:rPr>
      </w:pPr>
      <w:r>
        <w:rPr>
          <w:rStyle w:val="10"/>
          <w:rFonts w:hint="default" w:ascii="Times New Roman" w:hAnsi="Times New Roman" w:eastAsia="方正仿宋_GBK"/>
          <w:b w:val="0"/>
          <w:bCs w:val="0"/>
          <w:sz w:val="32"/>
          <w:szCs w:val="32"/>
          <w:shd w:val="clear" w:color="auto" w:fill="FFFFFF"/>
        </w:rPr>
        <w:t>1.总体情况。</w:t>
      </w:r>
      <w:r>
        <w:rPr>
          <w:rFonts w:hint="default" w:ascii="Times New Roman" w:hAnsi="Times New Roman" w:eastAsia="方正仿宋_GBK"/>
          <w:b w:val="0"/>
          <w:bCs w:val="0"/>
          <w:sz w:val="32"/>
          <w:szCs w:val="32"/>
          <w:shd w:val="clear" w:color="auto" w:fill="FFFFFF"/>
        </w:rPr>
        <w:t>2023年度收入总计2817.44万元，支出总计</w:t>
      </w:r>
      <w:r>
        <w:rPr>
          <w:rFonts w:hint="default" w:ascii="Times New Roman" w:hAnsi="Times New Roman" w:eastAsia="方正仿宋_GBK"/>
          <w:b w:val="0"/>
          <w:bCs w:val="0"/>
          <w:sz w:val="32"/>
          <w:szCs w:val="32"/>
        </w:rPr>
        <w:t>2817.44</w:t>
      </w:r>
      <w:r>
        <w:rPr>
          <w:rFonts w:hint="default" w:ascii="Times New Roman" w:hAnsi="Times New Roman" w:eastAsia="方正仿宋_GBK"/>
          <w:b w:val="0"/>
          <w:bCs w:val="0"/>
          <w:sz w:val="32"/>
          <w:szCs w:val="32"/>
          <w:shd w:val="clear" w:color="auto" w:fill="FFFFFF"/>
        </w:rPr>
        <w:t>万元。收支较上年决算数减少1060.75万元，下降27.35%，主要原因是本年工程建设项目减少。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Style w:val="10"/>
          <w:rFonts w:hint="default" w:ascii="Times New Roman" w:hAnsi="Times New Roman" w:eastAsia="方正仿宋_GBK"/>
          <w:b w:val="0"/>
          <w:bCs w:val="0"/>
          <w:sz w:val="32"/>
          <w:szCs w:val="32"/>
          <w:shd w:val="clear" w:color="auto" w:fill="FFFFFF"/>
        </w:rPr>
        <w:t>2.收入情况。</w:t>
      </w:r>
      <w:r>
        <w:rPr>
          <w:rFonts w:hint="default" w:ascii="Times New Roman" w:hAnsi="Times New Roman" w:eastAsia="方正仿宋_GBK"/>
          <w:b w:val="0"/>
          <w:bCs w:val="0"/>
          <w:sz w:val="32"/>
          <w:szCs w:val="32"/>
          <w:shd w:val="clear" w:color="auto" w:fill="FFFFFF"/>
        </w:rPr>
        <w:t>2023年度收入合计2668.98万元，较上年决算数减少929.55万元，下降25.83%，主要原因是本年度交通基础设施工程建设项目减少。其中：财政拨款收入</w:t>
      </w:r>
      <w:r>
        <w:rPr>
          <w:rFonts w:hint="default" w:ascii="Times New Roman" w:hAnsi="Times New Roman" w:eastAsia="方正仿宋_GBK"/>
          <w:b w:val="0"/>
          <w:bCs w:val="0"/>
          <w:sz w:val="32"/>
          <w:szCs w:val="32"/>
        </w:rPr>
        <w:t>2668.98</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100.00</w:t>
      </w:r>
      <w:r>
        <w:rPr>
          <w:rFonts w:hint="default" w:ascii="Times New Roman" w:hAnsi="Times New Roman" w:eastAsia="方正仿宋_GBK"/>
          <w:b w:val="0"/>
          <w:bCs w:val="0"/>
          <w:sz w:val="32"/>
          <w:szCs w:val="32"/>
          <w:shd w:val="clear" w:color="auto" w:fill="FFFFFF"/>
        </w:rPr>
        <w:t>%；事业收入</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万元，占0.00%；经营收入</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万元，占0.00%；其他收入</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万元，占0.00%。此外，使用非财政拨款结余和专用结余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万元，年初结转和结余</w:t>
      </w:r>
      <w:r>
        <w:rPr>
          <w:rFonts w:hint="default" w:ascii="Times New Roman" w:hAnsi="Times New Roman" w:eastAsia="方正仿宋_GBK"/>
          <w:b w:val="0"/>
          <w:bCs w:val="0"/>
          <w:sz w:val="32"/>
          <w:szCs w:val="32"/>
        </w:rPr>
        <w:t>148.45</w:t>
      </w:r>
      <w:r>
        <w:rPr>
          <w:rFonts w:hint="default" w:ascii="Times New Roman" w:hAnsi="Times New Roman" w:eastAsia="方正仿宋_GBK"/>
          <w:b w:val="0"/>
          <w:bCs w:val="0"/>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Style w:val="10"/>
          <w:rFonts w:hint="default" w:ascii="Times New Roman" w:hAnsi="Times New Roman" w:eastAsia="方正仿宋_GBK"/>
          <w:b w:val="0"/>
          <w:bCs w:val="0"/>
          <w:sz w:val="32"/>
          <w:szCs w:val="32"/>
          <w:shd w:val="clear" w:color="auto" w:fill="FFFFFF"/>
        </w:rPr>
        <w:t>3.支出情况。</w:t>
      </w:r>
      <w:r>
        <w:rPr>
          <w:rFonts w:hint="default" w:ascii="Times New Roman" w:hAnsi="Times New Roman" w:eastAsia="方正仿宋_GBK"/>
          <w:b w:val="0"/>
          <w:bCs w:val="0"/>
          <w:sz w:val="32"/>
          <w:szCs w:val="32"/>
          <w:shd w:val="clear" w:color="auto" w:fill="FFFFFF"/>
        </w:rPr>
        <w:t>2023年度支出合计</w:t>
      </w:r>
      <w:r>
        <w:rPr>
          <w:rFonts w:hint="default" w:ascii="Times New Roman" w:hAnsi="Times New Roman" w:eastAsia="方正仿宋_GBK"/>
          <w:b w:val="0"/>
          <w:bCs w:val="0"/>
          <w:sz w:val="32"/>
          <w:szCs w:val="32"/>
        </w:rPr>
        <w:t>2804.06</w:t>
      </w:r>
      <w:r>
        <w:rPr>
          <w:rFonts w:hint="default" w:ascii="Times New Roman" w:hAnsi="Times New Roman" w:eastAsia="方正仿宋_GBK"/>
          <w:b w:val="0"/>
          <w:bCs w:val="0"/>
          <w:sz w:val="32"/>
          <w:szCs w:val="32"/>
          <w:shd w:val="clear" w:color="auto" w:fill="FFFFFF"/>
        </w:rPr>
        <w:t>万元，较上年决算数减少1063.75万元，下降27.50%，主要原因是本年度交通基础设施工程建设项目减少，所以项目支出减少。其中：基本支出</w:t>
      </w:r>
      <w:r>
        <w:rPr>
          <w:rFonts w:hint="default" w:ascii="Times New Roman" w:hAnsi="Times New Roman" w:eastAsia="方正仿宋_GBK"/>
          <w:b w:val="0"/>
          <w:bCs w:val="0"/>
          <w:sz w:val="32"/>
          <w:szCs w:val="32"/>
        </w:rPr>
        <w:t>1706.10</w:t>
      </w:r>
      <w:r>
        <w:rPr>
          <w:rFonts w:hint="default" w:ascii="Times New Roman" w:hAnsi="Times New Roman" w:eastAsia="方正仿宋_GBK"/>
          <w:b w:val="0"/>
          <w:bCs w:val="0"/>
          <w:sz w:val="32"/>
          <w:szCs w:val="32"/>
          <w:shd w:val="clear" w:color="auto" w:fill="FFFFFF"/>
        </w:rPr>
        <w:t>万元，占60.84%；项目支出</w:t>
      </w:r>
      <w:r>
        <w:rPr>
          <w:rFonts w:hint="default" w:ascii="Times New Roman" w:hAnsi="Times New Roman" w:eastAsia="方正仿宋_GBK"/>
          <w:b w:val="0"/>
          <w:bCs w:val="0"/>
          <w:sz w:val="32"/>
          <w:szCs w:val="32"/>
        </w:rPr>
        <w:t>1097.96</w:t>
      </w:r>
      <w:r>
        <w:rPr>
          <w:rFonts w:hint="default" w:ascii="Times New Roman" w:hAnsi="Times New Roman" w:eastAsia="方正仿宋_GBK"/>
          <w:b w:val="0"/>
          <w:bCs w:val="0"/>
          <w:sz w:val="32"/>
          <w:szCs w:val="32"/>
          <w:shd w:val="clear" w:color="auto" w:fill="FFFFFF"/>
        </w:rPr>
        <w:t>万元，占39.16%；经营支出</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万元，占0.00%。此外，结余分配</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w:t>
      </w:r>
    </w:p>
    <w:p>
      <w:pPr>
        <w:pStyle w:val="11"/>
        <w:autoSpaceDE w:val="0"/>
        <w:spacing w:line="560" w:lineRule="exact"/>
        <w:ind w:firstLine="643"/>
        <w:rPr>
          <w:rFonts w:ascii="Times New Roman" w:hAnsi="Times New Roman" w:eastAsia="方正仿宋_GBK"/>
          <w:b w:val="0"/>
          <w:bCs w:val="0"/>
          <w:sz w:val="32"/>
          <w:szCs w:val="32"/>
          <w:shd w:val="clear" w:color="auto" w:fill="FFFFFF"/>
        </w:rPr>
      </w:pPr>
      <w:r>
        <w:rPr>
          <w:rStyle w:val="10"/>
          <w:rFonts w:ascii="Times New Roman" w:hAnsi="Times New Roman" w:eastAsia="方正仿宋_GBK"/>
          <w:b w:val="0"/>
          <w:bCs w:val="0"/>
          <w:sz w:val="32"/>
          <w:szCs w:val="32"/>
          <w:shd w:val="clear" w:color="auto" w:fill="FFFFFF"/>
        </w:rPr>
        <w:t>4.结转结余情况。</w:t>
      </w:r>
      <w:r>
        <w:rPr>
          <w:rFonts w:ascii="Times New Roman" w:hAnsi="Times New Roman" w:eastAsia="方正仿宋_GBK"/>
          <w:b w:val="0"/>
          <w:bCs w:val="0"/>
          <w:sz w:val="32"/>
          <w:szCs w:val="32"/>
          <w:shd w:val="clear" w:color="auto" w:fill="FFFFFF"/>
        </w:rPr>
        <w:t>2023年度年末结转和结余</w:t>
      </w:r>
      <w:r>
        <w:rPr>
          <w:rFonts w:ascii="Times New Roman" w:hAnsi="Times New Roman" w:eastAsia="方正仿宋_GBK"/>
          <w:b w:val="0"/>
          <w:bCs w:val="0"/>
          <w:sz w:val="32"/>
          <w:szCs w:val="32"/>
        </w:rPr>
        <w:t>13.38</w:t>
      </w:r>
      <w:r>
        <w:rPr>
          <w:rFonts w:ascii="Times New Roman" w:hAnsi="Times New Roman" w:eastAsia="方正仿宋_GBK"/>
          <w:b w:val="0"/>
          <w:bCs w:val="0"/>
          <w:sz w:val="32"/>
          <w:szCs w:val="32"/>
          <w:shd w:val="clear" w:color="auto" w:fill="FFFFFF"/>
        </w:rPr>
        <w:t>万元，较上年决算数增加3.00万元，增长28.90%，主要原因是</w:t>
      </w:r>
      <w:r>
        <w:rPr>
          <w:rFonts w:hint="eastAsia" w:ascii="Times New Roman" w:hAnsi="Times New Roman" w:eastAsia="方正仿宋_GBK"/>
          <w:b w:val="0"/>
          <w:bCs w:val="0"/>
          <w:sz w:val="32"/>
          <w:szCs w:val="32"/>
          <w:shd w:val="clear" w:color="auto" w:fill="FFFFFF"/>
          <w:lang w:val="en-US" w:eastAsia="zh-CN"/>
        </w:rPr>
        <w:t>资金重复支付，退款到代管资金，造成年末结转结余资金增加。</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2023年度财政拨款收、支总计2817.44万元。与2022年相比，财政拨款收、支总计各减少1060.75万元，下降27.35%。主要原因是本年实施的工程项目减少，所以项目支出减少。</w:t>
      </w:r>
      <w:bookmarkStart w:id="1" w:name="_GoBack"/>
      <w:bookmarkEnd w:id="1"/>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Times New Roman" w:hAnsi="Times New Roman" w:eastAsia="方正仿宋_GBK"/>
          <w:b w:val="0"/>
          <w:bCs w:val="0"/>
          <w:sz w:val="32"/>
          <w:szCs w:val="32"/>
          <w:shd w:val="clear" w:color="auto" w:fill="FFFFFF"/>
        </w:rPr>
        <w:t>1.收入情况。</w:t>
      </w:r>
      <w:r>
        <w:rPr>
          <w:rFonts w:hint="default" w:ascii="Times New Roman" w:hAnsi="Times New Roman" w:eastAsia="方正仿宋_GBK"/>
          <w:b w:val="0"/>
          <w:bCs w:val="0"/>
          <w:sz w:val="32"/>
          <w:szCs w:val="32"/>
          <w:shd w:val="clear" w:color="auto" w:fill="FFFFFF"/>
        </w:rPr>
        <w:t>2023年度一般公共预算财政拨款收入</w:t>
      </w:r>
      <w:r>
        <w:rPr>
          <w:rFonts w:hint="default" w:ascii="Times New Roman" w:hAnsi="Times New Roman" w:eastAsia="方正仿宋_GBK"/>
          <w:b w:val="0"/>
          <w:bCs w:val="0"/>
          <w:sz w:val="32"/>
          <w:szCs w:val="32"/>
        </w:rPr>
        <w:t>2537.36</w:t>
      </w:r>
      <w:r>
        <w:rPr>
          <w:rFonts w:hint="default" w:ascii="Times New Roman" w:hAnsi="Times New Roman" w:eastAsia="方正仿宋_GBK"/>
          <w:b w:val="0"/>
          <w:bCs w:val="0"/>
          <w:sz w:val="32"/>
          <w:szCs w:val="32"/>
          <w:shd w:val="clear" w:color="auto" w:fill="FFFFFF"/>
        </w:rPr>
        <w:t>万元，较上年决算数增加142.95万元，增长5.97%。主要原因是</w:t>
      </w:r>
      <w:r>
        <w:rPr>
          <w:rFonts w:ascii="Times New Roman" w:hAnsi="Times New Roman" w:eastAsia="方正仿宋_GBK"/>
          <w:b w:val="0"/>
          <w:bCs w:val="0"/>
          <w:sz w:val="32"/>
          <w:szCs w:val="32"/>
          <w:shd w:val="clear" w:color="auto" w:fill="FFFFFF"/>
        </w:rPr>
        <w:t>涉及人员招录、调进调出等人员变动情况，人员经费增加</w:t>
      </w:r>
      <w:r>
        <w:rPr>
          <w:rFonts w:hint="default" w:ascii="Times New Roman" w:hAnsi="Times New Roman" w:eastAsia="方正仿宋_GBK"/>
          <w:b w:val="0"/>
          <w:bCs w:val="0"/>
          <w:color w:val="FF000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较年初预算数增加959.63万元，增长60.82%。主要原因是</w:t>
      </w:r>
      <w:r>
        <w:rPr>
          <w:rFonts w:ascii="Times New Roman" w:hAnsi="Times New Roman" w:eastAsia="方正仿宋_GBK"/>
          <w:b w:val="0"/>
          <w:bCs w:val="0"/>
          <w:sz w:val="32"/>
          <w:szCs w:val="32"/>
        </w:rPr>
        <w:t>项目支出增加，主要用于松材线虫防治、退耕还林、工程项目建设</w:t>
      </w:r>
      <w:r>
        <w:rPr>
          <w:rFonts w:ascii="Times New Roman" w:hAnsi="Times New Roman" w:eastAsia="方正仿宋_GBK"/>
          <w:b w:val="0"/>
          <w:bCs w:val="0"/>
          <w:color w:val="auto"/>
          <w:sz w:val="32"/>
          <w:szCs w:val="32"/>
        </w:rPr>
        <w:t>等</w:t>
      </w:r>
      <w:r>
        <w:rPr>
          <w:rFonts w:hint="default" w:ascii="Times New Roman" w:hAnsi="Times New Roman" w:eastAsia="方正仿宋_GBK"/>
          <w:b w:val="0"/>
          <w:bCs w:val="0"/>
          <w:color w:val="auto"/>
          <w:sz w:val="32"/>
          <w:szCs w:val="32"/>
          <w:shd w:val="clear" w:color="auto" w:fill="FFFFFF"/>
        </w:rPr>
        <w:t>。</w:t>
      </w:r>
      <w:r>
        <w:rPr>
          <w:rFonts w:hint="default" w:ascii="Times New Roman" w:hAnsi="Times New Roman" w:eastAsia="方正仿宋_GBK"/>
          <w:b w:val="0"/>
          <w:bCs w:val="0"/>
          <w:sz w:val="32"/>
          <w:szCs w:val="32"/>
          <w:shd w:val="clear" w:color="auto" w:fill="FFFFFF"/>
        </w:rPr>
        <w:t>此外，年初财政拨款结转和结余</w:t>
      </w:r>
      <w:r>
        <w:rPr>
          <w:rFonts w:hint="default" w:ascii="Times New Roman" w:hAnsi="Times New Roman" w:eastAsia="方正仿宋_GBK"/>
          <w:b w:val="0"/>
          <w:bCs w:val="0"/>
          <w:sz w:val="32"/>
          <w:szCs w:val="32"/>
        </w:rPr>
        <w:t>148.45</w:t>
      </w:r>
      <w:r>
        <w:rPr>
          <w:rFonts w:hint="default" w:ascii="Times New Roman" w:hAnsi="Times New Roman" w:eastAsia="方正仿宋_GBK"/>
          <w:b w:val="0"/>
          <w:bCs w:val="0"/>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color w:val="auto"/>
          <w:sz w:val="32"/>
          <w:szCs w:val="32"/>
        </w:rPr>
      </w:pPr>
      <w:r>
        <w:rPr>
          <w:rStyle w:val="10"/>
          <w:rFonts w:hint="default" w:ascii="Times New Roman" w:hAnsi="Times New Roman" w:eastAsia="方正仿宋_GBK"/>
          <w:b w:val="0"/>
          <w:bCs w:val="0"/>
          <w:sz w:val="32"/>
          <w:szCs w:val="32"/>
          <w:shd w:val="clear" w:color="auto" w:fill="FFFFFF"/>
        </w:rPr>
        <w:t>2.支出情况。</w:t>
      </w:r>
      <w:r>
        <w:rPr>
          <w:rFonts w:hint="default" w:ascii="Times New Roman" w:hAnsi="Times New Roman" w:eastAsia="方正仿宋_GBK"/>
          <w:b w:val="0"/>
          <w:bCs w:val="0"/>
          <w:sz w:val="32"/>
          <w:szCs w:val="32"/>
          <w:shd w:val="clear" w:color="auto" w:fill="FFFFFF"/>
        </w:rPr>
        <w:t>2023年度一般公共预算财政拨款支出</w:t>
      </w:r>
      <w:r>
        <w:rPr>
          <w:rFonts w:hint="default" w:ascii="Times New Roman" w:hAnsi="Times New Roman" w:eastAsia="方正仿宋_GBK"/>
          <w:b w:val="0"/>
          <w:bCs w:val="0"/>
          <w:sz w:val="32"/>
          <w:szCs w:val="32"/>
        </w:rPr>
        <w:t>2672.44</w:t>
      </w:r>
      <w:r>
        <w:rPr>
          <w:rFonts w:hint="default" w:ascii="Times New Roman" w:hAnsi="Times New Roman" w:eastAsia="方正仿宋_GBK"/>
          <w:b w:val="0"/>
          <w:bCs w:val="0"/>
          <w:sz w:val="32"/>
          <w:szCs w:val="32"/>
          <w:shd w:val="clear" w:color="auto" w:fill="FFFFFF"/>
        </w:rPr>
        <w:t>万元，较上年决算数增加8.74万元，增</w:t>
      </w:r>
      <w:r>
        <w:rPr>
          <w:rFonts w:hint="default" w:ascii="Times New Roman" w:hAnsi="Times New Roman" w:eastAsia="方正仿宋_GBK"/>
          <w:b w:val="0"/>
          <w:bCs w:val="0"/>
          <w:color w:val="auto"/>
          <w:sz w:val="32"/>
          <w:szCs w:val="32"/>
          <w:shd w:val="clear" w:color="auto" w:fill="FFFFFF"/>
        </w:rPr>
        <w:t>长0.33%。主要原因是本年度开展宣传工作增加</w:t>
      </w:r>
      <w:r>
        <w:rPr>
          <w:rFonts w:ascii="Times New Roman" w:hAnsi="Times New Roman" w:eastAsia="方正仿宋_GBK"/>
          <w:b w:val="0"/>
          <w:bCs w:val="0"/>
          <w:color w:val="auto"/>
          <w:sz w:val="32"/>
          <w:szCs w:val="32"/>
          <w:shd w:val="clear" w:color="auto" w:fill="FFFFFF"/>
        </w:rPr>
        <w:t>，商品服务费用</w:t>
      </w:r>
      <w:r>
        <w:rPr>
          <w:rFonts w:hint="default" w:ascii="Times New Roman" w:hAnsi="Times New Roman" w:eastAsia="方正仿宋_GBK"/>
          <w:b w:val="0"/>
          <w:bCs w:val="0"/>
          <w:color w:val="auto"/>
          <w:sz w:val="32"/>
          <w:szCs w:val="32"/>
          <w:shd w:val="clear" w:color="auto" w:fill="FFFFFF"/>
        </w:rPr>
        <w:t>增加。较</w:t>
      </w:r>
      <w:r>
        <w:rPr>
          <w:rFonts w:hint="default" w:ascii="Times New Roman" w:hAnsi="Times New Roman" w:eastAsia="方正仿宋_GBK"/>
          <w:b w:val="0"/>
          <w:bCs w:val="0"/>
          <w:sz w:val="32"/>
          <w:szCs w:val="32"/>
          <w:shd w:val="clear" w:color="auto" w:fill="FFFFFF"/>
        </w:rPr>
        <w:t>年初预算数增加938.92万元，增长54.16%。主要原因是</w:t>
      </w:r>
      <w:r>
        <w:rPr>
          <w:rFonts w:ascii="Times New Roman" w:hAnsi="Times New Roman" w:eastAsia="方正仿宋_GBK"/>
          <w:b w:val="0"/>
          <w:bCs w:val="0"/>
          <w:color w:val="auto"/>
          <w:sz w:val="32"/>
          <w:szCs w:val="32"/>
        </w:rPr>
        <w:t>项目支出增加，主要用于松材线虫防治、退耕还林、工程项目建设等</w:t>
      </w:r>
      <w:r>
        <w:rPr>
          <w:rFonts w:hint="default" w:ascii="Times New Roman" w:hAnsi="Times New Roman" w:eastAsia="方正仿宋_GBK"/>
          <w:b w:val="0"/>
          <w:bCs w:val="0"/>
          <w:color w:val="auto"/>
          <w:sz w:val="32"/>
          <w:szCs w:val="32"/>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Times New Roman" w:hAnsi="Times New Roman" w:eastAsia="方正仿宋_GBK"/>
          <w:b w:val="0"/>
          <w:bCs w:val="0"/>
          <w:sz w:val="32"/>
          <w:szCs w:val="32"/>
          <w:shd w:val="clear" w:color="auto" w:fill="FFFFFF"/>
        </w:rPr>
        <w:t>3.结转结余情况。</w:t>
      </w:r>
      <w:r>
        <w:rPr>
          <w:rFonts w:hint="default" w:ascii="Times New Roman" w:hAnsi="Times New Roman" w:eastAsia="方正仿宋_GBK"/>
          <w:b w:val="0"/>
          <w:bCs w:val="0"/>
          <w:sz w:val="32"/>
          <w:szCs w:val="32"/>
          <w:shd w:val="clear" w:color="auto" w:fill="FFFFFF"/>
        </w:rPr>
        <w:t>2023年度年末一般公共预算财政拨款结转和结余</w:t>
      </w:r>
      <w:r>
        <w:rPr>
          <w:rFonts w:hint="default" w:ascii="Times New Roman" w:hAnsi="Times New Roman" w:eastAsia="方正仿宋_GBK"/>
          <w:b w:val="0"/>
          <w:bCs w:val="0"/>
          <w:sz w:val="32"/>
          <w:szCs w:val="32"/>
        </w:rPr>
        <w:t>13.38</w:t>
      </w:r>
      <w:r>
        <w:rPr>
          <w:rFonts w:hint="default" w:ascii="Times New Roman" w:hAnsi="Times New Roman" w:eastAsia="方正仿宋_GBK"/>
          <w:b w:val="0"/>
          <w:bCs w:val="0"/>
          <w:sz w:val="32"/>
          <w:szCs w:val="32"/>
          <w:shd w:val="clear" w:color="auto" w:fill="FFFFFF"/>
        </w:rPr>
        <w:t>万元，较上年决算数增加3.00万元，增长28.90%，</w:t>
      </w:r>
      <w:r>
        <w:rPr>
          <w:rFonts w:ascii="Times New Roman" w:hAnsi="Times New Roman" w:eastAsia="方正仿宋_GBK"/>
          <w:b w:val="0"/>
          <w:bCs w:val="0"/>
          <w:sz w:val="32"/>
          <w:szCs w:val="32"/>
          <w:shd w:val="clear" w:color="auto" w:fill="FFFFFF"/>
        </w:rPr>
        <w:t>主要原因是</w:t>
      </w:r>
      <w:r>
        <w:rPr>
          <w:rFonts w:hint="eastAsia" w:ascii="Times New Roman" w:hAnsi="Times New Roman" w:eastAsia="方正仿宋_GBK"/>
          <w:b w:val="0"/>
          <w:bCs w:val="0"/>
          <w:sz w:val="32"/>
          <w:szCs w:val="32"/>
          <w:shd w:val="clear" w:color="auto" w:fill="FFFFFF"/>
          <w:lang w:val="en-US" w:eastAsia="zh-CN"/>
        </w:rPr>
        <w:t>资金重复支付，退款到代管资金，造成年末结转结余资金增加。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color w:val="FF0000"/>
          <w:sz w:val="32"/>
          <w:szCs w:val="32"/>
          <w:highlight w:val="cyan"/>
          <w:shd w:val="clear" w:color="auto" w:fill="FFFFFF"/>
        </w:rPr>
      </w:pPr>
      <w:r>
        <w:rPr>
          <w:rStyle w:val="10"/>
          <w:rFonts w:hint="default" w:ascii="Times New Roman" w:hAnsi="Times New Roman" w:eastAsia="方正仿宋_GBK"/>
          <w:b w:val="0"/>
          <w:bCs w:val="0"/>
          <w:sz w:val="32"/>
          <w:szCs w:val="32"/>
          <w:shd w:val="clear" w:color="auto" w:fill="FFFFFF"/>
        </w:rPr>
        <w:t>4.比较情况。</w:t>
      </w:r>
      <w:r>
        <w:rPr>
          <w:rFonts w:hint="default" w:ascii="Times New Roman" w:hAnsi="Times New Roman" w:eastAsia="方正仿宋_GBK"/>
          <w:b w:val="0"/>
          <w:bCs w:val="0"/>
          <w:sz w:val="32"/>
          <w:szCs w:val="32"/>
          <w:shd w:val="clear" w:color="auto" w:fill="FFFFFF"/>
        </w:rPr>
        <w:t>本部门2023年度一般公共预算财政拨款支出主要用于以下几个方面：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（1）一般公共服务支出</w:t>
      </w:r>
      <w:r>
        <w:rPr>
          <w:rFonts w:hint="default" w:ascii="Times New Roman" w:hAnsi="Times New Roman" w:eastAsia="方正仿宋_GBK"/>
          <w:b w:val="0"/>
          <w:bCs w:val="0"/>
          <w:sz w:val="32"/>
          <w:szCs w:val="32"/>
        </w:rPr>
        <w:t>769.77</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28.80</w:t>
      </w:r>
      <w:r>
        <w:rPr>
          <w:rFonts w:hint="default" w:ascii="Times New Roman" w:hAnsi="Times New Roman" w:eastAsia="方正仿宋_GBK"/>
          <w:b w:val="0"/>
          <w:bCs w:val="0"/>
          <w:sz w:val="32"/>
          <w:szCs w:val="32"/>
          <w:shd w:val="clear" w:color="auto" w:fill="FFFFFF"/>
        </w:rPr>
        <w:t>%，较年初预算数减少231.19万元，下降23.10%，主要原因是年中人员变动预算调整及公用经费减少等。</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（2）国防支出</w:t>
      </w:r>
      <w:r>
        <w:rPr>
          <w:rFonts w:hint="default" w:ascii="Times New Roman" w:hAnsi="Times New Roman" w:eastAsia="方正仿宋_GBK"/>
          <w:b w:val="0"/>
          <w:bCs w:val="0"/>
          <w:sz w:val="32"/>
          <w:szCs w:val="32"/>
        </w:rPr>
        <w:t>5.20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0.19</w:t>
      </w:r>
      <w:r>
        <w:rPr>
          <w:rFonts w:hint="default" w:ascii="Times New Roman" w:hAnsi="Times New Roman" w:eastAsia="方正仿宋_GBK"/>
          <w:b w:val="0"/>
          <w:bCs w:val="0"/>
          <w:sz w:val="32"/>
          <w:szCs w:val="32"/>
          <w:shd w:val="clear" w:color="auto" w:fill="FFFFFF"/>
        </w:rPr>
        <w:t>%，较年初预算数增加5.20万元，增长100.00%，主要原因是动用年初结转结余及年中新增基层征兵工作一次性奖励等专项资金。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（3）文化旅游体育与传媒支出</w:t>
      </w:r>
      <w:r>
        <w:rPr>
          <w:rFonts w:hint="default" w:ascii="Times New Roman" w:hAnsi="Times New Roman" w:eastAsia="方正仿宋_GBK"/>
          <w:b w:val="0"/>
          <w:bCs w:val="0"/>
          <w:sz w:val="32"/>
          <w:szCs w:val="32"/>
        </w:rPr>
        <w:t>47.34</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1.77</w:t>
      </w:r>
      <w:r>
        <w:rPr>
          <w:rFonts w:hint="default" w:ascii="Times New Roman" w:hAnsi="Times New Roman" w:eastAsia="方正仿宋_GBK"/>
          <w:b w:val="0"/>
          <w:bCs w:val="0"/>
          <w:sz w:val="32"/>
          <w:szCs w:val="32"/>
          <w:shd w:val="clear" w:color="auto" w:fill="FFFFFF"/>
        </w:rPr>
        <w:t>%，较年初预算数增加42.34万元，增长846.80%，主要原因是</w:t>
      </w:r>
      <w:r>
        <w:rPr>
          <w:rFonts w:hint="default" w:ascii="Times New Roman" w:hAnsi="Times New Roman" w:eastAsia="方正仿宋_GBK"/>
          <w:b w:val="0"/>
          <w:bCs w:val="0"/>
          <w:sz w:val="32"/>
          <w:szCs w:val="32"/>
        </w:rPr>
        <w:t>动用年初结转结余及新增宣传文化等专项经费</w:t>
      </w:r>
      <w:r>
        <w:rPr>
          <w:rFonts w:hint="default" w:ascii="Times New Roman" w:hAnsi="Times New Roman" w:eastAsia="方正仿宋_GBK"/>
          <w:b w:val="0"/>
          <w:bCs w:val="0"/>
          <w:sz w:val="32"/>
          <w:szCs w:val="32"/>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（4）社会保障与就业支出</w:t>
      </w:r>
      <w:r>
        <w:rPr>
          <w:rFonts w:hint="default" w:ascii="Times New Roman" w:hAnsi="Times New Roman" w:eastAsia="方正仿宋_GBK"/>
          <w:b w:val="0"/>
          <w:bCs w:val="0"/>
          <w:sz w:val="32"/>
          <w:szCs w:val="32"/>
        </w:rPr>
        <w:t>438.44</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16.41</w:t>
      </w:r>
      <w:r>
        <w:rPr>
          <w:rFonts w:hint="default" w:ascii="Times New Roman" w:hAnsi="Times New Roman" w:eastAsia="方正仿宋_GBK"/>
          <w:b w:val="0"/>
          <w:bCs w:val="0"/>
          <w:sz w:val="32"/>
          <w:szCs w:val="32"/>
          <w:shd w:val="clear" w:color="auto" w:fill="FFFFFF"/>
        </w:rPr>
        <w:t>%，较年初预算数增加205.62万元，增长88.32%，主要原因是</w:t>
      </w:r>
      <w:r>
        <w:rPr>
          <w:rFonts w:hint="default" w:ascii="Times New Roman" w:hAnsi="Times New Roman" w:eastAsia="方正仿宋_GBK"/>
          <w:b w:val="0"/>
          <w:bCs w:val="0"/>
          <w:sz w:val="32"/>
          <w:szCs w:val="32"/>
        </w:rPr>
        <w:t>年中新增专项及预算调整年中人员变动预算调整及新增2023年助残员及阳光家园居家托养资金、2023年涉农公益性岗位资金等专项资金</w:t>
      </w:r>
      <w:r>
        <w:rPr>
          <w:rFonts w:hint="default" w:ascii="Times New Roman" w:hAnsi="Times New Roman" w:eastAsia="方正仿宋_GBK"/>
          <w:b w:val="0"/>
          <w:bCs w:val="0"/>
          <w:sz w:val="32"/>
          <w:szCs w:val="32"/>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（5）卫生健康支出</w:t>
      </w:r>
      <w:r>
        <w:rPr>
          <w:rFonts w:hint="default" w:ascii="Times New Roman" w:hAnsi="Times New Roman" w:eastAsia="方正仿宋_GBK"/>
          <w:b w:val="0"/>
          <w:bCs w:val="0"/>
          <w:sz w:val="32"/>
          <w:szCs w:val="32"/>
        </w:rPr>
        <w:t>62.35</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2.33</w:t>
      </w:r>
      <w:r>
        <w:rPr>
          <w:rFonts w:hint="default" w:ascii="Times New Roman" w:hAnsi="Times New Roman" w:eastAsia="方正仿宋_GBK"/>
          <w:b w:val="0"/>
          <w:bCs w:val="0"/>
          <w:sz w:val="32"/>
          <w:szCs w:val="32"/>
          <w:shd w:val="clear" w:color="auto" w:fill="FFFFFF"/>
        </w:rPr>
        <w:t>%，较年初预算数增加4.00万元，增长6.86%，主要原因是</w:t>
      </w:r>
      <w:r>
        <w:rPr>
          <w:rFonts w:hint="default" w:ascii="Times New Roman" w:hAnsi="Times New Roman" w:eastAsia="方正仿宋_GBK"/>
          <w:b w:val="0"/>
          <w:bCs w:val="0"/>
          <w:sz w:val="32"/>
          <w:szCs w:val="32"/>
        </w:rPr>
        <w:t>年中新增医疗保障服务能力提升等经费</w:t>
      </w:r>
      <w:r>
        <w:rPr>
          <w:rFonts w:hint="default" w:ascii="Times New Roman" w:hAnsi="Times New Roman" w:eastAsia="方正仿宋_GBK"/>
          <w:b w:val="0"/>
          <w:bCs w:val="0"/>
          <w:sz w:val="32"/>
          <w:szCs w:val="32"/>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（6）城乡社区支出</w:t>
      </w:r>
      <w:r>
        <w:rPr>
          <w:rFonts w:hint="default" w:ascii="Times New Roman" w:hAnsi="Times New Roman" w:eastAsia="方正仿宋_GBK"/>
          <w:b w:val="0"/>
          <w:bCs w:val="0"/>
          <w:sz w:val="32"/>
          <w:szCs w:val="32"/>
        </w:rPr>
        <w:t>98.20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3.67</w:t>
      </w:r>
      <w:r>
        <w:rPr>
          <w:rFonts w:hint="default" w:ascii="Times New Roman" w:hAnsi="Times New Roman" w:eastAsia="方正仿宋_GBK"/>
          <w:b w:val="0"/>
          <w:bCs w:val="0"/>
          <w:sz w:val="32"/>
          <w:szCs w:val="32"/>
          <w:shd w:val="clear" w:color="auto" w:fill="FFFFFF"/>
        </w:rPr>
        <w:t>%，较年初预算数增加58.70万元，增长148.61%，主要原因是</w:t>
      </w:r>
      <w:r>
        <w:rPr>
          <w:rFonts w:hint="default" w:ascii="Times New Roman" w:hAnsi="Times New Roman" w:eastAsia="方正仿宋_GBK"/>
          <w:b w:val="0"/>
          <w:bCs w:val="0"/>
          <w:sz w:val="32"/>
          <w:szCs w:val="32"/>
        </w:rPr>
        <w:t>年中新增2022年公路养护费等专项资金</w:t>
      </w:r>
      <w:r>
        <w:rPr>
          <w:rFonts w:hint="default" w:ascii="Times New Roman" w:hAnsi="Times New Roman" w:eastAsia="方正仿宋_GBK"/>
          <w:b w:val="0"/>
          <w:bCs w:val="0"/>
          <w:sz w:val="32"/>
          <w:szCs w:val="32"/>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（7）农林水支出</w:t>
      </w:r>
      <w:r>
        <w:rPr>
          <w:rFonts w:hint="default" w:ascii="Times New Roman" w:hAnsi="Times New Roman" w:eastAsia="方正仿宋_GBK"/>
          <w:b w:val="0"/>
          <w:bCs w:val="0"/>
          <w:sz w:val="32"/>
          <w:szCs w:val="32"/>
        </w:rPr>
        <w:t>733.54</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27.45</w:t>
      </w:r>
      <w:r>
        <w:rPr>
          <w:rFonts w:hint="default" w:ascii="Times New Roman" w:hAnsi="Times New Roman" w:eastAsia="方正仿宋_GBK"/>
          <w:b w:val="0"/>
          <w:bCs w:val="0"/>
          <w:sz w:val="32"/>
          <w:szCs w:val="32"/>
          <w:shd w:val="clear" w:color="auto" w:fill="FFFFFF"/>
        </w:rPr>
        <w:t>%，较年初预算数增加421.90万元，增长135.38%，主要原因是</w:t>
      </w:r>
      <w:r>
        <w:rPr>
          <w:rFonts w:hint="default" w:ascii="Times New Roman" w:hAnsi="Times New Roman" w:eastAsia="方正仿宋_GBK"/>
          <w:b w:val="0"/>
          <w:bCs w:val="0"/>
          <w:sz w:val="32"/>
          <w:szCs w:val="32"/>
        </w:rPr>
        <w:t>年中新增兴龙镇松材线虫防治、新农人提升项目等专项资金</w:t>
      </w:r>
      <w:r>
        <w:rPr>
          <w:rFonts w:hint="default" w:ascii="Times New Roman" w:hAnsi="Times New Roman" w:eastAsia="方正仿宋_GBK"/>
          <w:b w:val="0"/>
          <w:bCs w:val="0"/>
          <w:sz w:val="32"/>
          <w:szCs w:val="32"/>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（8）交通运输支出</w:t>
      </w:r>
      <w:r>
        <w:rPr>
          <w:rFonts w:hint="default" w:ascii="Times New Roman" w:hAnsi="Times New Roman" w:eastAsia="方正仿宋_GBK"/>
          <w:b w:val="0"/>
          <w:bCs w:val="0"/>
          <w:sz w:val="32"/>
          <w:szCs w:val="32"/>
        </w:rPr>
        <w:t>431.73</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16.15</w:t>
      </w:r>
      <w:r>
        <w:rPr>
          <w:rFonts w:hint="default" w:ascii="Times New Roman" w:hAnsi="Times New Roman" w:eastAsia="方正仿宋_GBK"/>
          <w:b w:val="0"/>
          <w:bCs w:val="0"/>
          <w:sz w:val="32"/>
          <w:szCs w:val="32"/>
          <w:shd w:val="clear" w:color="auto" w:fill="FFFFFF"/>
        </w:rPr>
        <w:t>%，较年初预算数增加431.73万元，增长100.00%，主要原因</w:t>
      </w:r>
      <w:r>
        <w:rPr>
          <w:rFonts w:hint="default" w:ascii="Times New Roman" w:hAnsi="Times New Roman" w:eastAsia="方正仿宋_GBK"/>
          <w:b w:val="0"/>
          <w:bCs w:val="0"/>
          <w:sz w:val="32"/>
          <w:szCs w:val="32"/>
        </w:rPr>
        <w:t>是年初无相关预算，年中新增兴龙镇农村公路建设工程等专项资金</w:t>
      </w:r>
      <w:r>
        <w:rPr>
          <w:rFonts w:hint="default" w:ascii="Times New Roman" w:hAnsi="Times New Roman" w:eastAsia="方正仿宋_GBK"/>
          <w:b w:val="0"/>
          <w:bCs w:val="0"/>
          <w:sz w:val="32"/>
          <w:szCs w:val="32"/>
          <w:shd w:val="clear" w:color="auto" w:fill="FFFFFF"/>
        </w:rPr>
        <w:t>。</w:t>
      </w:r>
    </w:p>
    <w:p>
      <w:pPr>
        <w:pStyle w:val="6"/>
        <w:spacing w:beforeAutospacing="0" w:afterAutospacing="0" w:line="560" w:lineRule="exact"/>
        <w:ind w:firstLine="640" w:firstLineChars="200"/>
        <w:rPr>
          <w:rFonts w:hint="default" w:ascii="Times New Roman" w:hAnsi="Times New Roman" w:eastAsia="方正仿宋_GBK"/>
          <w:b w:val="0"/>
          <w:bCs w:val="0"/>
          <w:color w:val="FF0000"/>
          <w:sz w:val="32"/>
          <w:szCs w:val="32"/>
          <w:highlight w:val="yellow"/>
          <w:shd w:val="clear" w:color="auto" w:fill="FFFFFF"/>
        </w:rPr>
      </w:pPr>
      <w:r>
        <w:rPr>
          <w:rFonts w:hint="default" w:ascii="Times New Roman" w:hAnsi="Times New Roman" w:eastAsia="方正仿宋_GBK"/>
          <w:b w:val="0"/>
          <w:bCs w:val="0"/>
          <w:sz w:val="32"/>
          <w:szCs w:val="32"/>
          <w:shd w:val="clear" w:color="auto" w:fill="FFFFFF"/>
        </w:rPr>
        <w:t>（9）</w:t>
      </w:r>
      <w:r>
        <w:rPr>
          <w:rFonts w:hint="default" w:ascii="Times New Roman" w:hAnsi="Times New Roman" w:eastAsia="方正仿宋_GBK"/>
          <w:b w:val="0"/>
          <w:bCs w:val="0"/>
          <w:sz w:val="32"/>
          <w:szCs w:val="32"/>
        </w:rPr>
        <w:t>自然资源海洋气象等支出28.00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1.05</w:t>
      </w:r>
      <w:r>
        <w:rPr>
          <w:rFonts w:hint="default" w:ascii="Times New Roman" w:hAnsi="Times New Roman" w:eastAsia="方正仿宋_GBK"/>
          <w:b w:val="0"/>
          <w:bCs w:val="0"/>
          <w:sz w:val="32"/>
          <w:szCs w:val="32"/>
          <w:shd w:val="clear" w:color="auto" w:fill="FFFFFF"/>
        </w:rPr>
        <w:t>%，较年初预算数增</w:t>
      </w:r>
      <w:r>
        <w:rPr>
          <w:rFonts w:hint="default" w:ascii="Times New Roman" w:hAnsi="Times New Roman" w:eastAsia="方正仿宋_GBK"/>
          <w:b w:val="0"/>
          <w:bCs w:val="0"/>
          <w:sz w:val="32"/>
          <w:szCs w:val="32"/>
        </w:rPr>
        <w:t>加28.00万元，增长100.00%，主要原因是用于兴龙镇三峡工程试验性蓄退水有收益土地受影响补偿补助费。</w:t>
      </w:r>
    </w:p>
    <w:p>
      <w:pPr>
        <w:spacing w:line="560" w:lineRule="exact"/>
        <w:ind w:firstLine="640" w:firstLineChars="200"/>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（10）</w:t>
      </w:r>
      <w:r>
        <w:rPr>
          <w:rFonts w:hint="default" w:ascii="Times New Roman" w:hAnsi="Times New Roman" w:eastAsia="方正仿宋_GBK"/>
          <w:b w:val="0"/>
          <w:bCs w:val="0"/>
          <w:sz w:val="32"/>
          <w:szCs w:val="32"/>
        </w:rPr>
        <w:t>住房保障支出53.87</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2.02</w:t>
      </w:r>
      <w:r>
        <w:rPr>
          <w:rFonts w:hint="default" w:ascii="Times New Roman" w:hAnsi="Times New Roman" w:eastAsia="方正仿宋_GBK"/>
          <w:b w:val="0"/>
          <w:bCs w:val="0"/>
          <w:sz w:val="32"/>
          <w:szCs w:val="32"/>
          <w:shd w:val="clear" w:color="auto" w:fill="FFFFFF"/>
        </w:rPr>
        <w:t>%，较年初预算数减少13.38万元，下降19.90%，主要原因是人员变动</w:t>
      </w:r>
      <w:r>
        <w:rPr>
          <w:rFonts w:ascii="Times New Roman" w:hAnsi="Times New Roman" w:eastAsia="方正仿宋_GBK"/>
          <w:b w:val="0"/>
          <w:bCs w:val="0"/>
          <w:sz w:val="32"/>
          <w:szCs w:val="32"/>
          <w:shd w:val="clear" w:color="auto" w:fill="FFFFFF"/>
        </w:rPr>
        <w:t>，住房公积金缴纳减少</w:t>
      </w:r>
      <w:r>
        <w:rPr>
          <w:rFonts w:hint="default" w:ascii="Times New Roman" w:hAnsi="Times New Roman" w:eastAsia="方正仿宋_GBK"/>
          <w:b w:val="0"/>
          <w:bCs w:val="0"/>
          <w:sz w:val="32"/>
          <w:szCs w:val="32"/>
          <w:shd w:val="clear" w:color="auto" w:fill="FFFFFF"/>
        </w:rPr>
        <w:t>。</w:t>
      </w:r>
    </w:p>
    <w:p>
      <w:pPr>
        <w:spacing w:line="560" w:lineRule="exact"/>
        <w:ind w:firstLine="640" w:firstLineChars="200"/>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（11）</w:t>
      </w:r>
      <w:r>
        <w:rPr>
          <w:rFonts w:hint="default" w:ascii="Times New Roman" w:hAnsi="Times New Roman" w:eastAsia="方正仿宋_GBK"/>
          <w:b w:val="0"/>
          <w:bCs w:val="0"/>
          <w:sz w:val="32"/>
          <w:szCs w:val="32"/>
        </w:rPr>
        <w:t>灾害防治及应急管理支出4.00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0.15</w:t>
      </w:r>
      <w:r>
        <w:rPr>
          <w:rFonts w:hint="default" w:ascii="Times New Roman" w:hAnsi="Times New Roman" w:eastAsia="方正仿宋_GBK"/>
          <w:b w:val="0"/>
          <w:bCs w:val="0"/>
          <w:sz w:val="32"/>
          <w:szCs w:val="32"/>
          <w:shd w:val="clear" w:color="auto" w:fill="FFFFFF"/>
        </w:rPr>
        <w:t>%，较年初预算数增加2.00万元，增长100.00%，主要原因是</w:t>
      </w:r>
      <w:r>
        <w:rPr>
          <w:rFonts w:hint="default" w:ascii="Times New Roman" w:hAnsi="Times New Roman" w:eastAsia="方正仿宋_GBK"/>
          <w:b w:val="0"/>
          <w:bCs w:val="0"/>
          <w:sz w:val="32"/>
          <w:szCs w:val="32"/>
        </w:rPr>
        <w:t>年中新增市级自然灾害救助补助等专项资金</w:t>
      </w:r>
      <w:r>
        <w:rPr>
          <w:rFonts w:hint="default" w:ascii="Times New Roman" w:hAnsi="Times New Roman" w:eastAsia="方正仿宋_GBK"/>
          <w:b w:val="0"/>
          <w:bCs w:val="0"/>
          <w:sz w:val="32"/>
          <w:szCs w:val="32"/>
          <w:shd w:val="clear" w:color="auto" w:fill="FFFFFF"/>
        </w:rPr>
        <w:t>。</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 2023年度一般公共财政拨款基本支出</w:t>
      </w:r>
      <w:r>
        <w:rPr>
          <w:rFonts w:hint="default" w:ascii="Times New Roman" w:hAnsi="Times New Roman" w:eastAsia="方正仿宋_GBK"/>
          <w:b w:val="0"/>
          <w:bCs w:val="0"/>
          <w:sz w:val="32"/>
          <w:szCs w:val="32"/>
        </w:rPr>
        <w:t>1706.10</w:t>
      </w:r>
      <w:r>
        <w:rPr>
          <w:rFonts w:hint="default" w:ascii="Times New Roman" w:hAnsi="Times New Roman" w:eastAsia="方正仿宋_GBK"/>
          <w:b w:val="0"/>
          <w:bCs w:val="0"/>
          <w:sz w:val="32"/>
          <w:szCs w:val="32"/>
          <w:shd w:val="clear" w:color="auto" w:fill="FFFFFF"/>
        </w:rPr>
        <w:t>万元。其中：人员经费</w:t>
      </w:r>
      <w:r>
        <w:rPr>
          <w:rFonts w:hint="default" w:ascii="Times New Roman" w:hAnsi="Times New Roman" w:eastAsia="方正仿宋_GBK"/>
          <w:b w:val="0"/>
          <w:bCs w:val="0"/>
          <w:sz w:val="32"/>
          <w:szCs w:val="32"/>
        </w:rPr>
        <w:t>1430.92</w:t>
      </w:r>
      <w:r>
        <w:rPr>
          <w:rFonts w:hint="default" w:ascii="Times New Roman" w:hAnsi="Times New Roman" w:eastAsia="方正仿宋_GBK"/>
          <w:b w:val="0"/>
          <w:bCs w:val="0"/>
          <w:sz w:val="32"/>
          <w:szCs w:val="32"/>
          <w:shd w:val="clear" w:color="auto" w:fill="FFFFFF"/>
        </w:rPr>
        <w:t>万元，较上年决算数增加118.57万元，增长9.03%，主要原因是人员增加，人员经费相对增加。人员经费用途主要包括基本工资、津贴补贴等支出。公用经费</w:t>
      </w:r>
      <w:r>
        <w:rPr>
          <w:rFonts w:hint="default" w:ascii="Times New Roman" w:hAnsi="Times New Roman" w:eastAsia="方正仿宋_GBK"/>
          <w:b w:val="0"/>
          <w:bCs w:val="0"/>
          <w:sz w:val="32"/>
          <w:szCs w:val="32"/>
        </w:rPr>
        <w:t>275.17</w:t>
      </w:r>
      <w:r>
        <w:rPr>
          <w:rFonts w:hint="default" w:ascii="Times New Roman" w:hAnsi="Times New Roman" w:eastAsia="方正仿宋_GBK"/>
          <w:b w:val="0"/>
          <w:bCs w:val="0"/>
          <w:sz w:val="32"/>
          <w:szCs w:val="32"/>
          <w:shd w:val="clear" w:color="auto" w:fill="FFFFFF"/>
        </w:rPr>
        <w:t>万元，较上年决算数增加47.63万元，增长20.93%，主要原因是本年度开展宣传工作增加，广告制作费用增加。公用经费用途主要包括办公费、邮电费、手续费等支出。</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2023年度政府性基金预算财政拨款年初结转结余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万元，年末结转结余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万元。本年收入</w:t>
      </w:r>
      <w:r>
        <w:rPr>
          <w:rFonts w:hint="default" w:ascii="Times New Roman" w:hAnsi="Times New Roman" w:eastAsia="方正仿宋_GBK"/>
          <w:b w:val="0"/>
          <w:bCs w:val="0"/>
          <w:sz w:val="32"/>
          <w:szCs w:val="32"/>
        </w:rPr>
        <w:t>131.62</w:t>
      </w:r>
      <w:r>
        <w:rPr>
          <w:rFonts w:hint="default" w:ascii="Times New Roman" w:hAnsi="Times New Roman" w:eastAsia="方正仿宋_GBK"/>
          <w:b w:val="0"/>
          <w:bCs w:val="0"/>
          <w:sz w:val="32"/>
          <w:szCs w:val="32"/>
          <w:shd w:val="clear" w:color="auto" w:fill="FFFFFF"/>
        </w:rPr>
        <w:t>万元，较上年决算数减少1072.49万元，下降89.07%，主要原因是本年基金类工程建设项目减少。本年支出</w:t>
      </w:r>
      <w:r>
        <w:rPr>
          <w:rFonts w:hint="default" w:ascii="Times New Roman" w:hAnsi="Times New Roman" w:eastAsia="方正仿宋_GBK"/>
          <w:b w:val="0"/>
          <w:bCs w:val="0"/>
          <w:sz w:val="32"/>
          <w:szCs w:val="32"/>
        </w:rPr>
        <w:t>131.62</w:t>
      </w:r>
      <w:r>
        <w:rPr>
          <w:rFonts w:hint="default" w:ascii="Times New Roman" w:hAnsi="Times New Roman" w:eastAsia="方正仿宋_GBK"/>
          <w:b w:val="0"/>
          <w:bCs w:val="0"/>
          <w:sz w:val="32"/>
          <w:szCs w:val="32"/>
          <w:shd w:val="clear" w:color="auto" w:fill="FFFFFF"/>
        </w:rPr>
        <w:t>万元，较上年决算数减少1072.49万元，下降89.07%，主要原因是本年基金类工程建设项目减少。</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本部门2023年度无国有资本经营预算财政拨款支出。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三、“三公”经费情况说明</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11"/>
        <w:autoSpaceDE w:val="0"/>
        <w:spacing w:line="560" w:lineRule="exact"/>
        <w:ind w:firstLine="640"/>
        <w:rPr>
          <w:rFonts w:ascii="Times New Roman" w:hAnsi="Times New Roman" w:eastAsia="方正仿宋_GBK"/>
          <w:b w:val="0"/>
          <w:bCs w:val="0"/>
          <w:sz w:val="32"/>
          <w:szCs w:val="32"/>
          <w:shd w:val="clear" w:color="auto" w:fill="FFFFFF"/>
        </w:rPr>
      </w:pPr>
      <w:r>
        <w:rPr>
          <w:rFonts w:ascii="Times New Roman" w:hAnsi="Times New Roman" w:eastAsia="方正仿宋_GBK"/>
          <w:b w:val="0"/>
          <w:bCs w:val="0"/>
          <w:sz w:val="32"/>
          <w:szCs w:val="32"/>
          <w:shd w:val="clear" w:color="auto" w:fill="FFFFFF"/>
        </w:rPr>
        <w:t>2023年度“三公”经费支出共计</w:t>
      </w:r>
      <w:r>
        <w:rPr>
          <w:rFonts w:ascii="Times New Roman" w:hAnsi="Times New Roman" w:eastAsia="方正仿宋_GBK"/>
          <w:b w:val="0"/>
          <w:bCs w:val="0"/>
          <w:sz w:val="32"/>
          <w:szCs w:val="32"/>
        </w:rPr>
        <w:t>15.44</w:t>
      </w:r>
      <w:r>
        <w:rPr>
          <w:rFonts w:ascii="Times New Roman" w:hAnsi="Times New Roman" w:eastAsia="方正仿宋_GBK"/>
          <w:b w:val="0"/>
          <w:bCs w:val="0"/>
          <w:sz w:val="32"/>
          <w:szCs w:val="32"/>
          <w:shd w:val="clear" w:color="auto" w:fill="FFFFFF"/>
        </w:rPr>
        <w:t>万元，较年初预算数减少8.58万元，下降35.72%，主要原因是严格公务接待及公务用车审批，本年度无新购公务用车。较上年支出数增加4.45万元，增长40.49%，主要原因是本</w:t>
      </w:r>
      <w:r>
        <w:rPr>
          <w:rFonts w:ascii="Times New Roman" w:hAnsi="Times New Roman" w:eastAsia="方正仿宋_GBK"/>
          <w:b w:val="0"/>
          <w:bCs w:val="0"/>
          <w:sz w:val="32"/>
          <w:szCs w:val="32"/>
          <w:highlight w:val="none"/>
          <w:shd w:val="clear" w:color="auto" w:fill="FFFFFF"/>
        </w:rPr>
        <w:t>年度</w:t>
      </w:r>
      <w:r>
        <w:rPr>
          <w:rFonts w:hint="eastAsia" w:ascii="Times New Roman" w:hAnsi="Times New Roman" w:eastAsia="方正仿宋_GBK"/>
          <w:b w:val="0"/>
          <w:bCs w:val="0"/>
          <w:sz w:val="32"/>
          <w:szCs w:val="32"/>
          <w:highlight w:val="none"/>
          <w:shd w:val="clear" w:color="auto" w:fill="FFFFFF"/>
          <w:lang w:val="en-US" w:eastAsia="zh-CN"/>
        </w:rPr>
        <w:t>各项工作检查同比</w:t>
      </w:r>
      <w:r>
        <w:rPr>
          <w:rFonts w:ascii="Times New Roman" w:hAnsi="Times New Roman" w:eastAsia="方正仿宋_GBK"/>
          <w:b w:val="0"/>
          <w:bCs w:val="0"/>
          <w:sz w:val="32"/>
          <w:szCs w:val="32"/>
          <w:highlight w:val="none"/>
          <w:shd w:val="clear" w:color="auto" w:fill="FFFFFF"/>
        </w:rPr>
        <w:t>增加</w:t>
      </w:r>
      <w:r>
        <w:rPr>
          <w:rFonts w:hint="eastAsia" w:ascii="Times New Roman" w:hAnsi="Times New Roman" w:eastAsia="方正仿宋_GBK"/>
          <w:b w:val="0"/>
          <w:bCs w:val="0"/>
          <w:sz w:val="32"/>
          <w:szCs w:val="32"/>
          <w:highlight w:val="none"/>
          <w:shd w:val="clear" w:color="auto" w:fill="FFFFFF"/>
          <w:lang w:eastAsia="zh-CN"/>
        </w:rPr>
        <w:t>，</w:t>
      </w:r>
      <w:r>
        <w:rPr>
          <w:rFonts w:ascii="Times New Roman" w:hAnsi="Times New Roman" w:eastAsia="方正仿宋_GBK"/>
          <w:b w:val="0"/>
          <w:bCs w:val="0"/>
          <w:sz w:val="32"/>
          <w:szCs w:val="32"/>
          <w:highlight w:val="none"/>
          <w:shd w:val="clear" w:color="auto" w:fill="FFFFFF"/>
        </w:rPr>
        <w:t>对上级检查等活动的接待费、</w:t>
      </w:r>
      <w:r>
        <w:rPr>
          <w:rFonts w:ascii="Times New Roman" w:hAnsi="Times New Roman" w:eastAsia="方正仿宋_GBK"/>
          <w:b w:val="0"/>
          <w:bCs w:val="0"/>
          <w:sz w:val="32"/>
          <w:szCs w:val="32"/>
          <w:shd w:val="clear" w:color="auto" w:fill="FFFFFF"/>
        </w:rPr>
        <w:t>本年度车辆运行状况不佳，车辆维修费增加。</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shd w:val="clear" w:color="auto" w:fill="FFFFFF"/>
        </w:rPr>
        <w:t>本</w:t>
      </w:r>
      <w:r>
        <w:rPr>
          <w:rFonts w:ascii="Times New Roman" w:hAnsi="Times New Roman" w:eastAsia="方正仿宋_GBK"/>
          <w:b w:val="0"/>
          <w:bCs w:val="0"/>
          <w:sz w:val="32"/>
          <w:szCs w:val="32"/>
          <w:highlight w:val="none"/>
          <w:shd w:val="clear" w:color="auto" w:fill="FFFFFF"/>
        </w:rPr>
        <w:t>部门</w:t>
      </w:r>
      <w:r>
        <w:rPr>
          <w:rFonts w:hint="default" w:ascii="Times New Roman" w:hAnsi="Times New Roman" w:eastAsia="方正仿宋_GBK"/>
          <w:b w:val="0"/>
          <w:bCs w:val="0"/>
          <w:sz w:val="32"/>
          <w:szCs w:val="32"/>
          <w:highlight w:val="none"/>
          <w:shd w:val="clear" w:color="auto" w:fill="FFFFFF"/>
        </w:rPr>
        <w:t>2023年度未发生因公出国（境）费用，与上年持平。</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highlight w:val="none"/>
          <w:shd w:val="clear" w:color="auto" w:fill="FFFFFF"/>
        </w:rPr>
        <w:t>本</w:t>
      </w:r>
      <w:r>
        <w:rPr>
          <w:rFonts w:ascii="Times New Roman" w:hAnsi="Times New Roman" w:eastAsia="方正仿宋_GBK"/>
          <w:b w:val="0"/>
          <w:bCs w:val="0"/>
          <w:sz w:val="32"/>
          <w:szCs w:val="32"/>
          <w:highlight w:val="none"/>
          <w:shd w:val="clear" w:color="auto" w:fill="FFFFFF"/>
        </w:rPr>
        <w:t>部门</w:t>
      </w:r>
      <w:r>
        <w:rPr>
          <w:rFonts w:hint="default" w:ascii="Times New Roman" w:hAnsi="Times New Roman" w:eastAsia="方正仿宋_GBK"/>
          <w:b w:val="0"/>
          <w:bCs w:val="0"/>
          <w:sz w:val="32"/>
          <w:szCs w:val="32"/>
          <w:highlight w:val="none"/>
          <w:shd w:val="clear" w:color="auto" w:fill="FFFFFF"/>
        </w:rPr>
        <w:t>2023</w:t>
      </w:r>
      <w:r>
        <w:rPr>
          <w:rFonts w:hint="default" w:ascii="Times New Roman" w:hAnsi="Times New Roman" w:eastAsia="方正仿宋_GBK"/>
          <w:b w:val="0"/>
          <w:bCs w:val="0"/>
          <w:sz w:val="32"/>
          <w:szCs w:val="32"/>
          <w:shd w:val="clear" w:color="auto" w:fill="FFFFFF"/>
        </w:rPr>
        <w:t>年度未发生公务车购置费，与上年持平。</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公务车运行维护费</w:t>
      </w:r>
      <w:r>
        <w:rPr>
          <w:rFonts w:hint="default" w:ascii="Times New Roman" w:hAnsi="Times New Roman" w:eastAsia="方正仿宋_GBK"/>
          <w:b w:val="0"/>
          <w:bCs w:val="0"/>
          <w:sz w:val="32"/>
          <w:szCs w:val="32"/>
        </w:rPr>
        <w:t>11.93</w:t>
      </w:r>
      <w:r>
        <w:rPr>
          <w:rFonts w:hint="default" w:ascii="Times New Roman" w:hAnsi="Times New Roman" w:eastAsia="方正仿宋_GBK"/>
          <w:b w:val="0"/>
          <w:bCs w:val="0"/>
          <w:sz w:val="32"/>
          <w:szCs w:val="32"/>
          <w:shd w:val="clear" w:color="auto" w:fill="FFFFFF"/>
        </w:rPr>
        <w:t>万元，主要用于公务车加油、保险、日常维护、故障维修等费用。费用支出较年初预算数减少8.07万元，下降40.35%，主要原因是公务用车使用频率减少。较上年支出数增加1.88万元，增长18.71%，主要原因是本年度车辆运行状况不佳，维修费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shd w:val="clear" w:color="auto" w:fill="FFFFFF"/>
        </w:rPr>
        <w:t> 公务接待费</w:t>
      </w:r>
      <w:r>
        <w:rPr>
          <w:rFonts w:hint="default" w:ascii="Times New Roman" w:hAnsi="Times New Roman" w:eastAsia="方正仿宋_GBK"/>
          <w:b w:val="0"/>
          <w:bCs w:val="0"/>
          <w:sz w:val="32"/>
          <w:szCs w:val="32"/>
        </w:rPr>
        <w:t>3.51</w:t>
      </w:r>
      <w:r>
        <w:rPr>
          <w:rFonts w:hint="default" w:ascii="Times New Roman" w:hAnsi="Times New Roman" w:eastAsia="方正仿宋_GBK"/>
          <w:b w:val="0"/>
          <w:bCs w:val="0"/>
          <w:sz w:val="32"/>
          <w:szCs w:val="32"/>
          <w:shd w:val="clear" w:color="auto" w:fill="FFFFFF"/>
        </w:rPr>
        <w:t>万元，主要用于接待上级部门检查等。费用支出较年初预算数减少0.51万元，下降12.69%，主要原因是打造节约型机关，公务接待活动均在食堂进行。较上年支出数增加2.57万元，增长273.40%</w:t>
      </w:r>
      <w:r>
        <w:rPr>
          <w:rFonts w:hint="default" w:ascii="Times New Roman" w:hAnsi="Times New Roman" w:eastAsia="方正仿宋_GBK"/>
          <w:b w:val="0"/>
          <w:bCs w:val="0"/>
          <w:sz w:val="32"/>
          <w:szCs w:val="32"/>
          <w:highlight w:val="none"/>
          <w:shd w:val="clear" w:color="auto" w:fill="FFFFFF"/>
        </w:rPr>
        <w:t>，主要原因是本年度</w:t>
      </w:r>
      <w:r>
        <w:rPr>
          <w:rFonts w:hint="eastAsia" w:ascii="Times New Roman" w:hAnsi="Times New Roman" w:eastAsia="方正仿宋_GBK"/>
          <w:b w:val="0"/>
          <w:bCs w:val="0"/>
          <w:sz w:val="32"/>
          <w:szCs w:val="32"/>
          <w:highlight w:val="none"/>
          <w:shd w:val="clear" w:color="auto" w:fill="FFFFFF"/>
          <w:lang w:val="en-US" w:eastAsia="zh-CN"/>
        </w:rPr>
        <w:t>各项工作检查同比</w:t>
      </w:r>
      <w:r>
        <w:rPr>
          <w:rFonts w:hint="default" w:ascii="Times New Roman" w:hAnsi="Times New Roman" w:eastAsia="方正仿宋_GBK"/>
          <w:b w:val="0"/>
          <w:bCs w:val="0"/>
          <w:sz w:val="32"/>
          <w:szCs w:val="32"/>
          <w:highlight w:val="none"/>
          <w:shd w:val="clear" w:color="auto" w:fill="FFFFFF"/>
        </w:rPr>
        <w:t>增加</w:t>
      </w:r>
      <w:r>
        <w:rPr>
          <w:rFonts w:hint="eastAsia" w:ascii="Times New Roman" w:hAnsi="Times New Roman" w:eastAsia="方正仿宋_GBK"/>
          <w:b w:val="0"/>
          <w:bCs w:val="0"/>
          <w:sz w:val="32"/>
          <w:szCs w:val="32"/>
          <w:highlight w:val="none"/>
          <w:shd w:val="clear" w:color="auto" w:fill="FFFFFF"/>
          <w:lang w:eastAsia="zh-CN"/>
        </w:rPr>
        <w:t>，</w:t>
      </w:r>
      <w:r>
        <w:rPr>
          <w:rFonts w:hint="default" w:ascii="Times New Roman" w:hAnsi="Times New Roman" w:eastAsia="方正仿宋_GBK"/>
          <w:b w:val="0"/>
          <w:bCs w:val="0"/>
          <w:sz w:val="32"/>
          <w:szCs w:val="32"/>
          <w:highlight w:val="none"/>
          <w:shd w:val="clear" w:color="auto" w:fill="FFFFFF"/>
        </w:rPr>
        <w:t>对上级检查等活动的接待费。</w:t>
      </w:r>
    </w:p>
    <w:p>
      <w:pPr>
        <w:pStyle w:val="11"/>
        <w:autoSpaceDE w:val="0"/>
        <w:spacing w:line="560" w:lineRule="exact"/>
        <w:ind w:firstLine="643"/>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2023年度本部门因公出国（境）共计</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个团组，</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人；公务用车购置</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辆，公务车保有量为</w:t>
      </w:r>
      <w:r>
        <w:rPr>
          <w:rFonts w:hint="default" w:ascii="Times New Roman" w:hAnsi="Times New Roman" w:eastAsia="方正仿宋_GBK"/>
          <w:b w:val="0"/>
          <w:bCs w:val="0"/>
          <w:sz w:val="32"/>
          <w:szCs w:val="32"/>
        </w:rPr>
        <w:t>3</w:t>
      </w:r>
      <w:r>
        <w:rPr>
          <w:rFonts w:hint="default" w:ascii="Times New Roman" w:hAnsi="Times New Roman" w:eastAsia="方正仿宋_GBK"/>
          <w:b w:val="0"/>
          <w:bCs w:val="0"/>
          <w:sz w:val="32"/>
          <w:szCs w:val="32"/>
          <w:shd w:val="clear" w:color="auto" w:fill="FFFFFF"/>
        </w:rPr>
        <w:t>辆；国内公务接待</w:t>
      </w:r>
      <w:r>
        <w:rPr>
          <w:rFonts w:hint="default" w:ascii="Times New Roman" w:hAnsi="Times New Roman" w:eastAsia="方正仿宋_GBK"/>
          <w:b w:val="0"/>
          <w:bCs w:val="0"/>
          <w:sz w:val="32"/>
          <w:szCs w:val="32"/>
        </w:rPr>
        <w:t>59</w:t>
      </w:r>
      <w:r>
        <w:rPr>
          <w:rFonts w:hint="default" w:ascii="Times New Roman" w:hAnsi="Times New Roman" w:eastAsia="方正仿宋_GBK"/>
          <w:b w:val="0"/>
          <w:bCs w:val="0"/>
          <w:sz w:val="32"/>
          <w:szCs w:val="32"/>
          <w:shd w:val="clear" w:color="auto" w:fill="FFFFFF"/>
        </w:rPr>
        <w:t>批次</w:t>
      </w:r>
      <w:r>
        <w:rPr>
          <w:rFonts w:hint="default" w:ascii="Times New Roman" w:hAnsi="Times New Roman" w:eastAsia="方正仿宋_GBK"/>
          <w:b w:val="0"/>
          <w:bCs w:val="0"/>
          <w:sz w:val="32"/>
          <w:szCs w:val="32"/>
        </w:rPr>
        <w:t>586</w:t>
      </w:r>
      <w:r>
        <w:rPr>
          <w:rFonts w:hint="default" w:ascii="Times New Roman" w:hAnsi="Times New Roman" w:eastAsia="方正仿宋_GBK"/>
          <w:b w:val="0"/>
          <w:bCs w:val="0"/>
          <w:sz w:val="32"/>
          <w:szCs w:val="32"/>
          <w:shd w:val="clear" w:color="auto" w:fill="FFFFFF"/>
        </w:rPr>
        <w:t>人，其中：国内外事接待</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批次，</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人；国（境）外公务接待</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批次，</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人。2023年本部门人均接待费</w:t>
      </w:r>
      <w:r>
        <w:rPr>
          <w:rFonts w:hint="default" w:ascii="Times New Roman" w:hAnsi="Times New Roman" w:eastAsia="方正仿宋_GBK"/>
          <w:b w:val="0"/>
          <w:bCs w:val="0"/>
          <w:sz w:val="32"/>
          <w:szCs w:val="32"/>
        </w:rPr>
        <w:t>59.92</w:t>
      </w:r>
      <w:r>
        <w:rPr>
          <w:rFonts w:hint="default" w:ascii="Times New Roman" w:hAnsi="Times New Roman" w:eastAsia="方正仿宋_GBK"/>
          <w:b w:val="0"/>
          <w:bCs w:val="0"/>
          <w:sz w:val="32"/>
          <w:szCs w:val="32"/>
          <w:shd w:val="clear" w:color="auto" w:fill="FFFFFF"/>
        </w:rPr>
        <w:t>元，车均购置费</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万元，车均维护费</w:t>
      </w:r>
      <w:r>
        <w:rPr>
          <w:rFonts w:hint="default" w:ascii="Times New Roman" w:hAnsi="Times New Roman" w:eastAsia="方正仿宋_GBK"/>
          <w:b w:val="0"/>
          <w:bCs w:val="0"/>
          <w:sz w:val="32"/>
          <w:szCs w:val="32"/>
        </w:rPr>
        <w:t>3.98</w:t>
      </w:r>
      <w:r>
        <w:rPr>
          <w:rFonts w:hint="default" w:ascii="Times New Roman" w:hAnsi="Times New Roman" w:eastAsia="方正仿宋_GBK"/>
          <w:b w:val="0"/>
          <w:bCs w:val="0"/>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snapToGrid w:val="0"/>
        <w:spacing w:line="560" w:lineRule="exact"/>
        <w:ind w:firstLine="640" w:firstLineChars="200"/>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本年度会议费支出</w:t>
      </w:r>
      <w:r>
        <w:rPr>
          <w:rFonts w:hint="default" w:ascii="Times New Roman" w:hAnsi="Times New Roman" w:eastAsia="方正仿宋_GBK"/>
          <w:b w:val="0"/>
          <w:bCs w:val="0"/>
          <w:sz w:val="32"/>
          <w:szCs w:val="32"/>
        </w:rPr>
        <w:t>1.33</w:t>
      </w:r>
      <w:r>
        <w:rPr>
          <w:rFonts w:hint="default" w:ascii="Times New Roman" w:hAnsi="Times New Roman" w:eastAsia="方正仿宋_GBK"/>
          <w:b w:val="0"/>
          <w:bCs w:val="0"/>
          <w:sz w:val="32"/>
          <w:szCs w:val="32"/>
          <w:shd w:val="clear" w:color="auto" w:fill="FFFFFF"/>
        </w:rPr>
        <w:t>万元，较上年决算数减少1.46万元，下降52.33%，主要原因是</w:t>
      </w:r>
      <w:r>
        <w:rPr>
          <w:rFonts w:hint="default" w:ascii="Times New Roman" w:hAnsi="Times New Roman" w:eastAsia="方正仿宋_GBK"/>
          <w:b w:val="0"/>
          <w:bCs w:val="0"/>
          <w:sz w:val="32"/>
          <w:szCs w:val="32"/>
        </w:rPr>
        <w:t>本年度举行会议次数减少。</w:t>
      </w:r>
      <w:r>
        <w:rPr>
          <w:rFonts w:hint="default" w:ascii="Times New Roman" w:hAnsi="Times New Roman" w:eastAsia="方正仿宋_GBK"/>
          <w:b w:val="0"/>
          <w:bCs w:val="0"/>
          <w:sz w:val="32"/>
          <w:szCs w:val="32"/>
          <w:shd w:val="clear" w:color="auto" w:fill="FFFFFF"/>
        </w:rPr>
        <w:t>本年度培训费支出</w:t>
      </w:r>
      <w:r>
        <w:rPr>
          <w:rFonts w:hint="default" w:ascii="Times New Roman" w:hAnsi="Times New Roman" w:eastAsia="方正仿宋_GBK"/>
          <w:b w:val="0"/>
          <w:bCs w:val="0"/>
          <w:sz w:val="32"/>
          <w:szCs w:val="32"/>
        </w:rPr>
        <w:t>0.71</w:t>
      </w:r>
      <w:r>
        <w:rPr>
          <w:rFonts w:hint="default" w:ascii="Times New Roman" w:hAnsi="Times New Roman" w:eastAsia="方正仿宋_GBK"/>
          <w:b w:val="0"/>
          <w:bCs w:val="0"/>
          <w:sz w:val="32"/>
          <w:szCs w:val="32"/>
          <w:shd w:val="clear" w:color="auto" w:fill="FFFFFF"/>
        </w:rPr>
        <w:t>万元，较上年决算数增加0.50万元，增长238.10%，主要原因是</w:t>
      </w:r>
      <w:r>
        <w:rPr>
          <w:rFonts w:hint="default" w:ascii="Times New Roman" w:hAnsi="Times New Roman" w:eastAsia="方正仿宋_GBK"/>
          <w:b w:val="0"/>
          <w:bCs w:val="0"/>
          <w:sz w:val="32"/>
          <w:szCs w:val="32"/>
        </w:rPr>
        <w:t>本年度人员职工参与培训次数增加</w:t>
      </w:r>
      <w:r>
        <w:rPr>
          <w:rFonts w:hint="default" w:ascii="Times New Roman" w:hAnsi="Times New Roman" w:eastAsia="仿宋_GB2312"/>
          <w:b w:val="0"/>
          <w:bCs w:val="0"/>
          <w:sz w:val="32"/>
          <w:szCs w:val="32"/>
        </w:rPr>
        <w:t>。</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1"/>
        <w:autoSpaceDE w:val="0"/>
        <w:spacing w:line="560" w:lineRule="exact"/>
        <w:ind w:firstLine="640"/>
        <w:rPr>
          <w:rFonts w:ascii="Times New Roman" w:hAnsi="Times New Roman" w:eastAsia="方正仿宋_GBK"/>
          <w:b w:val="0"/>
          <w:bCs w:val="0"/>
          <w:sz w:val="32"/>
          <w:szCs w:val="32"/>
          <w:shd w:val="clear" w:color="auto" w:fill="FFFFFF"/>
        </w:rPr>
      </w:pPr>
      <w:r>
        <w:rPr>
          <w:rFonts w:ascii="Times New Roman" w:hAnsi="Times New Roman" w:eastAsia="方正仿宋_GBK"/>
          <w:b w:val="0"/>
          <w:bCs w:val="0"/>
          <w:sz w:val="32"/>
          <w:szCs w:val="32"/>
          <w:shd w:val="clear" w:color="auto" w:fill="FFFFFF"/>
        </w:rPr>
        <w:t>2023年度本部门机关运行经费支出</w:t>
      </w:r>
      <w:r>
        <w:rPr>
          <w:rFonts w:ascii="Times New Roman" w:hAnsi="Times New Roman" w:eastAsia="方正仿宋_GBK"/>
          <w:b w:val="0"/>
          <w:bCs w:val="0"/>
          <w:sz w:val="32"/>
          <w:szCs w:val="32"/>
        </w:rPr>
        <w:t>255.17</w:t>
      </w:r>
      <w:r>
        <w:rPr>
          <w:rFonts w:ascii="Times New Roman" w:hAnsi="Times New Roman" w:eastAsia="方正仿宋_GBK"/>
          <w:b w:val="0"/>
          <w:bCs w:val="0"/>
          <w:sz w:val="32"/>
          <w:szCs w:val="32"/>
          <w:shd w:val="clear" w:color="auto" w:fill="FFFFFF"/>
        </w:rPr>
        <w:t>万元，机关运行经费主要用于开支办公费、水费、电费、邮电费、差旅费、工会经费、公务用车运行维护费、其他交通费用、其他商品和服务支出等。机关运行经费较上年支出数增加47.63万元，增长22.95%，主要原因是本年新增招考录用人员，公用经费增加。</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shd w:val="clear" w:color="auto" w:fill="FFFFFF"/>
        </w:rPr>
        <w:t>截至2023年12月31日，本部门共有车辆</w:t>
      </w:r>
      <w:r>
        <w:rPr>
          <w:rFonts w:hint="default" w:ascii="Times New Roman" w:hAnsi="Times New Roman" w:eastAsia="方正仿宋_GBK"/>
          <w:b w:val="0"/>
          <w:bCs w:val="0"/>
          <w:sz w:val="32"/>
          <w:szCs w:val="32"/>
        </w:rPr>
        <w:t>4</w:t>
      </w:r>
      <w:r>
        <w:rPr>
          <w:rFonts w:hint="default" w:ascii="Times New Roman" w:hAnsi="Times New Roman" w:eastAsia="方正仿宋_GBK"/>
          <w:b w:val="0"/>
          <w:bCs w:val="0"/>
          <w:sz w:val="32"/>
          <w:szCs w:val="32"/>
          <w:shd w:val="clear" w:color="auto" w:fill="FFFFFF"/>
        </w:rPr>
        <w:t>辆，其中，副部</w:t>
      </w:r>
      <w:bookmarkStart w:id="0" w:name="_Hlk178096101"/>
      <w:r>
        <w:rPr>
          <w:rFonts w:hint="default" w:ascii="Times New Roman" w:hAnsi="Times New Roman" w:eastAsia="方正仿宋_GBK"/>
          <w:b w:val="0"/>
          <w:bCs w:val="0"/>
          <w:sz w:val="32"/>
          <w:szCs w:val="32"/>
          <w:shd w:val="clear" w:color="auto" w:fill="FFFFFF"/>
        </w:rPr>
        <w:t>（</w:t>
      </w:r>
      <w:bookmarkEnd w:id="0"/>
      <w:r>
        <w:rPr>
          <w:rFonts w:hint="default" w:ascii="Times New Roman" w:hAnsi="Times New Roman" w:eastAsia="方正仿宋_GBK"/>
          <w:b w:val="0"/>
          <w:bCs w:val="0"/>
          <w:sz w:val="32"/>
          <w:szCs w:val="32"/>
          <w:shd w:val="clear" w:color="auto" w:fill="FFFFFF"/>
        </w:rPr>
        <w:t>省）级及以上领导用车</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w:t>
      </w:r>
      <w:r>
        <w:rPr>
          <w:rFonts w:hint="default" w:ascii="Times New Roman" w:hAnsi="Times New Roman" w:eastAsia="方正仿宋_GBK"/>
          <w:b w:val="0"/>
          <w:bCs w:val="0"/>
          <w:sz w:val="32"/>
          <w:szCs w:val="32"/>
        </w:rPr>
        <w:t>主要领导干部</w:t>
      </w:r>
      <w:r>
        <w:rPr>
          <w:rFonts w:hint="default" w:ascii="Times New Roman" w:hAnsi="Times New Roman" w:eastAsia="方正仿宋_GBK"/>
          <w:b w:val="0"/>
          <w:bCs w:val="0"/>
          <w:sz w:val="32"/>
          <w:szCs w:val="32"/>
          <w:shd w:val="clear" w:color="auto" w:fill="FFFFFF"/>
        </w:rPr>
        <w:t>用车</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辆、机要通</w:t>
      </w:r>
      <w:r>
        <w:rPr>
          <w:rFonts w:hint="default" w:ascii="Times New Roman" w:hAnsi="Times New Roman" w:eastAsia="方正仿宋_GBK"/>
          <w:b w:val="0"/>
          <w:bCs w:val="0"/>
          <w:sz w:val="32"/>
          <w:szCs w:val="32"/>
          <w:highlight w:val="none"/>
          <w:shd w:val="clear" w:color="auto" w:fill="FFFFFF"/>
        </w:rPr>
        <w:t>信用车</w:t>
      </w:r>
      <w:r>
        <w:rPr>
          <w:rFonts w:hint="default" w:ascii="Times New Roman" w:hAnsi="Times New Roman" w:eastAsia="方正仿宋_GBK"/>
          <w:b w:val="0"/>
          <w:bCs w:val="0"/>
          <w:sz w:val="32"/>
          <w:szCs w:val="32"/>
          <w:highlight w:val="none"/>
        </w:rPr>
        <w:t>1</w:t>
      </w:r>
      <w:r>
        <w:rPr>
          <w:rFonts w:hint="default" w:ascii="Times New Roman" w:hAnsi="Times New Roman" w:eastAsia="方正仿宋_GBK"/>
          <w:b w:val="0"/>
          <w:bCs w:val="0"/>
          <w:sz w:val="32"/>
          <w:szCs w:val="32"/>
          <w:highlight w:val="none"/>
          <w:shd w:val="clear" w:color="auto" w:fill="FFFFFF"/>
        </w:rPr>
        <w:t>辆、应急保障用车</w:t>
      </w:r>
      <w:r>
        <w:rPr>
          <w:rFonts w:hint="default" w:ascii="Times New Roman" w:hAnsi="Times New Roman" w:eastAsia="方正仿宋_GBK"/>
          <w:b w:val="0"/>
          <w:bCs w:val="0"/>
          <w:sz w:val="32"/>
          <w:szCs w:val="32"/>
          <w:highlight w:val="none"/>
        </w:rPr>
        <w:t>3</w:t>
      </w:r>
      <w:r>
        <w:rPr>
          <w:rFonts w:hint="default" w:ascii="Times New Roman" w:hAnsi="Times New Roman" w:eastAsia="方正仿宋_GBK"/>
          <w:b w:val="0"/>
          <w:bCs w:val="0"/>
          <w:sz w:val="32"/>
          <w:szCs w:val="32"/>
          <w:highlight w:val="none"/>
          <w:shd w:val="clear" w:color="auto" w:fill="FFFFFF"/>
        </w:rPr>
        <w:t>辆、执法执勤用车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辆，特种专业技术用车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辆，离退休干部用车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辆。单价100万元（含）以上设备</w:t>
      </w:r>
      <w:r>
        <w:rPr>
          <w:rFonts w:ascii="Times New Roman" w:hAnsi="Times New Roman" w:eastAsia="方正仿宋_GBK"/>
          <w:b w:val="0"/>
          <w:bCs w:val="0"/>
          <w:sz w:val="32"/>
          <w:szCs w:val="32"/>
          <w:highlight w:val="none"/>
          <w:shd w:val="clear" w:color="auto" w:fill="FFFFFF"/>
        </w:rPr>
        <w:t>（不含车辆）</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台（套）。</w:t>
      </w:r>
    </w:p>
    <w:p>
      <w:pPr>
        <w:pStyle w:val="11"/>
        <w:autoSpaceDE w:val="0"/>
        <w:spacing w:line="560" w:lineRule="exact"/>
        <w:ind w:firstLine="643"/>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highlight w:val="none"/>
          <w:shd w:val="clear" w:color="auto" w:fill="FFFFFF"/>
        </w:rPr>
        <w:t>2023年度我</w:t>
      </w:r>
      <w:r>
        <w:rPr>
          <w:rFonts w:ascii="Times New Roman" w:hAnsi="Times New Roman" w:eastAsia="方正仿宋_GBK"/>
          <w:b w:val="0"/>
          <w:bCs w:val="0"/>
          <w:sz w:val="32"/>
          <w:szCs w:val="32"/>
          <w:highlight w:val="none"/>
          <w:shd w:val="clear" w:color="auto" w:fill="FFFFFF"/>
        </w:rPr>
        <w:t>部门</w:t>
      </w:r>
      <w:r>
        <w:rPr>
          <w:rFonts w:hint="default" w:ascii="Times New Roman" w:hAnsi="Times New Roman" w:eastAsia="方正仿宋_GBK"/>
          <w:b w:val="0"/>
          <w:bCs w:val="0"/>
          <w:sz w:val="32"/>
          <w:szCs w:val="32"/>
          <w:highlight w:val="none"/>
          <w:shd w:val="clear" w:color="auto" w:fill="FFFFFF"/>
        </w:rPr>
        <w:t>未发生政府采</w:t>
      </w:r>
      <w:r>
        <w:rPr>
          <w:rFonts w:hint="default" w:ascii="Times New Roman" w:hAnsi="Times New Roman" w:eastAsia="方正仿宋_GBK"/>
          <w:b w:val="0"/>
          <w:bCs w:val="0"/>
          <w:sz w:val="32"/>
          <w:szCs w:val="32"/>
          <w:shd w:val="clear" w:color="auto" w:fill="FFFFFF"/>
        </w:rPr>
        <w:t>购事项，无相关经费支出。</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预算绩效管理情况说明</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pPr>
        <w:pStyle w:val="12"/>
        <w:autoSpaceDE w:val="0"/>
        <w:spacing w:before="0" w:beforeAutospacing="0" w:afterAutospacing="0" w:line="560" w:lineRule="exact"/>
        <w:ind w:firstLine="640" w:firstLineChars="200"/>
        <w:rPr>
          <w:rFonts w:ascii="Times New Roman" w:hAnsi="Times New Roman" w:eastAsia="方正仿宋_GBK"/>
          <w:b w:val="0"/>
          <w:bCs w:val="0"/>
          <w:sz w:val="32"/>
          <w:szCs w:val="32"/>
          <w:shd w:val="clear" w:color="auto" w:fill="FFFFFF"/>
        </w:rPr>
      </w:pPr>
      <w:r>
        <w:rPr>
          <w:rFonts w:ascii="Times New Roman" w:hAnsi="Times New Roman" w:eastAsia="方正仿宋_GBK"/>
          <w:b w:val="0"/>
          <w:bCs w:val="0"/>
          <w:sz w:val="32"/>
          <w:szCs w:val="32"/>
          <w:shd w:val="clear" w:color="auto" w:fill="FFFFFF"/>
        </w:rPr>
        <w:t>根据预算绩效管理要求，我部门对部门整体和89个项目开展了绩效自评，涉及财政拨款项目支出资金3200.7470万元。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left="638" w:leftChars="266" w:firstLine="0" w:firstLineChars="0"/>
        <w:textAlignment w:val="auto"/>
        <w:rPr>
          <w:rFonts w:ascii="Times New Roman" w:hAnsi="Times New Roman" w:eastAsia="方正仿宋_GBK"/>
          <w:b w:val="0"/>
          <w:bCs w:val="0"/>
          <w:sz w:val="32"/>
          <w:szCs w:val="32"/>
          <w:shd w:val="clear" w:color="auto" w:fill="FFFFFF"/>
        </w:rPr>
      </w:pPr>
      <w:r>
        <w:rPr>
          <w:rFonts w:ascii="Times New Roman" w:hAnsi="Times New Roman" w:eastAsia="方正仿宋_GBK"/>
          <w:b w:val="0"/>
          <w:bCs w:val="0"/>
          <w:sz w:val="32"/>
          <w:szCs w:val="32"/>
          <w:shd w:val="clear" w:color="auto" w:fill="FFFFFF"/>
        </w:rPr>
        <w:t>1.部门整体绩效自评表样</w:t>
      </w:r>
    </w:p>
    <w:tbl>
      <w:tblPr>
        <w:tblStyle w:val="7"/>
        <w:tblpPr w:leftFromText="180" w:rightFromText="180" w:vertAnchor="text" w:horzAnchor="page" w:tblpXSpec="center" w:tblpY="805"/>
        <w:tblOverlap w:val="never"/>
        <w:tblW w:w="9400" w:type="dxa"/>
        <w:jc w:val="center"/>
        <w:tblLayout w:type="fixed"/>
        <w:tblCellMar>
          <w:top w:w="15" w:type="dxa"/>
          <w:left w:w="15" w:type="dxa"/>
          <w:bottom w:w="15" w:type="dxa"/>
          <w:right w:w="15" w:type="dxa"/>
        </w:tblCellMar>
      </w:tblPr>
      <w:tblGrid>
        <w:gridCol w:w="892"/>
        <w:gridCol w:w="456"/>
        <w:gridCol w:w="945"/>
        <w:gridCol w:w="906"/>
        <w:gridCol w:w="964"/>
        <w:gridCol w:w="1287"/>
        <w:gridCol w:w="735"/>
        <w:gridCol w:w="638"/>
        <w:gridCol w:w="750"/>
        <w:gridCol w:w="779"/>
        <w:gridCol w:w="1048"/>
      </w:tblGrid>
      <w:tr>
        <w:tblPrEx>
          <w:tblCellMar>
            <w:top w:w="15" w:type="dxa"/>
            <w:left w:w="15" w:type="dxa"/>
            <w:bottom w:w="15" w:type="dxa"/>
            <w:right w:w="15" w:type="dxa"/>
          </w:tblCellMar>
        </w:tblPrEx>
        <w:trPr>
          <w:trHeight w:val="662" w:hRule="atLeast"/>
          <w:jc w:val="center"/>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val="0"/>
                <w:bCs w:val="0"/>
                <w:color w:val="000000"/>
                <w:sz w:val="32"/>
                <w:szCs w:val="32"/>
              </w:rPr>
            </w:pPr>
            <w:r>
              <w:rPr>
                <w:rFonts w:hint="default" w:ascii="Times New Roman" w:hAnsi="Times New Roman" w:eastAsia="微软雅黑"/>
                <w:b w:val="0"/>
                <w:bCs w:val="0"/>
                <w:color w:val="000000"/>
                <w:sz w:val="32"/>
                <w:szCs w:val="32"/>
                <w:lang w:bidi="ar"/>
              </w:rPr>
              <w:t>2023年度部门整体绩效自评表</w:t>
            </w:r>
          </w:p>
        </w:tc>
      </w:tr>
      <w:tr>
        <w:tblPrEx>
          <w:tblCellMar>
            <w:top w:w="15" w:type="dxa"/>
            <w:left w:w="15" w:type="dxa"/>
            <w:bottom w:w="15" w:type="dxa"/>
            <w:right w:w="15" w:type="dxa"/>
          </w:tblCellMar>
        </w:tblPrEx>
        <w:trPr>
          <w:trHeight w:val="349" w:hRule="atLeast"/>
          <w:jc w:val="center"/>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b w:val="0"/>
                <w:bCs w:val="0"/>
                <w:color w:val="DA3232"/>
                <w:sz w:val="20"/>
                <w:szCs w:val="20"/>
              </w:rPr>
            </w:pPr>
          </w:p>
        </w:tc>
      </w:tr>
      <w:tr>
        <w:tblPrEx>
          <w:tblCellMar>
            <w:top w:w="15" w:type="dxa"/>
            <w:left w:w="15" w:type="dxa"/>
            <w:bottom w:w="15" w:type="dxa"/>
            <w:right w:w="15" w:type="dxa"/>
          </w:tblCellMar>
        </w:tblPrEx>
        <w:trPr>
          <w:trHeight w:val="91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项目名称：</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丰都县兴龙镇整体监控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项目编码：</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50023000023P000063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自评总分：</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99.08</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b w:val="0"/>
                <w:bCs w:val="0"/>
                <w:color w:val="000000"/>
                <w:sz w:val="20"/>
                <w:szCs w:val="20"/>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975"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项目主管部门：</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905-丰都县兴龙镇人民政府</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财政归口处室：</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007-基财科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部门联系人：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王敏</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联系电话：</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18225103891</w:t>
            </w:r>
          </w:p>
        </w:tc>
      </w:tr>
      <w:tr>
        <w:tblPrEx>
          <w:tblCellMar>
            <w:top w:w="15" w:type="dxa"/>
            <w:left w:w="15" w:type="dxa"/>
            <w:bottom w:w="15" w:type="dxa"/>
            <w:right w:w="15" w:type="dxa"/>
          </w:tblCellMar>
        </w:tblPrEx>
        <w:trPr>
          <w:trHeight w:val="662" w:hRule="atLeast"/>
          <w:jc w:val="center"/>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val="0"/>
                <w:bCs w:val="0"/>
                <w:color w:val="808080"/>
                <w:sz w:val="22"/>
                <w:szCs w:val="22"/>
              </w:rPr>
            </w:pPr>
            <w:r>
              <w:rPr>
                <w:rFonts w:hint="default" w:ascii="Times New Roman" w:hAnsi="Times New Roman" w:eastAsia="微软雅黑"/>
                <w:b w:val="0"/>
                <w:bCs w:val="0"/>
                <w:color w:val="808080"/>
                <w:sz w:val="22"/>
                <w:szCs w:val="22"/>
                <w:lang w:bidi="ar"/>
              </w:rPr>
              <w:t>资金情况</w:t>
            </w:r>
          </w:p>
        </w:tc>
      </w:tr>
      <w:tr>
        <w:tblPrEx>
          <w:tblCellMar>
            <w:top w:w="15" w:type="dxa"/>
            <w:left w:w="15" w:type="dxa"/>
            <w:bottom w:w="15" w:type="dxa"/>
            <w:right w:w="15" w:type="dxa"/>
          </w:tblCellMar>
        </w:tblPrEx>
        <w:trPr>
          <w:trHeight w:val="975" w:hRule="atLeast"/>
          <w:jc w:val="center"/>
        </w:trPr>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b w:val="0"/>
                <w:bCs w:val="0"/>
                <w:color w:val="000000"/>
                <w:sz w:val="20"/>
                <w:szCs w:val="20"/>
              </w:rPr>
            </w:pP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年初预算数</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全年（调整）预算数</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执行率权重</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执行率得分</w:t>
            </w:r>
          </w:p>
        </w:tc>
      </w:tr>
      <w:tr>
        <w:tblPrEx>
          <w:tblCellMar>
            <w:top w:w="15" w:type="dxa"/>
            <w:left w:w="15" w:type="dxa"/>
            <w:bottom w:w="15" w:type="dxa"/>
            <w:right w:w="15" w:type="dxa"/>
          </w:tblCellMar>
        </w:tblPrEx>
        <w:trPr>
          <w:trHeight w:val="532" w:hRule="atLeast"/>
          <w:jc w:val="center"/>
        </w:trPr>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年度总金额</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17,562,030.21 </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35,217,862.57 </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32,007,470.66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832" w:hRule="atLeast"/>
          <w:jc w:val="center"/>
        </w:trPr>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其中：财政拨款</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17,562,030.21 </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35,217,862.57 </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32,007,470.66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90.88</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9.08 </w:t>
            </w:r>
          </w:p>
        </w:tc>
      </w:tr>
      <w:tr>
        <w:tblPrEx>
          <w:tblCellMar>
            <w:top w:w="15" w:type="dxa"/>
            <w:left w:w="15" w:type="dxa"/>
            <w:bottom w:w="15" w:type="dxa"/>
            <w:right w:w="15" w:type="dxa"/>
          </w:tblCellMar>
        </w:tblPrEx>
        <w:trPr>
          <w:trHeight w:val="810" w:hRule="atLeast"/>
          <w:jc w:val="center"/>
        </w:trPr>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一般公共预算</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17,335,151.21 </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33,601,647.57 </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 xml:space="preserve">30,691,255.66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91.33</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662" w:hRule="atLeast"/>
          <w:jc w:val="center"/>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val="0"/>
                <w:bCs w:val="0"/>
                <w:color w:val="808080"/>
                <w:sz w:val="22"/>
                <w:szCs w:val="22"/>
              </w:rPr>
            </w:pPr>
            <w:r>
              <w:rPr>
                <w:rFonts w:hint="default" w:ascii="Times New Roman" w:hAnsi="Times New Roman" w:eastAsia="微软雅黑"/>
                <w:b w:val="0"/>
                <w:bCs w:val="0"/>
                <w:color w:val="808080"/>
                <w:sz w:val="22"/>
                <w:szCs w:val="22"/>
                <w:lang w:bidi="ar"/>
              </w:rPr>
              <w:t>绩效目标</w:t>
            </w:r>
          </w:p>
        </w:tc>
      </w:tr>
      <w:tr>
        <w:tblPrEx>
          <w:tblCellMar>
            <w:top w:w="15" w:type="dxa"/>
            <w:left w:w="15" w:type="dxa"/>
            <w:bottom w:w="15" w:type="dxa"/>
            <w:right w:w="15" w:type="dxa"/>
          </w:tblCellMar>
        </w:tblPrEx>
        <w:trPr>
          <w:trHeight w:val="349" w:hRule="atLeast"/>
          <w:jc w:val="center"/>
        </w:trPr>
        <w:tc>
          <w:tcPr>
            <w:tcW w:w="31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年初绩效目标</w:t>
            </w:r>
          </w:p>
        </w:tc>
        <w:tc>
          <w:tcPr>
            <w:tcW w:w="36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全年（调整）绩效目标</w:t>
            </w:r>
          </w:p>
        </w:tc>
        <w:tc>
          <w:tcPr>
            <w:tcW w:w="257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全年目标实际完成情况</w:t>
            </w:r>
          </w:p>
        </w:tc>
      </w:tr>
      <w:tr>
        <w:tblPrEx>
          <w:tblCellMar>
            <w:top w:w="15" w:type="dxa"/>
            <w:left w:w="15" w:type="dxa"/>
            <w:bottom w:w="15" w:type="dxa"/>
            <w:right w:w="15" w:type="dxa"/>
          </w:tblCellMar>
        </w:tblPrEx>
        <w:trPr>
          <w:trHeight w:val="4416" w:hRule="atLeast"/>
          <w:jc w:val="center"/>
        </w:trPr>
        <w:tc>
          <w:tcPr>
            <w:tcW w:w="31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乡村振兴”推进工作，人民生活水平不断提高，社会公众满意程度普遍提升。</w:t>
            </w:r>
          </w:p>
        </w:tc>
        <w:tc>
          <w:tcPr>
            <w:tcW w:w="36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乡村振兴”推进工作，人民生活水平不断提高，社会公众满意程度普遍提升。</w:t>
            </w:r>
          </w:p>
        </w:tc>
        <w:tc>
          <w:tcPr>
            <w:tcW w:w="257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乡村振兴”推进工作，人民生活水平不断提高，社会公众满意程度普遍提升。</w:t>
            </w:r>
          </w:p>
        </w:tc>
      </w:tr>
      <w:tr>
        <w:tblPrEx>
          <w:tblCellMar>
            <w:top w:w="15" w:type="dxa"/>
            <w:left w:w="15" w:type="dxa"/>
            <w:bottom w:w="15" w:type="dxa"/>
            <w:right w:w="15" w:type="dxa"/>
          </w:tblCellMar>
        </w:tblPrEx>
        <w:trPr>
          <w:trHeight w:val="662" w:hRule="atLeast"/>
          <w:jc w:val="center"/>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val="0"/>
                <w:bCs w:val="0"/>
                <w:color w:val="808080"/>
                <w:sz w:val="22"/>
                <w:szCs w:val="22"/>
              </w:rPr>
            </w:pPr>
            <w:r>
              <w:rPr>
                <w:rFonts w:hint="default" w:ascii="Times New Roman" w:hAnsi="Times New Roman" w:eastAsia="微软雅黑"/>
                <w:b w:val="0"/>
                <w:bCs w:val="0"/>
                <w:color w:val="808080"/>
                <w:sz w:val="22"/>
                <w:szCs w:val="22"/>
                <w:lang w:bidi="ar"/>
              </w:rPr>
              <w:t>绩效指标</w:t>
            </w:r>
          </w:p>
        </w:tc>
      </w:tr>
      <w:tr>
        <w:tblPrEx>
          <w:tblCellMar>
            <w:top w:w="15" w:type="dxa"/>
            <w:left w:w="15" w:type="dxa"/>
            <w:bottom w:w="15" w:type="dxa"/>
            <w:right w:w="15" w:type="dxa"/>
          </w:tblCellMar>
        </w:tblPrEx>
        <w:trPr>
          <w:trHeight w:val="975"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指标名称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计量单位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指标性质</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指标值</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全年完成值</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偏离度（%）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得分系数（%）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指标得分</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是否核心指标</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说明</w:t>
            </w:r>
          </w:p>
        </w:tc>
      </w:tr>
      <w:tr>
        <w:tblPrEx>
          <w:tblCellMar>
            <w:top w:w="15" w:type="dxa"/>
            <w:left w:w="15" w:type="dxa"/>
            <w:bottom w:w="15" w:type="dxa"/>
            <w:right w:w="15" w:type="dxa"/>
          </w:tblCellMar>
        </w:tblPrEx>
        <w:trPr>
          <w:trHeight w:val="34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机关事务正常运转率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是</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128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项目验收合格率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否</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16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各类补贴发放及时率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是</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975"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预算执行率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否</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191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辖区村（居）民利益保障</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定性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好</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是</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16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辖区人居环境改善</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定性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有效改善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是</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128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服务对象满意度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96</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96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是</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r>
        <w:tblPrEx>
          <w:tblCellMar>
            <w:top w:w="15" w:type="dxa"/>
            <w:left w:w="15" w:type="dxa"/>
            <w:bottom w:w="15" w:type="dxa"/>
            <w:right w:w="15" w:type="dxa"/>
          </w:tblCellMar>
        </w:tblPrEx>
        <w:trPr>
          <w:trHeight w:val="98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基本支出</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15777314.19</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15777314.19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00" w:firstLineChars="100"/>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lang w:bidi="ar"/>
              </w:rPr>
              <w:t>否</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b w:val="0"/>
                <w:bCs w:val="0"/>
                <w:color w:val="000000"/>
                <w:sz w:val="20"/>
                <w:szCs w:val="20"/>
              </w:rPr>
            </w:pPr>
          </w:p>
        </w:tc>
      </w:tr>
    </w:tbl>
    <w:p>
      <w:pPr>
        <w:pStyle w:val="12"/>
        <w:spacing w:before="0" w:beforeAutospacing="0"/>
        <w:rPr>
          <w:rFonts w:ascii="Times New Roman" w:hAnsi="Times New Roman" w:eastAsia="方正仿宋_GBK"/>
          <w:b w:val="0"/>
          <w:bCs w:val="0"/>
          <w:sz w:val="28"/>
          <w:szCs w:val="28"/>
          <w:shd w:val="clear" w:color="auto" w:fill="FFFFFF"/>
        </w:rPr>
      </w:pPr>
    </w:p>
    <w:p>
      <w:pPr>
        <w:pStyle w:val="12"/>
        <w:spacing w:before="0" w:beforeAutospacing="0" w:afterAutospacing="0" w:line="560" w:lineRule="exact"/>
        <w:ind w:firstLine="640" w:firstLineChars="200"/>
        <w:rPr>
          <w:rFonts w:ascii="Times New Roman" w:hAnsi="Times New Roman" w:eastAsia="方正仿宋_GBK"/>
          <w:b w:val="0"/>
          <w:bCs w:val="0"/>
          <w:sz w:val="32"/>
          <w:szCs w:val="32"/>
          <w:shd w:val="clear" w:color="auto" w:fill="FFFFFF"/>
        </w:rPr>
      </w:pPr>
      <w:r>
        <w:rPr>
          <w:rFonts w:ascii="Times New Roman" w:hAnsi="Times New Roman" w:eastAsia="方正仿宋_GBK"/>
          <w:b w:val="0"/>
          <w:bCs w:val="0"/>
          <w:sz w:val="32"/>
          <w:szCs w:val="32"/>
          <w:shd w:val="clear" w:color="auto" w:fill="FFFFFF"/>
        </w:rPr>
        <w:t>2.项目支出绩效自评表（见附件：丰都县兴龙镇2023年度各项目自评绩效自评表）</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pPr>
        <w:spacing w:line="560" w:lineRule="exact"/>
        <w:ind w:firstLine="640" w:firstLineChars="200"/>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我</w:t>
      </w:r>
      <w:r>
        <w:rPr>
          <w:rFonts w:ascii="Times New Roman" w:hAnsi="Times New Roman" w:eastAsia="方正仿宋_GBK"/>
          <w:b w:val="0"/>
          <w:bCs w:val="0"/>
          <w:sz w:val="32"/>
          <w:szCs w:val="32"/>
          <w:shd w:val="clear" w:color="auto" w:fill="FFFFFF"/>
        </w:rPr>
        <w:t>部门</w:t>
      </w:r>
      <w:r>
        <w:rPr>
          <w:rFonts w:hint="default" w:ascii="Times New Roman" w:hAnsi="Times New Roman" w:eastAsia="方正仿宋_GBK"/>
          <w:b w:val="0"/>
          <w:bCs w:val="0"/>
          <w:sz w:val="32"/>
          <w:szCs w:val="32"/>
          <w:shd w:val="clear" w:color="auto" w:fill="FFFFFF"/>
        </w:rPr>
        <w:t>未组织开展绩效评价。</w:t>
      </w:r>
    </w:p>
    <w:p>
      <w:pPr>
        <w:pStyle w:val="11"/>
        <w:autoSpaceDE w:val="0"/>
        <w:spacing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spacing w:line="560" w:lineRule="exact"/>
        <w:ind w:firstLine="640" w:firstLineChars="200"/>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县财政局未委托第三方对我部门开展绩效评价。</w:t>
      </w:r>
    </w:p>
    <w:p>
      <w:pPr>
        <w:pStyle w:val="6"/>
        <w:spacing w:beforeAutospacing="0" w:afterAutospacing="0" w:line="560" w:lineRule="exact"/>
        <w:ind w:firstLine="640" w:firstLineChars="200"/>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六、专业名词解释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b w:val="0"/>
          <w:bCs w:val="0"/>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（二）事业收入</w:t>
      </w:r>
      <w:r>
        <w:rPr>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楷体"/>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（四）其他收入</w:t>
      </w:r>
      <w:r>
        <w:rPr>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（五）使用非财政拨款结余</w:t>
      </w:r>
      <w:r>
        <w:rPr>
          <w:rFonts w:hint="default" w:ascii="Times New Roman" w:hAnsi="Times New Roman" w:eastAsia="楷体"/>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（六）年初结转和结余：</w:t>
      </w:r>
      <w:r>
        <w:rPr>
          <w:rFonts w:hint="default" w:ascii="Times New Roman" w:hAnsi="Times New Roman" w:eastAsia="方正仿宋_GBK"/>
          <w:b w:val="0"/>
          <w:bCs w:val="0"/>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lang w:eastAsia="zh-CN"/>
        </w:rPr>
        <w:t>（</w:t>
      </w:r>
      <w:r>
        <w:rPr>
          <w:rStyle w:val="10"/>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b w:val="0"/>
          <w:bCs w:val="0"/>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b w:val="0"/>
          <w:bCs w:val="0"/>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（九）基本支出：</w:t>
      </w:r>
      <w:r>
        <w:rPr>
          <w:rFonts w:hint="default" w:ascii="Times New Roman" w:hAnsi="Times New Roman" w:eastAsia="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（十）项目支出：</w:t>
      </w:r>
      <w:r>
        <w:rPr>
          <w:rFonts w:hint="default" w:ascii="Times New Roman" w:hAnsi="Times New Roman" w:eastAsia="方正仿宋_GBK"/>
          <w:b w:val="0"/>
          <w:bCs w:val="0"/>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b w:val="0"/>
          <w:bCs w:val="0"/>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lang w:eastAsia="zh-CN"/>
        </w:rPr>
        <w:t>（</w:t>
      </w:r>
      <w:r>
        <w:rPr>
          <w:rStyle w:val="10"/>
          <w:rFonts w:hint="default" w:ascii="方正楷体_GBK" w:hAnsi="方正楷体_GBK" w:eastAsia="方正楷体_GBK" w:cs="方正楷体_GBK"/>
          <w:b w:val="0"/>
          <w:bCs w:val="0"/>
          <w:sz w:val="32"/>
          <w:szCs w:val="32"/>
          <w:shd w:val="clear" w:color="auto" w:fill="FFFFFF"/>
        </w:rPr>
        <w:t>十二）“三公”经费：</w:t>
      </w:r>
      <w:r>
        <w:rPr>
          <w:rFonts w:hint="default" w:ascii="Times New Roman" w:hAnsi="Times New Roman" w:eastAsia="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（十四）工资福利支出（支出经济分类科目类级）：</w:t>
      </w:r>
      <w:r>
        <w:rPr>
          <w:rFonts w:hint="default" w:ascii="Times New Roman" w:hAnsi="Times New Roman" w:eastAsia="方正仿宋_GBK"/>
          <w:b w:val="0"/>
          <w:bCs w:val="0"/>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default" w:ascii="方正楷体_GBK" w:hAnsi="方正楷体_GBK" w:eastAsia="方正楷体_GBK" w:cs="方正楷体_GBK"/>
          <w:b w:val="0"/>
          <w:bCs w:val="0"/>
          <w:sz w:val="32"/>
          <w:szCs w:val="32"/>
          <w:shd w:val="clear" w:color="auto" w:fill="FFFFFF"/>
        </w:rPr>
        <w:t>（十五）商品和服务支出（支出经济分类科目类级）：</w:t>
      </w:r>
      <w:r>
        <w:rPr>
          <w:rFonts w:hint="default" w:ascii="Times New Roman" w:hAnsi="Times New Roman" w:eastAsia="方正仿宋_GBK"/>
          <w:b w:val="0"/>
          <w:bCs w:val="0"/>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反映用于对个人和家庭的补助支出。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lang w:eastAsia="zh-CN"/>
        </w:rPr>
        <w:t>（</w:t>
      </w:r>
      <w:r>
        <w:rPr>
          <w:rStyle w:val="10"/>
          <w:rFonts w:hint="default" w:ascii="方正楷体_GBK" w:hAnsi="方正楷体_GBK" w:eastAsia="方正楷体_GBK" w:cs="方正楷体_GBK"/>
          <w:b w:val="0"/>
          <w:bCs w:val="0"/>
          <w:sz w:val="32"/>
          <w:szCs w:val="32"/>
          <w:shd w:val="clear" w:color="auto" w:fill="FFFFFF"/>
        </w:rPr>
        <w:t>十七）其他资本性支出（支出经济分类科目类级）：</w:t>
      </w:r>
      <w:r>
        <w:rPr>
          <w:rFonts w:hint="default" w:ascii="Times New Roman" w:hAnsi="Times New Roman" w:eastAsia="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pacing w:beforeAutospacing="0" w:afterAutospacing="0" w:line="560" w:lineRule="exact"/>
        <w:ind w:firstLine="640" w:firstLineChars="200"/>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本单位决算公开信息反馈和联系方式：</w:t>
      </w:r>
    </w:p>
    <w:p>
      <w:pPr>
        <w:pStyle w:val="6"/>
        <w:snapToGrid w:val="0"/>
        <w:spacing w:before="0" w:beforeAutospacing="0" w:after="0" w:afterAutospacing="0" w:line="560" w:lineRule="exact"/>
        <w:ind w:firstLine="640" w:firstLineChars="200"/>
        <w:jc w:val="both"/>
        <w:rPr>
          <w:rStyle w:val="10"/>
          <w:rFonts w:hint="default" w:ascii="Times New Roman" w:hAnsi="Times New Roman" w:eastAsia="方正仿宋_GBK"/>
          <w:b w:val="0"/>
          <w:bCs w:val="0"/>
          <w:sz w:val="32"/>
          <w:szCs w:val="32"/>
          <w:shd w:val="clear" w:color="auto" w:fill="FFFF00"/>
        </w:rPr>
        <w:sectPr>
          <w:footerReference r:id="rId3" w:type="default"/>
          <w:pgSz w:w="11915" w:h="16840"/>
          <w:pgMar w:top="2098" w:right="1474" w:bottom="1984" w:left="1587" w:header="851" w:footer="992" w:gutter="0"/>
          <w:pgNumType w:fmt="numberInDash"/>
          <w:cols w:space="0" w:num="1"/>
          <w:docGrid w:type="lines" w:linePitch="327" w:charSpace="0"/>
        </w:sectPr>
      </w:pPr>
      <w:r>
        <w:rPr>
          <w:rFonts w:hint="default" w:ascii="Times New Roman" w:hAnsi="Times New Roman" w:eastAsia="方正仿宋_GBK"/>
          <w:b w:val="0"/>
          <w:bCs w:val="0"/>
          <w:sz w:val="32"/>
          <w:szCs w:val="32"/>
          <w:shd w:val="clear" w:color="auto" w:fill="FFFFFF"/>
        </w:rPr>
        <w:t>向宏娟  023-70688006</w:t>
      </w:r>
    </w:p>
    <w:p>
      <w:pPr>
        <w:rPr>
          <w:rFonts w:hint="default" w:ascii="Times New Roman" w:hAnsi="Times New Roman"/>
          <w:b w:val="0"/>
          <w:bCs w:val="0"/>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b w:val="0"/>
                <w:bCs w:val="0"/>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2"/>
                <w:szCs w:val="22"/>
              </w:rPr>
            </w:pPr>
            <w:r>
              <w:rPr>
                <w:rFonts w:hint="default" w:ascii="Times New Roman" w:hAnsi="Times New Roman"/>
                <w:b w:val="0"/>
                <w:bCs w:val="0"/>
                <w:sz w:val="20"/>
                <w:szCs w:val="20"/>
              </w:rPr>
              <w:t>公开部门：</w:t>
            </w:r>
            <w:r>
              <w:rPr>
                <w:rFonts w:hint="default" w:ascii="Times New Roman" w:hAnsi="Times New Roman"/>
                <w:b w:val="0"/>
                <w:bCs w:val="0"/>
                <w:sz w:val="20"/>
              </w:rPr>
              <w:t>重庆市丰都县兴龙镇人民政府</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2,537.36</w:t>
            </w: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769.77</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131.62</w:t>
            </w: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444.44</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62.35</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213.82</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733.54</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431.73</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2,668.98</w:t>
            </w: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2,804.06</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148.45</w:t>
            </w: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2,817.44</w:t>
            </w:r>
            <w:r>
              <w:rPr>
                <w:rFonts w:hint="default" w:ascii="Times New Roman" w:hAnsi="Times New Roman"/>
                <w:b w:val="0"/>
                <w:bCs w:val="0"/>
                <w:color w:val="000000"/>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2,817.44</w:t>
            </w:r>
            <w:r>
              <w:rPr>
                <w:rFonts w:hint="default" w:ascii="Times New Roman" w:hAnsi="Times New Roman"/>
                <w:b w:val="0"/>
                <w:bCs w:val="0"/>
                <w:color w:val="000000"/>
                <w:sz w:val="20"/>
              </w:rPr>
              <w:t xml:space="preserve"> </w:t>
            </w:r>
          </w:p>
        </w:tc>
      </w:tr>
    </w:tbl>
    <w:p>
      <w:pPr>
        <w:spacing w:line="240" w:lineRule="exact"/>
        <w:rPr>
          <w:rFonts w:hint="default" w:ascii="Times New Roman" w:hAnsi="Times New Roman"/>
          <w:b w:val="0"/>
          <w:bCs w:val="0"/>
          <w:sz w:val="20"/>
          <w:szCs w:val="20"/>
        </w:rPr>
      </w:pPr>
      <w:r>
        <w:rPr>
          <w:rFonts w:hint="default" w:ascii="Times New Roman" w:hAnsi="Times New Roman"/>
          <w:b w:val="0"/>
          <w:bCs w:val="0"/>
          <w:sz w:val="20"/>
          <w:szCs w:val="20"/>
        </w:rPr>
        <w:t>备注：1.本表反映部门本年度的总收支和年末结转结余情况。</w:t>
      </w:r>
      <w:r>
        <w:rPr>
          <w:rFonts w:hint="default" w:ascii="Times New Roman" w:hAnsi="Times New Roman"/>
          <w:b w:val="0"/>
          <w:bCs w:val="0"/>
          <w:sz w:val="20"/>
          <w:szCs w:val="20"/>
        </w:rPr>
        <w:br w:type="textWrapping"/>
      </w:r>
      <w:r>
        <w:rPr>
          <w:rFonts w:hint="default" w:ascii="Times New Roman" w:hAnsi="Times New Roman"/>
          <w:b w:val="0"/>
          <w:bCs w:val="0"/>
          <w:sz w:val="20"/>
          <w:szCs w:val="20"/>
        </w:rPr>
        <w:t xml:space="preserve">      2.本套报表金额单位转换时可能存在尾数误差。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r>
              <w:rPr>
                <w:rFonts w:hint="default" w:ascii="Times New Roman" w:hAnsi="Times New Roman"/>
                <w:b w:val="0"/>
                <w:bCs w:val="0"/>
                <w:sz w:val="20"/>
                <w:szCs w:val="20"/>
              </w:rPr>
              <w:t>公开部门：</w:t>
            </w:r>
            <w:r>
              <w:rPr>
                <w:rFonts w:hint="default" w:ascii="Times New Roman" w:hAnsi="Times New Roman"/>
                <w:b w:val="0"/>
                <w:bCs w:val="0"/>
                <w:sz w:val="20"/>
              </w:rPr>
              <w:t>重庆市丰都县兴龙镇人民政府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2,668.98</w:t>
            </w:r>
            <w:r>
              <w:rPr>
                <w:rFonts w:hint="default" w:ascii="Times New Roman" w:hAnsi="Times New Roman"/>
                <w:b w:val="0"/>
                <w:bCs w:val="0"/>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2,668.98</w:t>
            </w:r>
            <w:r>
              <w:rPr>
                <w:rFonts w:hint="default" w:ascii="Times New Roman" w:hAnsi="Times New Roman"/>
                <w:b w:val="0"/>
                <w:bCs w:val="0"/>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757.77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757.77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其他人大事务支出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738.74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738.74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602.18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602.18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94.76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94.76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20138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2013899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444.44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444.44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223.26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223.26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32.55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32.55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19.76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19.76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81.16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81.16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27.21</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27.21</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大中型水库移民后期扶持基金支出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移民补助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62.35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62.35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2100409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重大公共卫生服务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213.82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213.82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土地开发支出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54.47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54.47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补助被征地农民支出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57.69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57.69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653.57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653.57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356.94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356.94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24.60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24.60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65.98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65.98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2130153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16.10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16.10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43.46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43.46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41.46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41.46</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59.48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59.48</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24.30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24.30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9.15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9.15</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393.63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393.63</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其他自然资源事务支出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bl>
    <w:p>
      <w:pPr>
        <w:ind w:left="600" w:hanging="600" w:hangingChars="300"/>
        <w:rPr>
          <w:rFonts w:hint="default" w:ascii="Times New Roman" w:hAnsi="Times New Roman"/>
          <w:b w:val="0"/>
          <w:bCs w:val="0"/>
          <w:sz w:val="20"/>
          <w:szCs w:val="20"/>
        </w:rPr>
      </w:pPr>
      <w:r>
        <w:rPr>
          <w:rFonts w:hint="default" w:ascii="Times New Roman" w:hAnsi="Times New Roman"/>
          <w:b w:val="0"/>
          <w:bCs w:val="0"/>
          <w:sz w:val="20"/>
          <w:szCs w:val="20"/>
        </w:rPr>
        <w:t>备注：1.本表反映部门本年度取得的各项收入情况。</w:t>
      </w:r>
      <w:r>
        <w:rPr>
          <w:rFonts w:hint="default" w:ascii="Times New Roman" w:hAnsi="Times New Roman"/>
          <w:b w:val="0"/>
          <w:bCs w:val="0"/>
          <w:sz w:val="20"/>
          <w:szCs w:val="20"/>
        </w:rPr>
        <w:br w:type="textWrapping"/>
      </w:r>
      <w:r>
        <w:rPr>
          <w:rFonts w:hint="default" w:ascii="Times New Roman" w:hAnsi="Times New Roman"/>
          <w:b w:val="0"/>
          <w:bCs w:val="0"/>
          <w:sz w:val="20"/>
          <w:szCs w:val="20"/>
        </w:rPr>
        <w:t>2.本套报表金额单位转换时可能存在尾数误差。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p>
    <w:p>
      <w:pPr>
        <w:rPr>
          <w:rFonts w:hint="default" w:ascii="Times New Roman" w:hAnsi="Times New Roman"/>
          <w:b w:val="0"/>
          <w:bCs w:val="0"/>
          <w:sz w:val="20"/>
          <w:szCs w:val="20"/>
        </w:rPr>
      </w:pPr>
      <w:r>
        <w:rPr>
          <w:rFonts w:hint="default" w:ascii="Times New Roman" w:hAnsi="Times New Roman"/>
          <w:b w:val="0"/>
          <w:bCs w:val="0"/>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r>
              <w:rPr>
                <w:rFonts w:hint="default" w:ascii="Times New Roman" w:hAnsi="Times New Roman"/>
                <w:b w:val="0"/>
                <w:bCs w:val="0"/>
                <w:sz w:val="20"/>
                <w:szCs w:val="20"/>
              </w:rPr>
              <w:t>公开部门</w:t>
            </w:r>
            <w:r>
              <w:rPr>
                <w:rFonts w:hint="default" w:ascii="Times New Roman" w:hAnsi="Times New Roman"/>
                <w:b w:val="0"/>
                <w:bCs w:val="0"/>
                <w:color w:val="000000"/>
                <w:sz w:val="20"/>
                <w:szCs w:val="20"/>
              </w:rPr>
              <w:t xml:space="preserve">： </w:t>
            </w:r>
            <w:r>
              <w:rPr>
                <w:rFonts w:hint="default" w:ascii="Times New Roman" w:hAnsi="Times New Roman"/>
                <w:b w:val="0"/>
                <w:bCs w:val="0"/>
                <w:color w:val="000000"/>
                <w:sz w:val="20"/>
              </w:rPr>
              <w:t xml:space="preserve">重庆市丰都县兴龙镇人民政府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2,804.06</w:t>
            </w:r>
            <w:r>
              <w:rPr>
                <w:rFonts w:hint="default" w:ascii="Times New Roman" w:hAnsi="Times New Roman"/>
                <w:b w:val="0"/>
                <w:bCs w:val="0"/>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1,706.10</w:t>
            </w:r>
            <w:r>
              <w:rPr>
                <w:rFonts w:hint="default" w:ascii="Times New Roman" w:hAnsi="Times New Roman"/>
                <w:b w:val="0"/>
                <w:bCs w:val="0"/>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1,097.96</w:t>
            </w:r>
            <w:r>
              <w:rPr>
                <w:rFonts w:hint="default" w:ascii="Times New Roman" w:hAnsi="Times New Roman"/>
                <w:b w:val="0"/>
                <w:bCs w:val="0"/>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769.77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708.94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60.83</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750.74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708.94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614.18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614.18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94.76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94.76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20138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2013899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444.44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364.78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79.66</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43.80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43.80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223.26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223.26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32.55</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32.55</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19.76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19.76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81.16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81.16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27.21</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27.21</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大中型水库移民后期扶持基金支出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移民补助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62.35</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2100409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重大公共卫生服务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18.93</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18.93</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213.82</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155.12</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土地开发支出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54.47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54.47</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补助被征地农民支出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3.46</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57.69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57.69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733.54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430.52</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303.02</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436.91</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187.18</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24.60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24.60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65.98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65.98</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3.60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3.60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2130153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16.10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16.10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76.91</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76.91</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43.46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43.46</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41.46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41.46</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59.48</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59.48</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22.94</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24.30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24.30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9.15</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9.15</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186.79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431.73</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431.73</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407.16</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407.16</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17.37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17.37</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24.57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24.57</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20.73</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20.73</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其他自然资源事务支出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bl>
    <w:p>
      <w:pPr>
        <w:rPr>
          <w:rFonts w:hint="default" w:ascii="Times New Roman" w:hAnsi="Times New Roman"/>
          <w:b w:val="0"/>
          <w:bCs w:val="0"/>
          <w:sz w:val="20"/>
          <w:szCs w:val="20"/>
        </w:rPr>
      </w:pPr>
      <w:r>
        <w:rPr>
          <w:rFonts w:hint="default" w:ascii="Times New Roman" w:hAnsi="Times New Roman"/>
          <w:b w:val="0"/>
          <w:bCs w:val="0"/>
          <w:sz w:val="20"/>
          <w:szCs w:val="20"/>
        </w:rPr>
        <w:t>备注：1.本表反映部门本年度各项支出情况。</w:t>
      </w:r>
      <w:r>
        <w:rPr>
          <w:rFonts w:hint="default" w:ascii="Times New Roman" w:hAnsi="Times New Roman"/>
          <w:b w:val="0"/>
          <w:bCs w:val="0"/>
          <w:sz w:val="20"/>
          <w:szCs w:val="20"/>
        </w:rPr>
        <w:br w:type="textWrapping"/>
      </w:r>
      <w:r>
        <w:rPr>
          <w:rFonts w:hint="default" w:ascii="Times New Roman" w:hAnsi="Times New Roman"/>
          <w:b w:val="0"/>
          <w:bCs w:val="0"/>
          <w:sz w:val="20"/>
          <w:szCs w:val="20"/>
        </w:rPr>
        <w:t xml:space="preserve">      2.本套报表金额单位转换时可能存在尾数误差。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p>
    <w:p>
      <w:pPr>
        <w:rPr>
          <w:rFonts w:hint="default" w:ascii="Times New Roman" w:hAnsi="Times New Roman"/>
          <w:b w:val="0"/>
          <w:bCs w:val="0"/>
          <w:sz w:val="21"/>
          <w:szCs w:val="21"/>
        </w:rPr>
      </w:pPr>
      <w:r>
        <w:rPr>
          <w:rFonts w:hint="default" w:ascii="Times New Roman" w:hAnsi="Times New Roman"/>
          <w:b w:val="0"/>
          <w:bCs w:val="0"/>
          <w:sz w:val="21"/>
          <w:szCs w:val="21"/>
        </w:rPr>
        <w:br w:type="page"/>
      </w:r>
    </w:p>
    <w:p>
      <w:pPr>
        <w:rPr>
          <w:rFonts w:hint="default" w:ascii="Times New Roman" w:hAnsi="Times New Roman"/>
          <w:b w:val="0"/>
          <w:bCs w:val="0"/>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r>
              <w:rPr>
                <w:rFonts w:hint="default" w:ascii="Times New Roman" w:hAnsi="Times New Roman"/>
                <w:b w:val="0"/>
                <w:bCs w:val="0"/>
                <w:sz w:val="20"/>
                <w:szCs w:val="20"/>
              </w:rPr>
              <w:t>公开部门</w:t>
            </w:r>
            <w:r>
              <w:rPr>
                <w:rFonts w:hint="default" w:ascii="Times New Roman" w:hAnsi="Times New Roman"/>
                <w:b w:val="0"/>
                <w:bCs w:val="0"/>
                <w:color w:val="000000"/>
                <w:sz w:val="20"/>
                <w:szCs w:val="20"/>
              </w:rPr>
              <w:t xml:space="preserve">： </w:t>
            </w:r>
            <w:r>
              <w:rPr>
                <w:rFonts w:hint="default" w:ascii="Times New Roman" w:hAnsi="Times New Roman"/>
                <w:b w:val="0"/>
                <w:bCs w:val="0"/>
                <w:color w:val="000000"/>
                <w:sz w:val="20"/>
              </w:rPr>
              <w:t>重庆市丰都县兴龙镇人民政府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2,537.36</w:t>
            </w: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769.77</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769.77</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131.62</w:t>
            </w: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5.20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5.20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47.34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47.34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444.44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438.44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6.00</w:t>
            </w: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62.35</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62.35</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213.82</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98.20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115.62</w:t>
            </w: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733.54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733.54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431.73</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431.73</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28.00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28.00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53.87</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53.87</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4.00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4.00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10.00</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10.00</w:t>
            </w: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2,668.98</w:t>
            </w: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2,804.06</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2,672.44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131.62</w:t>
            </w: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148.45</w:t>
            </w: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13.38</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13.38</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148.45</w:t>
            </w: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2,817.44</w:t>
            </w:r>
            <w:r>
              <w:rPr>
                <w:rFonts w:hint="default" w:ascii="Times New Roman" w:hAnsi="Times New Roman"/>
                <w:b w:val="0"/>
                <w:bCs w:val="0"/>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2,817.44</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2,685.81</w:t>
            </w:r>
            <w:r>
              <w:rPr>
                <w:rFonts w:hint="default" w:ascii="Times New Roman" w:hAnsi="Times New Roman"/>
                <w:b w:val="0"/>
                <w:bCs w:val="0"/>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131.62</w:t>
            </w:r>
            <w:r>
              <w:rPr>
                <w:rFonts w:hint="default" w:ascii="Times New Roman" w:hAnsi="Times New Roman"/>
                <w:b w:val="0"/>
                <w:bCs w:val="0"/>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bl>
    <w:p>
      <w:pPr>
        <w:spacing w:line="240" w:lineRule="exact"/>
        <w:rPr>
          <w:rFonts w:hint="default" w:ascii="Times New Roman" w:hAnsi="Times New Roman"/>
          <w:b w:val="0"/>
          <w:bCs w:val="0"/>
          <w:sz w:val="20"/>
          <w:szCs w:val="20"/>
        </w:rPr>
      </w:pPr>
      <w:r>
        <w:rPr>
          <w:rFonts w:hint="default" w:ascii="Times New Roman" w:hAnsi="Times New Roman"/>
          <w:b w:val="0"/>
          <w:bCs w:val="0"/>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b w:val="0"/>
          <w:bCs w:val="0"/>
          <w:sz w:val="20"/>
          <w:szCs w:val="20"/>
        </w:rPr>
        <w:br w:type="textWrapping"/>
      </w:r>
      <w:r>
        <w:rPr>
          <w:rFonts w:hint="default" w:ascii="Times New Roman" w:hAnsi="Times New Roman"/>
          <w:b w:val="0"/>
          <w:bCs w:val="0"/>
          <w:sz w:val="20"/>
          <w:szCs w:val="20"/>
        </w:rPr>
        <w:t xml:space="preserve">      2.本套报表金额单位转换时可能存在尾数误差。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r>
        <w:rPr>
          <w:rFonts w:hint="default" w:ascii="Times New Roman" w:hAnsi="Times New Roman"/>
          <w:b w:val="0"/>
          <w:bCs w:val="0"/>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r>
              <w:rPr>
                <w:rFonts w:hint="default" w:ascii="Times New Roman" w:hAnsi="Times New Roman"/>
                <w:b w:val="0"/>
                <w:bCs w:val="0"/>
                <w:sz w:val="20"/>
                <w:szCs w:val="20"/>
              </w:rPr>
              <w:t>公开部门</w:t>
            </w:r>
            <w:r>
              <w:rPr>
                <w:rFonts w:hint="default" w:ascii="Times New Roman" w:hAnsi="Times New Roman"/>
                <w:b w:val="0"/>
                <w:bCs w:val="0"/>
                <w:color w:val="000000"/>
                <w:sz w:val="20"/>
                <w:szCs w:val="20"/>
              </w:rPr>
              <w:t xml:space="preserve">： </w:t>
            </w:r>
            <w:r>
              <w:rPr>
                <w:rFonts w:hint="default" w:ascii="Times New Roman" w:hAnsi="Times New Roman"/>
                <w:b w:val="0"/>
                <w:bCs w:val="0"/>
                <w:color w:val="000000"/>
                <w:sz w:val="20"/>
              </w:rPr>
              <w:t>重庆市丰都县兴龙镇人民政府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2,672.44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1,706.10</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966.34</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769.77</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708.94</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60.83</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750.74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708.94</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614.18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614.18</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41.80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94.76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94.76</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20138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2013899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5.20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47.34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35.94</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11.40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438.44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364.78</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73.66</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68.32</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43.80</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57.89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43.80</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223.26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223.26</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32.55</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32.55</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19.76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19.76</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81.16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81.16</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62.59</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27.21</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27.21</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29.39</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62.35</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2100409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53.35</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18.93</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18.93</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22.04</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98.20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58.70</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39.50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733.54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430.52</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303.02</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436.91</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187.18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249.73</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24.60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24.60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65.98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65.98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3.60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3.60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2130153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16.10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16.10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76.91</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76.91</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43.46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43.46</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41.46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41.46</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59.48</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59.48</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22.94</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24.30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24.30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9.15</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9.15</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186.79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180.79</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431.73</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431.73</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407.16</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407.16</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389.79</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17.37</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17.37</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24.57</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24.57</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3.84</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20.73</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20.73</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其他自然资源事务支出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53.87</w:t>
            </w: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w:t>
            </w: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hint="default" w:ascii="Times New Roman" w:hAnsi="Times New Roman"/>
                <w:b w:val="0"/>
                <w:bCs w:val="0"/>
                <w:color w:val="000000"/>
                <w:sz w:val="20"/>
              </w:rPr>
              <w:t xml:space="preserve"> </w:t>
            </w:r>
          </w:p>
        </w:tc>
      </w:tr>
    </w:tbl>
    <w:p>
      <w:pPr>
        <w:rPr>
          <w:rFonts w:hint="default" w:ascii="Times New Roman" w:hAnsi="Times New Roman"/>
          <w:b w:val="0"/>
          <w:bCs w:val="0"/>
          <w:sz w:val="21"/>
          <w:szCs w:val="21"/>
        </w:rPr>
      </w:pPr>
      <w:r>
        <w:rPr>
          <w:rFonts w:hint="default" w:ascii="Times New Roman" w:hAnsi="Times New Roman"/>
          <w:b w:val="0"/>
          <w:bCs w:val="0"/>
          <w:sz w:val="20"/>
          <w:szCs w:val="20"/>
        </w:rPr>
        <w:t>备注：1.本表反映部门本年度一般公共预算财政拨款支出情况。</w:t>
      </w:r>
      <w:r>
        <w:rPr>
          <w:rFonts w:hint="default" w:ascii="Times New Roman" w:hAnsi="Times New Roman"/>
          <w:b w:val="0"/>
          <w:bCs w:val="0"/>
          <w:sz w:val="20"/>
          <w:szCs w:val="20"/>
        </w:rPr>
        <w:br w:type="textWrapping"/>
      </w:r>
      <w:r>
        <w:rPr>
          <w:rFonts w:hint="default" w:ascii="Times New Roman" w:hAnsi="Times New Roman"/>
          <w:b w:val="0"/>
          <w:bCs w:val="0"/>
          <w:sz w:val="20"/>
          <w:szCs w:val="20"/>
        </w:rPr>
        <w:t xml:space="preserve">      2.本套报表金额单位转换时可能存在尾数误差。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p>
    <w:p>
      <w:pPr>
        <w:ind w:firstLine="630" w:firstLineChars="300"/>
        <w:rPr>
          <w:rFonts w:hint="default" w:ascii="Times New Roman" w:hAnsi="Times New Roman"/>
          <w:b w:val="0"/>
          <w:bCs w:val="0"/>
          <w:sz w:val="21"/>
          <w:szCs w:val="21"/>
        </w:rPr>
      </w:pPr>
      <w:r>
        <w:rPr>
          <w:rFonts w:hint="default" w:ascii="Times New Roman" w:hAnsi="Times New Roman"/>
          <w:b w:val="0"/>
          <w:bCs w:val="0"/>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r>
              <w:rPr>
                <w:rFonts w:hint="default" w:ascii="Times New Roman" w:hAnsi="Times New Roman"/>
                <w:b w:val="0"/>
                <w:bCs w:val="0"/>
                <w:sz w:val="20"/>
                <w:szCs w:val="20"/>
              </w:rPr>
              <w:t>公开部门</w:t>
            </w:r>
            <w:r>
              <w:rPr>
                <w:rFonts w:hint="default" w:ascii="Times New Roman" w:hAnsi="Times New Roman"/>
                <w:b w:val="0"/>
                <w:bCs w:val="0"/>
                <w:color w:val="000000"/>
                <w:sz w:val="20"/>
                <w:szCs w:val="20"/>
              </w:rPr>
              <w:t xml:space="preserve">： </w:t>
            </w:r>
            <w:r>
              <w:rPr>
                <w:rFonts w:hint="default" w:ascii="Times New Roman" w:hAnsi="Times New Roman"/>
                <w:b w:val="0"/>
                <w:bCs w:val="0"/>
                <w:color w:val="000000"/>
                <w:sz w:val="20"/>
              </w:rPr>
              <w:t>重庆市丰都县兴龙镇人民政府</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1,117.00</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274.08</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1.10</w:t>
            </w: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229.12</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68.26</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151.08</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1.10</w:t>
            </w: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138.94</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244.29</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0.09</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94.24</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5.27</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72.65</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27.60</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45.61</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8.31</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34.75</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62.30</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13.36</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3.54</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57.11</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0.90</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313.92</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0.07</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0.71</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3.51</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22.94</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285.18</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28.95</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5.80</w:t>
            </w: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33.73</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11.93</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22.85</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31.93</w:t>
            </w: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1,430.92</w:t>
            </w:r>
            <w:r>
              <w:rPr>
                <w:rFonts w:hint="default" w:ascii="Times New Roman" w:hAnsi="Times New Roman"/>
                <w:b w:val="0"/>
                <w:bCs w:val="0"/>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275.17</w:t>
            </w:r>
            <w:r>
              <w:rPr>
                <w:rFonts w:hint="default" w:ascii="Times New Roman" w:hAnsi="Times New Roman"/>
                <w:b w:val="0"/>
                <w:bCs w:val="0"/>
                <w:color w:val="000000"/>
                <w:sz w:val="18"/>
              </w:rPr>
              <w:t xml:space="preserve"> </w:t>
            </w:r>
          </w:p>
        </w:tc>
      </w:tr>
    </w:tbl>
    <w:p>
      <w:pPr>
        <w:spacing w:line="280" w:lineRule="exact"/>
        <w:rPr>
          <w:rFonts w:hint="default" w:ascii="Times New Roman" w:hAnsi="Times New Roman"/>
          <w:b w:val="0"/>
          <w:bCs w:val="0"/>
          <w:sz w:val="20"/>
          <w:szCs w:val="20"/>
        </w:rPr>
      </w:pPr>
      <w:r>
        <w:rPr>
          <w:rFonts w:hint="default" w:ascii="Times New Roman" w:hAnsi="Times New Roman"/>
          <w:b w:val="0"/>
          <w:bCs w:val="0"/>
          <w:sz w:val="20"/>
          <w:szCs w:val="20"/>
        </w:rPr>
        <w:t>备注：1.本表反映部门本年度一般公共预算财政拨款基本支出明细情况。</w:t>
      </w:r>
      <w:r>
        <w:rPr>
          <w:rFonts w:hint="default" w:ascii="Times New Roman" w:hAnsi="Times New Roman"/>
          <w:b w:val="0"/>
          <w:bCs w:val="0"/>
          <w:sz w:val="20"/>
          <w:szCs w:val="20"/>
        </w:rPr>
        <w:br w:type="textWrapping"/>
      </w:r>
      <w:r>
        <w:rPr>
          <w:rFonts w:hint="default" w:ascii="Times New Roman" w:hAnsi="Times New Roman"/>
          <w:b w:val="0"/>
          <w:bCs w:val="0"/>
          <w:sz w:val="20"/>
          <w:szCs w:val="20"/>
        </w:rPr>
        <w:t xml:space="preserve">      2.本套报表金额单位转换时可能存在尾数误差。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r>
        <w:rPr>
          <w:rFonts w:hint="default" w:ascii="Times New Roman" w:hAnsi="Times New Roman"/>
          <w:b w:val="0"/>
          <w:bCs w:val="0"/>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r>
              <w:rPr>
                <w:rFonts w:hint="default" w:ascii="Times New Roman" w:hAnsi="Times New Roman"/>
                <w:b w:val="0"/>
                <w:bCs w:val="0"/>
                <w:sz w:val="20"/>
                <w:szCs w:val="20"/>
              </w:rPr>
              <w:t>公开部门</w:t>
            </w:r>
            <w:r>
              <w:rPr>
                <w:rFonts w:hint="default" w:ascii="Times New Roman" w:hAnsi="Times New Roman"/>
                <w:b w:val="0"/>
                <w:bCs w:val="0"/>
                <w:color w:val="000000"/>
                <w:sz w:val="20"/>
                <w:szCs w:val="20"/>
              </w:rPr>
              <w:t xml:space="preserve">： </w:t>
            </w:r>
            <w:r>
              <w:rPr>
                <w:rFonts w:hint="default" w:ascii="Times New Roman" w:hAnsi="Times New Roman"/>
                <w:b w:val="0"/>
                <w:bCs w:val="0"/>
                <w:color w:val="000000"/>
                <w:sz w:val="20"/>
              </w:rPr>
              <w:t>重庆市丰都县兴龙镇人民政府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131.62</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131.62</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131.62</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社会保障和就业支出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2082201</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移民补助</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115.62</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土地开发支出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54.47</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54.47</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54.47</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2120805</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补助被征地农民支出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3.46</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3.46</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3.46</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57.69</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57.69</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57.69</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10.00</w:t>
            </w:r>
            <w:r>
              <w:rPr>
                <w:rFonts w:hint="default" w:ascii="Times New Roman" w:hAnsi="Times New Roman"/>
                <w:b w:val="0"/>
                <w:bCs w:val="0"/>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bl>
    <w:p>
      <w:pPr>
        <w:rPr>
          <w:rFonts w:hint="default" w:ascii="Times New Roman" w:hAnsi="Times New Roman"/>
          <w:b w:val="0"/>
          <w:bCs w:val="0"/>
          <w:sz w:val="21"/>
          <w:szCs w:val="21"/>
        </w:rPr>
      </w:pPr>
      <w:r>
        <w:rPr>
          <w:rFonts w:hint="default" w:ascii="Times New Roman" w:hAnsi="Times New Roman"/>
          <w:b w:val="0"/>
          <w:bCs w:val="0"/>
          <w:sz w:val="20"/>
          <w:szCs w:val="20"/>
        </w:rPr>
        <w:t>备注：1.本表反映部门本年度政府性基金预算财政拨款收入支出及结转和结余情况。</w:t>
      </w:r>
      <w:r>
        <w:rPr>
          <w:rFonts w:hint="default" w:ascii="Times New Roman" w:hAnsi="Times New Roman"/>
          <w:b w:val="0"/>
          <w:bCs w:val="0"/>
          <w:sz w:val="20"/>
          <w:szCs w:val="20"/>
        </w:rPr>
        <w:br w:type="textWrapping"/>
      </w:r>
      <w:r>
        <w:rPr>
          <w:rFonts w:hint="default" w:ascii="Times New Roman" w:hAnsi="Times New Roman"/>
          <w:b w:val="0"/>
          <w:bCs w:val="0"/>
          <w:sz w:val="20"/>
          <w:szCs w:val="20"/>
        </w:rPr>
        <w:t xml:space="preserve">      2.本套报表金额单位转换时可能存在尾数误差。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p>
    <w:p>
      <w:pPr>
        <w:rPr>
          <w:rFonts w:hint="default" w:ascii="Times New Roman" w:hAnsi="Times New Roman"/>
          <w:b w:val="0"/>
          <w:bCs w:val="0"/>
          <w:sz w:val="21"/>
          <w:szCs w:val="21"/>
        </w:rPr>
      </w:pPr>
      <w:r>
        <w:rPr>
          <w:rFonts w:hint="default" w:ascii="Times New Roman" w:hAnsi="Times New Roman"/>
          <w:b w:val="0"/>
          <w:bCs w:val="0"/>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rPr>
            </w:pPr>
            <w:r>
              <w:rPr>
                <w:rFonts w:hint="default" w:ascii="Times New Roman" w:hAnsi="Times New Roman"/>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r>
              <w:rPr>
                <w:rFonts w:hint="default" w:ascii="Times New Roman" w:hAnsi="Times New Roman"/>
                <w:b w:val="0"/>
                <w:bCs w:val="0"/>
                <w:sz w:val="20"/>
                <w:szCs w:val="20"/>
              </w:rPr>
              <w:t>公开部门</w:t>
            </w:r>
            <w:r>
              <w:rPr>
                <w:rFonts w:hint="default" w:ascii="Times New Roman" w:hAnsi="Times New Roman"/>
                <w:b w:val="0"/>
                <w:bCs w:val="0"/>
                <w:color w:val="000000"/>
                <w:sz w:val="20"/>
                <w:szCs w:val="20"/>
              </w:rPr>
              <w:t xml:space="preserve">： </w:t>
            </w:r>
            <w:r>
              <w:rPr>
                <w:rFonts w:hint="default" w:ascii="Times New Roman" w:hAnsi="Times New Roman"/>
                <w:b w:val="0"/>
                <w:bCs w:val="0"/>
                <w:color w:val="000000"/>
                <w:sz w:val="20"/>
              </w:rPr>
              <w:t>重庆市丰都县兴龙镇人民政府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单位：</w:t>
            </w:r>
            <w:r>
              <w:rPr>
                <w:rFonts w:hint="default" w:ascii="Times New Roman" w:hAnsi="Times New Roman"/>
                <w:b w:val="0"/>
                <w:bCs w:val="0"/>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val="0"/>
                <w:bCs w:val="0"/>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rPr>
              <w:t xml:space="preserve"> </w:t>
            </w:r>
          </w:p>
        </w:tc>
      </w:tr>
    </w:tbl>
    <w:p>
      <w:pPr>
        <w:rPr>
          <w:rFonts w:hint="default" w:ascii="Times New Roman" w:hAnsi="Times New Roman"/>
          <w:b w:val="0"/>
          <w:bCs w:val="0"/>
          <w:sz w:val="21"/>
          <w:szCs w:val="21"/>
        </w:rPr>
      </w:pPr>
      <w:r>
        <w:rPr>
          <w:rFonts w:hint="default" w:ascii="Times New Roman" w:hAnsi="Times New Roman"/>
          <w:b w:val="0"/>
          <w:bCs w:val="0"/>
          <w:sz w:val="20"/>
          <w:szCs w:val="20"/>
        </w:rPr>
        <w:t>备注：本表反映部门本年度国有资本经营预算财政拨款支出情况。本部门无国有资本经营收支，故本表无数据。</w:t>
      </w:r>
      <w:r>
        <w:rPr>
          <w:rFonts w:hint="default" w:ascii="Times New Roman" w:hAnsi="Times New Roman"/>
          <w:b w:val="0"/>
          <w:bCs w:val="0"/>
          <w:sz w:val="20"/>
          <w:szCs w:val="20"/>
        </w:rPr>
        <w:br w:type="textWrapping"/>
      </w:r>
      <w:r>
        <w:rPr>
          <w:rFonts w:hint="default" w:ascii="Times New Roman" w:hAnsi="Times New Roman"/>
          <w:b w:val="0"/>
          <w:bCs w:val="0"/>
          <w:sz w:val="20"/>
          <w:szCs w:val="20"/>
        </w:rPr>
        <w:br w:type="textWrapping"/>
      </w:r>
    </w:p>
    <w:p>
      <w:pPr>
        <w:rPr>
          <w:rFonts w:hint="default" w:ascii="Times New Roman" w:hAnsi="Times New Roman"/>
          <w:b w:val="0"/>
          <w:bCs w:val="0"/>
          <w:sz w:val="21"/>
          <w:szCs w:val="21"/>
        </w:rPr>
      </w:pPr>
      <w:r>
        <w:rPr>
          <w:rFonts w:hint="default" w:ascii="Times New Roman" w:hAnsi="Times New Roman"/>
          <w:b w:val="0"/>
          <w:bCs w:val="0"/>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val="0"/>
                <w:bCs w:val="0"/>
                <w:color w:val="000000"/>
                <w:kern w:val="2"/>
                <w:sz w:val="32"/>
                <w:szCs w:val="32"/>
              </w:rPr>
            </w:pPr>
            <w:r>
              <w:rPr>
                <w:rFonts w:hint="default" w:ascii="Times New Roman" w:hAnsi="Times New Roman"/>
                <w:b w:val="0"/>
                <w:bCs w:val="0"/>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ascii="Times New Roman" w:hAnsi="Times New Roman"/>
                <w:b w:val="0"/>
                <w:bCs w:val="0"/>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ascii="Times New Roman" w:hAnsi="Times New Roman"/>
                <w:b w:val="0"/>
                <w:bCs w:val="0"/>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kern w:val="2"/>
                <w:sz w:val="20"/>
                <w:szCs w:val="20"/>
              </w:rPr>
            </w:pPr>
            <w:r>
              <w:rPr>
                <w:rFonts w:hint="default" w:ascii="Times New Roman" w:hAnsi="Times New Roman"/>
                <w:b w:val="0"/>
                <w:bCs w:val="0"/>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kern w:val="2"/>
                <w:sz w:val="20"/>
                <w:szCs w:val="20"/>
              </w:rPr>
            </w:pPr>
            <w:r>
              <w:rPr>
                <w:rFonts w:hint="default" w:ascii="Times New Roman" w:hAnsi="Times New Roman"/>
                <w:b w:val="0"/>
                <w:bCs w:val="0"/>
                <w:kern w:val="2"/>
                <w:sz w:val="20"/>
                <w:szCs w:val="20"/>
              </w:rPr>
              <w:t>公开部门</w:t>
            </w:r>
            <w:r>
              <w:rPr>
                <w:rFonts w:hint="default" w:ascii="Times New Roman" w:hAnsi="Times New Roman"/>
                <w:b w:val="0"/>
                <w:bCs w:val="0"/>
                <w:color w:val="000000"/>
                <w:kern w:val="2"/>
                <w:sz w:val="20"/>
                <w:szCs w:val="20"/>
              </w:rPr>
              <w:t xml:space="preserve">： </w:t>
            </w:r>
            <w:r>
              <w:rPr>
                <w:rFonts w:hint="default" w:ascii="Times New Roman" w:hAnsi="Times New Roman"/>
                <w:b w:val="0"/>
                <w:bCs w:val="0"/>
                <w:color w:val="000000"/>
                <w:sz w:val="20"/>
              </w:rPr>
              <w:t>重庆市丰都县兴龙镇人民政府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b w:val="0"/>
                <w:bCs w:val="0"/>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kern w:val="2"/>
                <w:sz w:val="20"/>
                <w:szCs w:val="20"/>
              </w:rPr>
            </w:pPr>
            <w:r>
              <w:rPr>
                <w:rFonts w:hint="default" w:ascii="Times New Roman" w:hAnsi="Times New Roman"/>
                <w:b w:val="0"/>
                <w:bCs w:val="0"/>
                <w:color w:val="000000"/>
                <w:kern w:val="2"/>
                <w:sz w:val="20"/>
                <w:szCs w:val="20"/>
              </w:rPr>
              <w:t>单位：</w:t>
            </w:r>
            <w:r>
              <w:rPr>
                <w:rFonts w:hint="default" w:ascii="Times New Roman" w:hAnsi="Times New Roman"/>
                <w:b w:val="0"/>
                <w:bCs w:val="0"/>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255.17</w:t>
            </w: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15.44</w:t>
            </w:r>
            <w:r>
              <w:rPr>
                <w:rFonts w:hint="default" w:ascii="Times New Roman" w:hAnsi="Times New Roman"/>
                <w:b w:val="0"/>
                <w:bCs w:val="0"/>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15.44</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255.17</w:t>
            </w: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11.93</w:t>
            </w:r>
            <w:r>
              <w:rPr>
                <w:rFonts w:hint="default" w:ascii="Times New Roman" w:hAnsi="Times New Roman"/>
                <w:b w:val="0"/>
                <w:bCs w:val="0"/>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11.93</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4</w:t>
            </w: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11.93</w:t>
            </w:r>
            <w:r>
              <w:rPr>
                <w:rFonts w:hint="default" w:ascii="Times New Roman" w:hAnsi="Times New Roman"/>
                <w:b w:val="0"/>
                <w:bCs w:val="0"/>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11.93</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3.51</w:t>
            </w:r>
            <w:r>
              <w:rPr>
                <w:rFonts w:hint="default" w:ascii="Times New Roman" w:hAnsi="Times New Roman"/>
                <w:b w:val="0"/>
                <w:bCs w:val="0"/>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3.51</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3.51</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w:t>
            </w: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3</w:t>
            </w: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3</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59</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586</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sz w:val="16"/>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1.33</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b w:val="0"/>
                <w:bCs w:val="0"/>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b w:val="0"/>
                <w:bCs w:val="0"/>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kern w:val="2"/>
                <w:sz w:val="16"/>
                <w:szCs w:val="16"/>
              </w:rPr>
            </w:pPr>
            <w:r>
              <w:rPr>
                <w:rFonts w:hint="default" w:ascii="Times New Roman" w:hAnsi="Times New Roman"/>
                <w:b w:val="0"/>
                <w:bCs w:val="0"/>
                <w:color w:val="000000"/>
                <w:kern w:val="2"/>
                <w:sz w:val="16"/>
                <w:szCs w:val="16"/>
              </w:rPr>
              <w:t>0.71</w:t>
            </w:r>
            <w:r>
              <w:rPr>
                <w:rFonts w:hint="default" w:ascii="Times New Roman" w:hAnsi="Times New Roman"/>
                <w:b w:val="0"/>
                <w:bCs w:val="0"/>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b w:val="0"/>
                <w:bCs w:val="0"/>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b w:val="0"/>
                <w:bCs w:val="0"/>
                <w:color w:val="000000"/>
                <w:kern w:val="2"/>
                <w:sz w:val="16"/>
                <w:szCs w:val="16"/>
              </w:rPr>
            </w:pPr>
          </w:p>
        </w:tc>
      </w:tr>
    </w:tbl>
    <w:p>
      <w:pPr>
        <w:rPr>
          <w:rFonts w:hint="default" w:ascii="Times New Roman" w:hAnsi="Times New Roman"/>
          <w:b w:val="0"/>
          <w:bCs w:val="0"/>
        </w:rPr>
      </w:pPr>
      <w:r>
        <w:rPr>
          <w:rFonts w:hint="default" w:ascii="Times New Roman" w:hAnsi="Times New Roman"/>
          <w:b w:val="0"/>
          <w:bCs w:val="0"/>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b w:val="0"/>
          <w:bCs w:val="0"/>
          <w:sz w:val="20"/>
          <w:szCs w:val="20"/>
        </w:rPr>
        <w:br w:type="textWrapping"/>
      </w:r>
      <w:r>
        <w:rPr>
          <w:rFonts w:hint="default" w:ascii="Times New Roman" w:hAnsi="Times New Roman"/>
          <w:b w:val="0"/>
          <w:bCs w:val="0"/>
          <w:sz w:val="20"/>
          <w:szCs w:val="20"/>
        </w:rPr>
        <w:t xml:space="preserve">      2.本套报表金额单位转换时可能存在尾数误差。</w:t>
      </w:r>
      <w:r>
        <w:rPr>
          <w:rFonts w:hint="default" w:ascii="Times New Roman" w:hAnsi="Times New Roman"/>
          <w:b w:val="0"/>
          <w:bCs w:val="0"/>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4"/>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3MGY4ZWQ5YzQ5ODk1YzU3MTg2MjAyOTM5MjllOGEifQ=="/>
  </w:docVars>
  <w:rsids>
    <w:rsidRoot w:val="00B03CCD"/>
    <w:rsid w:val="000C01CC"/>
    <w:rsid w:val="000D7702"/>
    <w:rsid w:val="00250008"/>
    <w:rsid w:val="002D0E5A"/>
    <w:rsid w:val="002E5443"/>
    <w:rsid w:val="004C12FF"/>
    <w:rsid w:val="00513214"/>
    <w:rsid w:val="00550ABE"/>
    <w:rsid w:val="005B023C"/>
    <w:rsid w:val="006137D7"/>
    <w:rsid w:val="00634FA8"/>
    <w:rsid w:val="0063613A"/>
    <w:rsid w:val="00656058"/>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A57B6"/>
    <w:rsid w:val="00CC6B99"/>
    <w:rsid w:val="00DD1A63"/>
    <w:rsid w:val="00DF7706"/>
    <w:rsid w:val="00E05175"/>
    <w:rsid w:val="00E654E2"/>
    <w:rsid w:val="00E76362"/>
    <w:rsid w:val="00F137D3"/>
    <w:rsid w:val="00F13C36"/>
    <w:rsid w:val="00F23C68"/>
    <w:rsid w:val="00F32C53"/>
    <w:rsid w:val="00F73F90"/>
    <w:rsid w:val="00F7623D"/>
    <w:rsid w:val="00F8598B"/>
    <w:rsid w:val="01474EBF"/>
    <w:rsid w:val="01F3521E"/>
    <w:rsid w:val="02D472E1"/>
    <w:rsid w:val="039865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720208"/>
    <w:rsid w:val="11ED0F98"/>
    <w:rsid w:val="11F03528"/>
    <w:rsid w:val="12C921C4"/>
    <w:rsid w:val="13871C70"/>
    <w:rsid w:val="13A71CB4"/>
    <w:rsid w:val="13AF1D43"/>
    <w:rsid w:val="13CE1647"/>
    <w:rsid w:val="13FD55AB"/>
    <w:rsid w:val="14200702"/>
    <w:rsid w:val="15E36452"/>
    <w:rsid w:val="163A6CEE"/>
    <w:rsid w:val="173708E3"/>
    <w:rsid w:val="17C374FC"/>
    <w:rsid w:val="189079DC"/>
    <w:rsid w:val="189B0D0B"/>
    <w:rsid w:val="18B43F7C"/>
    <w:rsid w:val="194A1770"/>
    <w:rsid w:val="19B906A4"/>
    <w:rsid w:val="1B6F15B6"/>
    <w:rsid w:val="1BAA2EDC"/>
    <w:rsid w:val="1C5C0973"/>
    <w:rsid w:val="1C852FF0"/>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AA7822"/>
    <w:rsid w:val="21556F04"/>
    <w:rsid w:val="22403BD3"/>
    <w:rsid w:val="236D2FA1"/>
    <w:rsid w:val="23DA37D9"/>
    <w:rsid w:val="243B4FF8"/>
    <w:rsid w:val="24B92327"/>
    <w:rsid w:val="24C14514"/>
    <w:rsid w:val="2533755C"/>
    <w:rsid w:val="25791755"/>
    <w:rsid w:val="26396DF4"/>
    <w:rsid w:val="27167136"/>
    <w:rsid w:val="27B23302"/>
    <w:rsid w:val="28CE2C77"/>
    <w:rsid w:val="29310A5F"/>
    <w:rsid w:val="29C37A35"/>
    <w:rsid w:val="2A076083"/>
    <w:rsid w:val="2A73162E"/>
    <w:rsid w:val="2AE57F09"/>
    <w:rsid w:val="2B167953"/>
    <w:rsid w:val="2B200583"/>
    <w:rsid w:val="2B8209DE"/>
    <w:rsid w:val="2C6762A3"/>
    <w:rsid w:val="2DD83755"/>
    <w:rsid w:val="2EBF7B3E"/>
    <w:rsid w:val="2EDE1934"/>
    <w:rsid w:val="2FA45109"/>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42E0E"/>
    <w:rsid w:val="35573069"/>
    <w:rsid w:val="355F6038"/>
    <w:rsid w:val="358C217E"/>
    <w:rsid w:val="35937598"/>
    <w:rsid w:val="36380F45"/>
    <w:rsid w:val="36C9128A"/>
    <w:rsid w:val="37055DE1"/>
    <w:rsid w:val="372E3953"/>
    <w:rsid w:val="37841E99"/>
    <w:rsid w:val="37BF1123"/>
    <w:rsid w:val="383C3F15"/>
    <w:rsid w:val="38BE4696"/>
    <w:rsid w:val="38F947CB"/>
    <w:rsid w:val="3939115E"/>
    <w:rsid w:val="396B1B4E"/>
    <w:rsid w:val="39B82A39"/>
    <w:rsid w:val="39C42CA8"/>
    <w:rsid w:val="39DC4FD6"/>
    <w:rsid w:val="39F03D7A"/>
    <w:rsid w:val="39F33306"/>
    <w:rsid w:val="3A2C1C67"/>
    <w:rsid w:val="3A421A28"/>
    <w:rsid w:val="3B1705E5"/>
    <w:rsid w:val="3B18334B"/>
    <w:rsid w:val="3B36794F"/>
    <w:rsid w:val="3B3A331F"/>
    <w:rsid w:val="3C566AD6"/>
    <w:rsid w:val="3C6A5B02"/>
    <w:rsid w:val="3D2757A1"/>
    <w:rsid w:val="3D3D4FC4"/>
    <w:rsid w:val="3DDF3AB1"/>
    <w:rsid w:val="3E1D0952"/>
    <w:rsid w:val="3E42660A"/>
    <w:rsid w:val="3E7555B1"/>
    <w:rsid w:val="3E787ED9"/>
    <w:rsid w:val="3EEC37F3"/>
    <w:rsid w:val="3F032E93"/>
    <w:rsid w:val="3F0527E5"/>
    <w:rsid w:val="3F694D83"/>
    <w:rsid w:val="3F731C77"/>
    <w:rsid w:val="3F885DCC"/>
    <w:rsid w:val="3FCD675E"/>
    <w:rsid w:val="3FFE2B67"/>
    <w:rsid w:val="4004000C"/>
    <w:rsid w:val="411B6CE5"/>
    <w:rsid w:val="412070D7"/>
    <w:rsid w:val="41314E40"/>
    <w:rsid w:val="41E0734B"/>
    <w:rsid w:val="426554D0"/>
    <w:rsid w:val="426C1EA8"/>
    <w:rsid w:val="42736402"/>
    <w:rsid w:val="42A71CDA"/>
    <w:rsid w:val="42E86A87"/>
    <w:rsid w:val="43307B09"/>
    <w:rsid w:val="438D0E97"/>
    <w:rsid w:val="43BB152F"/>
    <w:rsid w:val="44C37687"/>
    <w:rsid w:val="45CB699A"/>
    <w:rsid w:val="465B470D"/>
    <w:rsid w:val="469D6AD4"/>
    <w:rsid w:val="47067AAE"/>
    <w:rsid w:val="471E6C84"/>
    <w:rsid w:val="4748792B"/>
    <w:rsid w:val="475D719D"/>
    <w:rsid w:val="47674801"/>
    <w:rsid w:val="48225EF7"/>
    <w:rsid w:val="484474C0"/>
    <w:rsid w:val="488F422B"/>
    <w:rsid w:val="48E36915"/>
    <w:rsid w:val="495C4A24"/>
    <w:rsid w:val="497135DF"/>
    <w:rsid w:val="49894A7D"/>
    <w:rsid w:val="4A263DF2"/>
    <w:rsid w:val="4A6F6675"/>
    <w:rsid w:val="4B0502DF"/>
    <w:rsid w:val="4B135857"/>
    <w:rsid w:val="4B4F2639"/>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215E2B"/>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54CA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2FA"/>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BF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12629</Words>
  <Characters>18330</Characters>
  <Lines>176</Lines>
  <Paragraphs>49</Paragraphs>
  <TotalTime>19</TotalTime>
  <ScaleCrop>false</ScaleCrop>
  <LinksUpToDate>false</LinksUpToDate>
  <CharactersWithSpaces>20806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2024-09-26T17:06:56Z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