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i w:val="0"/>
          <w:iCs w:val="0"/>
          <w:caps w:val="0"/>
          <w:color w:val="333333"/>
          <w:spacing w:val="0"/>
          <w:sz w:val="45"/>
          <w:szCs w:val="45"/>
          <w:shd w:val="clear" w:fill="FFFFFF"/>
        </w:rPr>
        <w:t>丰都县仙女湖镇2021年部门决算情况说明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3" w:firstLineChars="200"/>
        <w:jc w:val="left"/>
        <w:textAlignment w:val="auto"/>
        <w:rPr>
          <w:rFonts w:hint="eastAsia" w:ascii="宋体" w:hAnsi="宋体" w:eastAsia="宋体" w:cs="宋体"/>
          <w:b/>
          <w:bCs/>
          <w:i w:val="0"/>
          <w:iCs w:val="0"/>
          <w:caps w:val="0"/>
          <w:color w:val="0D0D0D"/>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3" w:firstLineChars="200"/>
        <w:jc w:val="left"/>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0D0D0D"/>
          <w:spacing w:val="0"/>
          <w:sz w:val="32"/>
          <w:szCs w:val="32"/>
          <w:shd w:val="clear" w:fill="FFFFFF"/>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（一）职能职责：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1.执行本级人民代表大会决议以及上级国家行政机关的决定和命令；2.执行全镇的社会和经济发展计划、预算，管理辖区内的经济、教育、科技、文化、卫生、体育事业和财政、民政、治安、人民调解、安全生产监督管理、移民开发、计划生育等行政工作；3.保护社会主义的全民所有财产和劳动群众集体所有财产，保护公民私人所有的合法财产，维护社会秩序，保障公民的人身权利、民主权利和其他权利；4.保护各种经济组织的合法权益；5.贯彻执行党和国家的民族宗教政策，保障少数民族的权利和尊重少数民族的风俗习惯，尊重民族宗教信仰；6.保障宪法和法律赋予妇女的男女平等、婚姻自由等各项权利；7.接待办理人民群众来信来访，真实反映群众的意见和要求，保障地区稳定；8.承办上级党委、政府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我单位为财政全额拨款的行政事业单位，政府内设机构8个，直属事业单位5个。机关行政编制22名，行政后勤编制2名，事业编制28名。截至2021年12月31日，实有在编在岗行政职工19名，行政工勤2名，事业编25名。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3" w:firstLineChars="200"/>
        <w:jc w:val="both"/>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0D0D0D"/>
          <w:spacing w:val="0"/>
          <w:sz w:val="32"/>
          <w:szCs w:val="32"/>
          <w:shd w:val="clear" w:fill="FFFFFF"/>
        </w:rPr>
        <w:t>二、部门决算情况说明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（一）收入支出决算总体情况说明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本单位2021年度收入总计4394.05万元，上年结转结余0万元，支出总计4394.05万元。与2020年决算数相比，收支减少1350.49万元、减少23.5%，其主要原因是调资及对民生项目的完工及财政资金缩紧。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本单位收入为财政拨款预算收入及政府</w:t>
      </w:r>
      <w:r>
        <w:rPr>
          <w:rFonts w:hint="eastAsia" w:ascii="宋体" w:hAnsi="宋体" w:eastAsia="宋体" w:cs="宋体"/>
          <w:i w:val="0"/>
          <w:iCs w:val="0"/>
          <w:caps w:val="0"/>
          <w:color w:val="0D0D0D"/>
          <w:spacing w:val="0"/>
          <w:sz w:val="32"/>
          <w:szCs w:val="32"/>
          <w:shd w:val="clear" w:fill="FFFFFF"/>
          <w:lang w:eastAsia="zh-CN"/>
        </w:rPr>
        <w:t>性</w:t>
      </w:r>
      <w:r>
        <w:rPr>
          <w:rFonts w:hint="eastAsia" w:ascii="宋体" w:hAnsi="宋体" w:eastAsia="宋体" w:cs="宋体"/>
          <w:i w:val="0"/>
          <w:iCs w:val="0"/>
          <w:caps w:val="0"/>
          <w:color w:val="0D0D0D"/>
          <w:spacing w:val="0"/>
          <w:sz w:val="32"/>
          <w:szCs w:val="32"/>
          <w:shd w:val="clear" w:fill="FFFFFF"/>
        </w:rPr>
        <w:t>基金预算拨款，年终无结转结余。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本单位2021年度财政拨款支出主要用于以下方面：一般公共服务支出623.96万元；公共安全支出8.52万元；国防支出3.4万元；文化旅游体育与传媒支出61.38万元；社会保障和就业</w:t>
      </w:r>
      <w:bookmarkStart w:id="0" w:name="_GoBack"/>
      <w:bookmarkEnd w:id="0"/>
      <w:r>
        <w:rPr>
          <w:rFonts w:hint="eastAsia" w:ascii="宋体" w:hAnsi="宋体" w:eastAsia="宋体" w:cs="宋体"/>
          <w:i w:val="0"/>
          <w:iCs w:val="0"/>
          <w:caps w:val="0"/>
          <w:color w:val="0D0D0D"/>
          <w:spacing w:val="0"/>
          <w:sz w:val="32"/>
          <w:szCs w:val="32"/>
          <w:shd w:val="clear" w:fill="FFFFFF"/>
        </w:rPr>
        <w:t>支出232.95万元；卫生健康支出53.53万元；节能环保支出91.47万元；城乡社区支出270.07元，农林水支出2469.57万元；交通运输支出206.16万元；自然资源支出29.8住房保障支出309.59万元；灾害防治及应急管理支出3.7万元；其他支出29.95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（三）一般公共预算财政拨款基本支出决算情况说明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本部门2021年度一般公共财政拨款基本支出1501.42万元。其中：人员经费1206.05万元，较上年增加116.45万元，主要原因人员新增及工资变动。公用经费295.37万元，较上年减少79.32万元，主要原因为节控减支办公经费收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3" w:firstLineChars="200"/>
        <w:jc w:val="both"/>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0D0D0D"/>
          <w:spacing w:val="0"/>
          <w:sz w:val="32"/>
          <w:szCs w:val="32"/>
          <w:shd w:val="clear" w:fill="FFFFFF"/>
        </w:rPr>
        <w:t>三、“三公”经费情况说明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（一）“三公”经费支出总额情况。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2021年度本部门“三公”经费支出共计25.65万元，较年初预算减弱11.53万元，主要原因是未购公车并严控三公经费及公车运行维护费。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（二）“三公”经费分项支出情况。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公务</w:t>
      </w:r>
      <w:r>
        <w:rPr>
          <w:rFonts w:hint="eastAsia" w:ascii="宋体" w:hAnsi="宋体" w:eastAsia="宋体" w:cs="宋体"/>
          <w:i w:val="0"/>
          <w:iCs w:val="0"/>
          <w:caps w:val="0"/>
          <w:color w:val="0D0D0D"/>
          <w:spacing w:val="0"/>
          <w:sz w:val="32"/>
          <w:szCs w:val="32"/>
          <w:shd w:val="clear" w:fill="FFFFFF"/>
          <w:lang w:eastAsia="zh-CN"/>
        </w:rPr>
        <w:t>用</w:t>
      </w:r>
      <w:r>
        <w:rPr>
          <w:rFonts w:hint="eastAsia" w:ascii="宋体" w:hAnsi="宋体" w:eastAsia="宋体" w:cs="宋体"/>
          <w:i w:val="0"/>
          <w:iCs w:val="0"/>
          <w:caps w:val="0"/>
          <w:color w:val="0D0D0D"/>
          <w:spacing w:val="0"/>
          <w:sz w:val="32"/>
          <w:szCs w:val="32"/>
          <w:shd w:val="clear" w:fill="FFFFFF"/>
        </w:rPr>
        <w:t>车运行维护费15.18万元，主要用于县内镇域因公出行、下乡等工作所需车辆的燃料费、维修费、保险费等，费用支出较年初预算数减少5.7万元，主要原因是认真贯彻落实中央八项规定精神和厉行节约要求，按照只减不增的要求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公务接待费10.47万元，主要用于接待相关部门检查指导工作发生的接待支出，费用支出较上年减少19.43万元，主要原因是认真贯彻落实中央八项规定精神和厉行节约要求，按照只减不增的要求从严控制三公经费，严格遵守公务接待开支范围和开支标准，严格控制陪餐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3" w:firstLineChars="200"/>
        <w:jc w:val="both"/>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0D0D0D"/>
          <w:spacing w:val="0"/>
          <w:sz w:val="32"/>
          <w:szCs w:val="32"/>
          <w:shd w:val="clear" w:fill="FFFFFF"/>
        </w:rPr>
        <w:t>四、专业名词解释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（一）财政拨款收入：指本年度从上级财政部门取得的财政拨款，包括一般公共预算财政拨款和政府性基金预算财政拨款。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（二）年初结转和结余：指单位上年结转本年使用的基本支出结转、项目支出结转和结余、经营结余。不包括事业单位净资产项下的事业基金和专用基金。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三）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（四）年末结转和结余：指单位结转下年的基本支出结转、项目支出结转和结余、经营结余。不包括事业单位净资产项下的事业基金和专用基金。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（六）项目支出：指在基本支出之外为完成特定行政任务和事业发展目标所发生的支出。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八）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（九）工资福利支出（支出经济分类科目类级）：反映单位开支的在职职工和编制外长期聘用人员的各类劳动报酬，以及为上述人员缴纳的各项社会保险费等。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（十）商品和服务支出（支出经济分类科目类级）：反映单位购买商品和服务的支出（不包括用于购置固定资产的支出、战略性和应急储备支出）。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（十一）对个人和家庭的补助（支出经济分类科目类级）：反映用于对个人和家庭的补助支出。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十二）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3" w:firstLineChars="200"/>
        <w:jc w:val="both"/>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0D0D0D"/>
          <w:spacing w:val="0"/>
          <w:sz w:val="32"/>
          <w:szCs w:val="32"/>
          <w:shd w:val="clear" w:fill="FFFFFF"/>
        </w:rPr>
        <w:t>五、决算公开联系方式及信息反馈渠道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本单位决算公开信息反馈和联系方式023-70639014。 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420" w:lineRule="auto"/>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0D0D0D"/>
          <w:spacing w:val="0"/>
          <w:sz w:val="32"/>
          <w:szCs w:val="32"/>
          <w:shd w:val="clear" w:fill="FFFFFF"/>
        </w:rPr>
        <w:t>附件：2021年部门决算公开表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52E4CE8"/>
    <w:rsid w:val="28C73466"/>
    <w:rsid w:val="3D44CC75"/>
    <w:rsid w:val="452E4CE8"/>
    <w:rsid w:val="532D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heme="minorBidi"/>
      <w:kern w:val="2"/>
      <w:sz w:val="32"/>
      <w:szCs w:val="33"/>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2341</Words>
  <Characters>2526</Characters>
  <Lines>0</Lines>
  <Paragraphs>0</Paragraphs>
  <TotalTime>8</TotalTime>
  <ScaleCrop>false</ScaleCrop>
  <LinksUpToDate>false</LinksUpToDate>
  <CharactersWithSpaces>2526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2023-11-16T20:47:00Z</dcterms:created>
  <dc:creator>灿宝</dc:creator>
  <cp:lastModifiedBy>迂于与钰.</cp:lastModifiedBy>
  <dcterms:modified xsi:type="dcterms:W3CDTF">2024-06-28T06:56:51Z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B98870C54107451789268BCB29391CCD_11</vt:lpwstr>
  </property>
</Properties>
</file>