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keepNext w:val="0"/>
        <w:keepLines w:val="0"/>
        <w:pageBreakBefore w:val="0"/>
        <w:widowControl/>
        <w:shd w:val="clear" w:color="auto" w:fill="FFFFFF"/>
        <w:kinsoku/>
        <w:wordWrap/>
        <w:overflowPunct/>
        <w:topLinePunct w:val="0"/>
        <w:autoSpaceDE/>
        <w:autoSpaceDN/>
        <w:bidi w:val="0"/>
        <w:adjustRightInd/>
        <w:snapToGrid/>
        <w:spacing w:beforeAutospacing="0" w:after="180" w:afterAutospacing="0" w:line="510" w:lineRule="exact"/>
        <w:jc w:val="center"/>
        <w:textAlignment w:val="auto"/>
        <w:rPr>
          <w:rStyle w:val="13"/>
          <w:rFonts w:hint="eastAsia" w:ascii="Times New Roman" w:hAnsi="Times New Roman" w:eastAsia="方正小标宋_GBK" w:cs="Times New Roman"/>
          <w:b w:val="0"/>
          <w:color w:val="auto"/>
          <w:spacing w:val="0"/>
          <w:sz w:val="44"/>
          <w:szCs w:val="44"/>
          <w:highlight w:val="none"/>
          <w:shd w:val="clear" w:color="auto" w:fill="FFFFFF"/>
          <w:lang w:eastAsia="zh-CN"/>
        </w:rPr>
      </w:pPr>
      <w:r>
        <w:rPr>
          <w:rStyle w:val="13"/>
          <w:rFonts w:hint="eastAsia" w:eastAsia="方正小标宋_GBK" w:cs="Times New Roman"/>
          <w:b w:val="0"/>
          <w:color w:val="auto"/>
          <w:spacing w:val="0"/>
          <w:sz w:val="44"/>
          <w:szCs w:val="44"/>
          <w:highlight w:val="none"/>
          <w:shd w:val="clear" w:color="auto" w:fill="FFFFFF"/>
          <w:lang w:eastAsia="zh-CN"/>
        </w:rPr>
        <w:t>丰都县仙女湖镇人民政府</w:t>
      </w:r>
    </w:p>
    <w:p>
      <w:pPr>
        <w:pStyle w:val="9"/>
        <w:keepNext w:val="0"/>
        <w:keepLines w:val="0"/>
        <w:pageBreakBefore w:val="0"/>
        <w:widowControl/>
        <w:shd w:val="clear" w:color="auto" w:fill="FFFFFF"/>
        <w:kinsoku/>
        <w:wordWrap/>
        <w:overflowPunct/>
        <w:topLinePunct w:val="0"/>
        <w:autoSpaceDE/>
        <w:autoSpaceDN/>
        <w:bidi w:val="0"/>
        <w:adjustRightInd/>
        <w:snapToGrid/>
        <w:spacing w:beforeAutospacing="0" w:after="180" w:afterAutospacing="0" w:line="510" w:lineRule="exact"/>
        <w:jc w:val="center"/>
        <w:textAlignment w:val="auto"/>
        <w:rPr>
          <w:rStyle w:val="13"/>
          <w:rFonts w:hint="default" w:ascii="Times New Roman" w:hAnsi="Times New Roman" w:eastAsia="方正小标宋_GBK" w:cs="Times New Roman"/>
          <w:b w:val="0"/>
          <w:color w:val="auto"/>
          <w:spacing w:val="0"/>
          <w:sz w:val="44"/>
          <w:szCs w:val="44"/>
          <w:highlight w:val="none"/>
          <w:shd w:val="clear" w:color="auto" w:fill="FFFFFF"/>
        </w:rPr>
      </w:pPr>
      <w:r>
        <w:rPr>
          <w:rStyle w:val="13"/>
          <w:rFonts w:hint="default" w:ascii="Times New Roman" w:hAnsi="Times New Roman" w:eastAsia="方正小标宋_GBK" w:cs="Times New Roman"/>
          <w:b w:val="0"/>
          <w:color w:val="auto"/>
          <w:spacing w:val="0"/>
          <w:sz w:val="44"/>
          <w:szCs w:val="44"/>
          <w:highlight w:val="none"/>
          <w:shd w:val="clear" w:color="auto" w:fill="FFFFFF"/>
        </w:rPr>
        <w:t>关于</w:t>
      </w:r>
      <w:r>
        <w:rPr>
          <w:rStyle w:val="13"/>
          <w:rFonts w:hint="eastAsia" w:ascii="Times New Roman" w:hAnsi="Times New Roman" w:eastAsia="方正小标宋_GBK" w:cs="Times New Roman"/>
          <w:b w:val="0"/>
          <w:color w:val="auto"/>
          <w:spacing w:val="0"/>
          <w:sz w:val="44"/>
          <w:szCs w:val="44"/>
          <w:highlight w:val="none"/>
          <w:shd w:val="clear" w:color="auto" w:fill="FFFFFF"/>
          <w:lang w:val="en-US" w:eastAsia="zh-CN"/>
        </w:rPr>
        <w:t>2024</w:t>
      </w:r>
      <w:r>
        <w:rPr>
          <w:rStyle w:val="13"/>
          <w:rFonts w:hint="default" w:ascii="Times New Roman" w:hAnsi="Times New Roman" w:eastAsia="方正小标宋_GBK" w:cs="Times New Roman"/>
          <w:b w:val="0"/>
          <w:color w:val="auto"/>
          <w:spacing w:val="0"/>
          <w:sz w:val="44"/>
          <w:szCs w:val="44"/>
          <w:highlight w:val="none"/>
          <w:shd w:val="clear" w:color="auto" w:fill="FFFFFF"/>
        </w:rPr>
        <w:t>年财政预算执行情况和</w:t>
      </w:r>
      <w:r>
        <w:rPr>
          <w:rStyle w:val="13"/>
          <w:rFonts w:hint="eastAsia" w:ascii="Times New Roman" w:hAnsi="Times New Roman" w:eastAsia="方正小标宋_GBK" w:cs="Times New Roman"/>
          <w:b w:val="0"/>
          <w:color w:val="auto"/>
          <w:spacing w:val="0"/>
          <w:sz w:val="44"/>
          <w:szCs w:val="44"/>
          <w:highlight w:val="none"/>
          <w:shd w:val="clear" w:color="auto" w:fill="FFFFFF"/>
          <w:lang w:val="en-US" w:eastAsia="zh-CN"/>
        </w:rPr>
        <w:t>2025</w:t>
      </w:r>
      <w:r>
        <w:rPr>
          <w:rStyle w:val="13"/>
          <w:rFonts w:hint="default" w:ascii="Times New Roman" w:hAnsi="Times New Roman" w:eastAsia="方正小标宋_GBK" w:cs="Times New Roman"/>
          <w:b w:val="0"/>
          <w:color w:val="auto"/>
          <w:spacing w:val="0"/>
          <w:sz w:val="44"/>
          <w:szCs w:val="44"/>
          <w:highlight w:val="none"/>
          <w:shd w:val="clear" w:color="auto" w:fill="FFFFFF"/>
        </w:rPr>
        <w:t>年</w:t>
      </w:r>
    </w:p>
    <w:p>
      <w:pPr>
        <w:pStyle w:val="9"/>
        <w:keepNext w:val="0"/>
        <w:keepLines w:val="0"/>
        <w:pageBreakBefore w:val="0"/>
        <w:widowControl/>
        <w:shd w:val="clear" w:color="auto" w:fill="FFFFFF"/>
        <w:kinsoku/>
        <w:wordWrap/>
        <w:overflowPunct/>
        <w:topLinePunct w:val="0"/>
        <w:autoSpaceDE/>
        <w:autoSpaceDN/>
        <w:bidi w:val="0"/>
        <w:adjustRightInd/>
        <w:snapToGrid/>
        <w:spacing w:beforeAutospacing="0" w:after="180" w:afterAutospacing="0" w:line="510" w:lineRule="exact"/>
        <w:jc w:val="center"/>
        <w:textAlignment w:val="auto"/>
        <w:rPr>
          <w:rStyle w:val="13"/>
          <w:rFonts w:hint="eastAsia" w:ascii="Times New Roman" w:hAnsi="Times New Roman" w:eastAsia="方正小标宋_GBK" w:cs="Times New Roman"/>
          <w:b w:val="0"/>
          <w:color w:val="auto"/>
          <w:spacing w:val="0"/>
          <w:sz w:val="44"/>
          <w:szCs w:val="44"/>
          <w:highlight w:val="none"/>
          <w:shd w:val="clear" w:color="auto" w:fill="FFFFFF"/>
          <w:lang w:eastAsia="zh-CN"/>
        </w:rPr>
      </w:pPr>
      <w:r>
        <w:rPr>
          <w:rStyle w:val="13"/>
          <w:rFonts w:hint="default" w:ascii="Times New Roman" w:hAnsi="Times New Roman" w:eastAsia="方正小标宋_GBK" w:cs="Times New Roman"/>
          <w:b w:val="0"/>
          <w:color w:val="auto"/>
          <w:spacing w:val="0"/>
          <w:sz w:val="44"/>
          <w:szCs w:val="44"/>
          <w:highlight w:val="none"/>
          <w:shd w:val="clear" w:color="auto" w:fill="FFFFFF"/>
        </w:rPr>
        <w:t>财政预算的报告</w:t>
      </w:r>
    </w:p>
    <w:p>
      <w:pPr>
        <w:pStyle w:val="9"/>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jc w:val="center"/>
        <w:textAlignment w:val="auto"/>
        <w:rPr>
          <w:rFonts w:hint="default" w:ascii="Times New Roman" w:hAnsi="Times New Roman" w:eastAsia="方正楷体_GBK" w:cs="Times New Roman"/>
          <w:color w:val="auto"/>
          <w:sz w:val="32"/>
          <w:szCs w:val="32"/>
          <w:shd w:val="clear" w:color="auto" w:fill="FFFFFF"/>
        </w:rPr>
      </w:pPr>
      <w:r>
        <w:rPr>
          <w:rFonts w:hint="default" w:ascii="Times New Roman" w:hAnsi="Times New Roman" w:eastAsia="方正楷体_GBK" w:cs="Times New Roman"/>
          <w:color w:val="auto"/>
          <w:sz w:val="32"/>
          <w:szCs w:val="32"/>
          <w:shd w:val="clear" w:color="auto" w:fill="FFFFFF"/>
        </w:rPr>
        <w:t>——在丰都县仙女湖镇第八届人民代表大会第</w:t>
      </w:r>
      <w:r>
        <w:rPr>
          <w:rFonts w:hint="default" w:ascii="Times New Roman" w:hAnsi="Times New Roman" w:eastAsia="方正楷体_GBK" w:cs="Times New Roman"/>
          <w:color w:val="auto"/>
          <w:sz w:val="32"/>
          <w:szCs w:val="32"/>
          <w:shd w:val="clear" w:color="auto" w:fill="FFFFFF"/>
          <w:lang w:val="en-US" w:eastAsia="zh-CN"/>
        </w:rPr>
        <w:t>七</w:t>
      </w:r>
      <w:r>
        <w:rPr>
          <w:rFonts w:hint="default" w:ascii="Times New Roman" w:hAnsi="Times New Roman" w:eastAsia="方正楷体_GBK" w:cs="Times New Roman"/>
          <w:color w:val="auto"/>
          <w:sz w:val="32"/>
          <w:szCs w:val="32"/>
          <w:shd w:val="clear" w:color="auto" w:fill="FFFFFF"/>
        </w:rPr>
        <w:t>次会议上</w:t>
      </w:r>
    </w:p>
    <w:p>
      <w:pPr>
        <w:pStyle w:val="9"/>
        <w:keepNext w:val="0"/>
        <w:keepLines w:val="0"/>
        <w:pageBreakBefore w:val="0"/>
        <w:widowControl/>
        <w:shd w:val="clear" w:color="auto" w:fill="FFFFFF"/>
        <w:kinsoku/>
        <w:wordWrap/>
        <w:overflowPunct/>
        <w:topLinePunct w:val="0"/>
        <w:autoSpaceDE/>
        <w:autoSpaceDN/>
        <w:bidi w:val="0"/>
        <w:adjustRightInd/>
        <w:snapToGrid/>
        <w:spacing w:beforeAutospacing="0" w:after="180" w:afterAutospacing="0" w:line="510" w:lineRule="exact"/>
        <w:jc w:val="center"/>
        <w:textAlignment w:val="auto"/>
        <w:rPr>
          <w:rFonts w:hint="default"/>
          <w:color w:val="auto"/>
        </w:rPr>
      </w:pPr>
      <w:r>
        <w:rPr>
          <w:rFonts w:hint="default" w:ascii="Times New Roman" w:hAnsi="Times New Roman" w:eastAsia="方正楷体_GBK" w:cs="Times New Roman"/>
          <w:color w:val="auto"/>
          <w:sz w:val="32"/>
          <w:szCs w:val="32"/>
          <w:shd w:val="clear" w:color="auto" w:fill="FFFFFF"/>
        </w:rPr>
        <w:t>（202</w:t>
      </w:r>
      <w:r>
        <w:rPr>
          <w:rFonts w:hint="default" w:ascii="Times New Roman" w:hAnsi="Times New Roman" w:eastAsia="方正楷体_GBK" w:cs="Times New Roman"/>
          <w:color w:val="auto"/>
          <w:sz w:val="32"/>
          <w:szCs w:val="32"/>
          <w:shd w:val="clear" w:color="auto" w:fill="FFFFFF"/>
          <w:lang w:val="en-US" w:eastAsia="zh-CN"/>
        </w:rPr>
        <w:t>5</w:t>
      </w:r>
      <w:r>
        <w:rPr>
          <w:rFonts w:hint="default" w:ascii="Times New Roman" w:hAnsi="Times New Roman" w:eastAsia="方正楷体_GBK" w:cs="Times New Roman"/>
          <w:color w:val="auto"/>
          <w:sz w:val="32"/>
          <w:szCs w:val="32"/>
          <w:shd w:val="clear" w:color="auto" w:fill="FFFFFF"/>
        </w:rPr>
        <w:t>年</w:t>
      </w:r>
      <w:r>
        <w:rPr>
          <w:rFonts w:hint="default" w:ascii="Times New Roman" w:hAnsi="Times New Roman" w:eastAsia="方正楷体_GBK" w:cs="Times New Roman"/>
          <w:color w:val="auto"/>
          <w:sz w:val="32"/>
          <w:szCs w:val="32"/>
          <w:shd w:val="clear" w:color="auto" w:fill="FFFFFF"/>
          <w:lang w:val="en-US" w:eastAsia="zh-CN"/>
        </w:rPr>
        <w:t>4</w:t>
      </w:r>
      <w:r>
        <w:rPr>
          <w:rFonts w:hint="default" w:ascii="Times New Roman" w:hAnsi="Times New Roman" w:eastAsia="方正楷体_GBK" w:cs="Times New Roman"/>
          <w:color w:val="auto"/>
          <w:sz w:val="32"/>
          <w:szCs w:val="32"/>
          <w:shd w:val="clear" w:color="auto" w:fill="FFFFFF"/>
        </w:rPr>
        <w:t>月</w:t>
      </w:r>
      <w:r>
        <w:rPr>
          <w:rFonts w:hint="eastAsia" w:ascii="Times New Roman" w:hAnsi="Times New Roman" w:eastAsia="方正楷体_GBK" w:cs="Times New Roman"/>
          <w:color w:val="auto"/>
          <w:sz w:val="32"/>
          <w:szCs w:val="32"/>
          <w:shd w:val="clear" w:color="auto" w:fill="FFFFFF"/>
          <w:lang w:val="en-US" w:eastAsia="zh-CN"/>
        </w:rPr>
        <w:t>25</w:t>
      </w:r>
      <w:r>
        <w:rPr>
          <w:rFonts w:hint="default" w:ascii="Times New Roman" w:hAnsi="Times New Roman" w:eastAsia="方正楷体_GBK" w:cs="Times New Roman"/>
          <w:color w:val="auto"/>
          <w:sz w:val="32"/>
          <w:szCs w:val="32"/>
          <w:shd w:val="clear" w:color="auto" w:fill="FFFFFF"/>
        </w:rPr>
        <w:t>日）</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方正黑体_GBK" w:eastAsia="方正黑体_GBK"/>
          <w:color w:val="auto"/>
          <w:kern w:val="0"/>
          <w:sz w:val="32"/>
          <w:szCs w:val="32"/>
        </w:rPr>
      </w:pPr>
      <w:r>
        <w:rPr>
          <w:rFonts w:hint="eastAsia" w:ascii="方正黑体_GBK" w:eastAsia="方正黑体_GBK"/>
          <w:color w:val="auto"/>
          <w:kern w:val="0"/>
          <w:sz w:val="32"/>
          <w:szCs w:val="32"/>
        </w:rPr>
        <w:t>一、2024年财政预算执行情况</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方正楷体_GBK" w:hAnsi="Times New Roman" w:eastAsia="方正楷体_GBK" w:cs="Times New Roman"/>
          <w:color w:val="auto"/>
          <w:kern w:val="0"/>
          <w:sz w:val="32"/>
          <w:szCs w:val="32"/>
        </w:rPr>
      </w:pPr>
      <w:r>
        <w:rPr>
          <w:rFonts w:hint="eastAsia" w:ascii="方正楷体_GBK" w:hAnsi="Times New Roman" w:eastAsia="方正楷体_GBK" w:cs="Times New Roman"/>
          <w:color w:val="auto"/>
          <w:kern w:val="0"/>
          <w:sz w:val="32"/>
          <w:szCs w:val="32"/>
        </w:rPr>
        <w:t>（一）一般公共预算</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rPr>
        <w:t>1.收入情况。2024年仙女湖镇一般公共预算收入总计为</w:t>
      </w:r>
      <w:r>
        <w:rPr>
          <w:rFonts w:hint="default" w:ascii="Times New Roman" w:hAnsi="Times New Roman" w:eastAsia="方正仿宋_GBK" w:cs="Times New Roman"/>
          <w:color w:val="auto"/>
          <w:kern w:val="0"/>
          <w:sz w:val="32"/>
          <w:szCs w:val="32"/>
          <w:highlight w:val="none"/>
          <w:lang w:val="en-US" w:eastAsia="zh-CN"/>
        </w:rPr>
        <w:t>3002.73</w:t>
      </w:r>
      <w:r>
        <w:rPr>
          <w:rFonts w:hint="default" w:ascii="Times New Roman" w:hAnsi="Times New Roman" w:eastAsia="方正仿宋_GBK" w:cs="Times New Roman"/>
          <w:color w:val="auto"/>
          <w:kern w:val="0"/>
          <w:sz w:val="32"/>
          <w:szCs w:val="32"/>
        </w:rPr>
        <w:t>万元，为年度预算数的100</w:t>
      </w:r>
      <w:r>
        <w:rPr>
          <w:rFonts w:hint="default" w:ascii="Times New Roman" w:hAnsi="Times New Roman"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，同比</w:t>
      </w:r>
      <w:r>
        <w:rPr>
          <w:rFonts w:hint="default" w:ascii="Times New Roman" w:hAnsi="Times New Roman" w:eastAsia="方正仿宋_GBK" w:cs="Times New Roman"/>
          <w:color w:val="auto"/>
          <w:kern w:val="0"/>
          <w:sz w:val="32"/>
          <w:szCs w:val="32"/>
          <w:highlight w:val="none"/>
        </w:rPr>
        <w:t>减少</w:t>
      </w:r>
      <w:r>
        <w:rPr>
          <w:rFonts w:hint="default" w:ascii="Times New Roman" w:hAnsi="Times New Roman" w:eastAsia="方正仿宋_GBK" w:cs="Times New Roman"/>
          <w:color w:val="auto"/>
          <w:kern w:val="0"/>
          <w:sz w:val="32"/>
          <w:szCs w:val="32"/>
          <w:highlight w:val="none"/>
          <w:lang w:val="en-US" w:eastAsia="zh-CN"/>
        </w:rPr>
        <w:t>114.64</w:t>
      </w:r>
      <w:r>
        <w:rPr>
          <w:rFonts w:hint="default" w:ascii="Times New Roman" w:hAnsi="Times New Roman" w:eastAsia="方正仿宋_GBK" w:cs="Times New Roman"/>
          <w:color w:val="auto"/>
          <w:kern w:val="0"/>
          <w:sz w:val="32"/>
          <w:szCs w:val="32"/>
          <w:highlight w:val="none"/>
        </w:rPr>
        <w:t>万元。</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highlight w:val="none"/>
        </w:rPr>
        <w:t>2.支出情况。2024年仙女湖镇一般公共预算支出总计为</w:t>
      </w:r>
      <w:r>
        <w:rPr>
          <w:rFonts w:hint="default" w:ascii="Times New Roman" w:hAnsi="Times New Roman" w:eastAsia="方正仿宋_GBK" w:cs="Times New Roman"/>
          <w:color w:val="auto"/>
          <w:kern w:val="0"/>
          <w:sz w:val="32"/>
          <w:szCs w:val="32"/>
          <w:highlight w:val="none"/>
          <w:lang w:val="en-US" w:eastAsia="zh-CN"/>
        </w:rPr>
        <w:t>2975.73</w:t>
      </w:r>
      <w:r>
        <w:rPr>
          <w:rFonts w:hint="default" w:ascii="Times New Roman" w:hAnsi="Times New Roman" w:eastAsia="方正仿宋_GBK" w:cs="Times New Roman"/>
          <w:color w:val="auto"/>
          <w:kern w:val="0"/>
          <w:sz w:val="32"/>
          <w:szCs w:val="32"/>
          <w:highlight w:val="none"/>
        </w:rPr>
        <w:t>万元，为年度预算数的</w:t>
      </w:r>
      <w:r>
        <w:rPr>
          <w:rFonts w:hint="default" w:ascii="Times New Roman" w:hAnsi="Times New Roman" w:eastAsia="方正仿宋_GBK" w:cs="Times New Roman"/>
          <w:color w:val="auto"/>
          <w:kern w:val="0"/>
          <w:sz w:val="32"/>
          <w:szCs w:val="32"/>
          <w:highlight w:val="none"/>
          <w:lang w:val="en-US" w:eastAsia="zh-CN"/>
        </w:rPr>
        <w:t>99.10</w:t>
      </w:r>
      <w:r>
        <w:rPr>
          <w:rFonts w:hint="default" w:ascii="Times New Roman" w:hAnsi="Times New Roman" w:eastAsia="方正仿宋_GBK" w:cs="Times New Roman"/>
          <w:color w:val="auto"/>
          <w:kern w:val="0"/>
          <w:sz w:val="32"/>
          <w:szCs w:val="32"/>
          <w:highlight w:val="none"/>
        </w:rPr>
        <w:t>%，同比减少</w:t>
      </w:r>
      <w:r>
        <w:rPr>
          <w:rFonts w:hint="default" w:ascii="Times New Roman" w:hAnsi="Times New Roman" w:eastAsia="方正仿宋_GBK" w:cs="Times New Roman"/>
          <w:color w:val="auto"/>
          <w:kern w:val="0"/>
          <w:sz w:val="32"/>
          <w:szCs w:val="32"/>
          <w:highlight w:val="none"/>
          <w:lang w:val="en-US" w:eastAsia="zh-CN"/>
        </w:rPr>
        <w:t>114.64</w:t>
      </w:r>
      <w:r>
        <w:rPr>
          <w:rFonts w:hint="default" w:ascii="Times New Roman" w:hAnsi="Times New Roman" w:eastAsia="方正仿宋_GBK" w:cs="Times New Roman"/>
          <w:color w:val="auto"/>
          <w:kern w:val="0"/>
          <w:sz w:val="32"/>
          <w:szCs w:val="32"/>
        </w:rPr>
        <w:t>万元。年终结余27万元，年终结余为历年结余，未批准动用。支出分项情况如下：</w:t>
      </w:r>
    </w:p>
    <w:p>
      <w:pPr>
        <w:keepNext w:val="0"/>
        <w:keepLines w:val="0"/>
        <w:pageBreakBefore w:val="0"/>
        <w:widowControl/>
        <w:suppressLineNumbers w:val="0"/>
        <w:kinsoku/>
        <w:wordWrap/>
        <w:overflowPunct/>
        <w:topLinePunct w:val="0"/>
        <w:autoSpaceDE/>
        <w:autoSpaceDN/>
        <w:bidi w:val="0"/>
        <w:adjustRightInd/>
        <w:snapToGrid/>
        <w:spacing w:line="570" w:lineRule="exact"/>
        <w:ind w:firstLine="640" w:firstLineChars="20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（1）一般公共服务支出684.66万元，</w:t>
      </w:r>
      <w:r>
        <w:rPr>
          <w:rFonts w:hint="default" w:ascii="Times New Roman" w:hAnsi="Times New Roman" w:eastAsia="方正仿宋_GBK" w:cs="Times New Roman"/>
          <w:color w:val="auto"/>
          <w:kern w:val="0"/>
          <w:sz w:val="32"/>
          <w:szCs w:val="32"/>
          <w:lang w:val="en-US" w:eastAsia="zh-CN"/>
        </w:rPr>
        <w:t>主要用于保障党政机关、人大、人民团体、机关事业单位履职运转及</w:t>
      </w:r>
      <w:r>
        <w:rPr>
          <w:rFonts w:hint="eastAsia" w:ascii="Times New Roman" w:hAnsi="Times New Roman" w:eastAsia="方正仿宋_GBK" w:cs="Times New Roman"/>
          <w:color w:val="auto"/>
          <w:kern w:val="0"/>
          <w:sz w:val="32"/>
          <w:szCs w:val="32"/>
          <w:lang w:val="en-US" w:eastAsia="zh-CN"/>
        </w:rPr>
        <w:t>日常办公支出</w:t>
      </w:r>
      <w:r>
        <w:rPr>
          <w:rFonts w:hint="eastAsia" w:eastAsia="方正仿宋_GBK" w:cs="Times New Roman"/>
          <w:color w:val="auto"/>
          <w:kern w:val="0"/>
          <w:sz w:val="32"/>
          <w:szCs w:val="32"/>
          <w:lang w:val="en-US" w:eastAsia="zh-CN"/>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（2）文化体育与传媒支出70.58万元，主要用于</w:t>
      </w:r>
      <w:r>
        <w:rPr>
          <w:rFonts w:hint="eastAsia" w:ascii="Times New Roman" w:hAnsi="Times New Roman" w:eastAsia="方正仿宋_GBK" w:cs="Times New Roman"/>
          <w:color w:val="auto"/>
          <w:kern w:val="0"/>
          <w:sz w:val="32"/>
          <w:szCs w:val="32"/>
          <w:lang w:eastAsia="zh-CN"/>
        </w:rPr>
        <w:t>文化旅游宣传、体育活动筹办、文物保护、广播应急、新风书院免费开放等支出</w:t>
      </w:r>
      <w:r>
        <w:rPr>
          <w:rFonts w:hint="default" w:ascii="Times New Roman" w:hAnsi="Times New Roman" w:eastAsia="方正仿宋_GBK" w:cs="Times New Roman"/>
          <w:color w:val="auto"/>
          <w:kern w:val="0"/>
          <w:sz w:val="32"/>
          <w:szCs w:val="32"/>
        </w:rPr>
        <w:t>；</w:t>
      </w:r>
    </w:p>
    <w:p>
      <w:pPr>
        <w:keepNext w:val="0"/>
        <w:keepLines w:val="0"/>
        <w:pageBreakBefore w:val="0"/>
        <w:widowControl w:val="0"/>
        <w:suppressLineNumbers w:val="0"/>
        <w:kinsoku/>
        <w:wordWrap/>
        <w:overflowPunct/>
        <w:topLinePunct w:val="0"/>
        <w:autoSpaceDE/>
        <w:autoSpaceDN/>
        <w:bidi w:val="0"/>
        <w:adjustRightInd/>
        <w:snapToGrid/>
        <w:spacing w:line="570" w:lineRule="exact"/>
        <w:ind w:firstLine="640" w:firstLineChars="20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（3）社会保障和就业支出462.42万元，</w:t>
      </w:r>
      <w:r>
        <w:rPr>
          <w:rFonts w:hint="default" w:ascii="Times New Roman" w:hAnsi="Times New Roman" w:eastAsia="方正仿宋_GBK" w:cs="Times New Roman"/>
          <w:color w:val="auto"/>
          <w:kern w:val="0"/>
          <w:sz w:val="32"/>
          <w:szCs w:val="32"/>
          <w:lang w:val="en-US" w:eastAsia="zh-CN"/>
        </w:rPr>
        <w:t>主要用于民政特困低保救助、养老服务建设、残疾人</w:t>
      </w:r>
      <w:r>
        <w:rPr>
          <w:rFonts w:hint="eastAsia" w:ascii="Times New Roman" w:hAnsi="Times New Roman" w:eastAsia="方正仿宋_GBK" w:cs="Times New Roman"/>
          <w:color w:val="auto"/>
          <w:kern w:val="0"/>
          <w:sz w:val="32"/>
          <w:szCs w:val="32"/>
          <w:lang w:val="en-US" w:eastAsia="zh-CN"/>
        </w:rPr>
        <w:t>救助帮扶</w:t>
      </w:r>
      <w:r>
        <w:rPr>
          <w:rFonts w:hint="default" w:ascii="Times New Roman" w:hAnsi="Times New Roman" w:eastAsia="方正仿宋_GBK" w:cs="Times New Roman"/>
          <w:color w:val="auto"/>
          <w:kern w:val="0"/>
          <w:sz w:val="32"/>
          <w:szCs w:val="32"/>
          <w:lang w:val="en-US" w:eastAsia="zh-CN"/>
        </w:rPr>
        <w:t>、就业</w:t>
      </w:r>
      <w:r>
        <w:rPr>
          <w:rFonts w:hint="eastAsia" w:ascii="Times New Roman" w:hAnsi="Times New Roman" w:eastAsia="方正仿宋_GBK" w:cs="Times New Roman"/>
          <w:color w:val="auto"/>
          <w:kern w:val="0"/>
          <w:sz w:val="32"/>
          <w:szCs w:val="32"/>
          <w:lang w:val="en-US" w:eastAsia="zh-CN"/>
        </w:rPr>
        <w:t>扶持</w:t>
      </w:r>
      <w:r>
        <w:rPr>
          <w:rFonts w:hint="default" w:ascii="Times New Roman" w:hAnsi="Times New Roman" w:eastAsia="方正仿宋_GBK" w:cs="Times New Roman"/>
          <w:color w:val="auto"/>
          <w:kern w:val="0"/>
          <w:sz w:val="32"/>
          <w:szCs w:val="32"/>
          <w:lang w:val="en-US" w:eastAsia="zh-CN"/>
        </w:rPr>
        <w:t>、退役军人事务、精神障碍患者住院补助、伤残定期抚恤</w:t>
      </w:r>
      <w:r>
        <w:rPr>
          <w:rFonts w:hint="eastAsia" w:ascii="Times New Roman" w:hAnsi="Times New Roman" w:eastAsia="方正仿宋_GBK" w:cs="Times New Roman"/>
          <w:color w:val="auto"/>
          <w:kern w:val="0"/>
          <w:sz w:val="32"/>
          <w:szCs w:val="32"/>
          <w:lang w:val="en-US" w:eastAsia="zh-CN"/>
        </w:rPr>
        <w:t>等支出</w:t>
      </w:r>
      <w:r>
        <w:rPr>
          <w:rFonts w:hint="default" w:ascii="Times New Roman" w:hAnsi="Times New Roman" w:eastAsia="方正仿宋_GBK" w:cs="Times New Roman"/>
          <w:color w:val="auto"/>
          <w:kern w:val="0"/>
          <w:sz w:val="32"/>
          <w:szCs w:val="32"/>
        </w:rPr>
        <w:t>；</w:t>
      </w:r>
    </w:p>
    <w:p>
      <w:pPr>
        <w:keepNext w:val="0"/>
        <w:keepLines w:val="0"/>
        <w:pageBreakBefore w:val="0"/>
        <w:widowControl w:val="0"/>
        <w:suppressLineNumbers w:val="0"/>
        <w:kinsoku/>
        <w:wordWrap/>
        <w:overflowPunct/>
        <w:topLinePunct w:val="0"/>
        <w:autoSpaceDE/>
        <w:autoSpaceDN/>
        <w:bidi w:val="0"/>
        <w:adjustRightInd/>
        <w:snapToGrid/>
        <w:spacing w:line="570" w:lineRule="exact"/>
        <w:ind w:firstLine="640" w:firstLineChars="200"/>
        <w:jc w:val="left"/>
        <w:textAlignment w:val="auto"/>
        <w:rPr>
          <w:rFonts w:hint="eastAsia"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rPr>
        <w:t>（4）卫生健康支出58.57万元，</w:t>
      </w:r>
      <w:r>
        <w:rPr>
          <w:rFonts w:hint="eastAsia" w:ascii="Times New Roman" w:hAnsi="Times New Roman" w:eastAsia="方正仿宋_GBK" w:cs="Times New Roman"/>
          <w:color w:val="auto"/>
          <w:kern w:val="0"/>
          <w:sz w:val="32"/>
          <w:szCs w:val="32"/>
          <w:lang w:val="en-US" w:eastAsia="zh-CN"/>
        </w:rPr>
        <w:t>主要用于城乡居民医疗保险、医疗救助、基本公共卫生、重大传染疾病防控、医疗服务保障能力提升等支出</w:t>
      </w:r>
      <w:r>
        <w:rPr>
          <w:rFonts w:hint="default" w:ascii="Times New Roman" w:hAnsi="Times New Roman" w:eastAsia="方正仿宋_GBK" w:cs="Times New Roman"/>
          <w:color w:val="auto"/>
          <w:kern w:val="0"/>
          <w:sz w:val="32"/>
          <w:szCs w:val="32"/>
        </w:rPr>
        <w:t>；</w:t>
      </w:r>
    </w:p>
    <w:p>
      <w:pPr>
        <w:keepNext w:val="0"/>
        <w:keepLines w:val="0"/>
        <w:pageBreakBefore w:val="0"/>
        <w:widowControl/>
        <w:numPr>
          <w:ilvl w:val="0"/>
          <w:numId w:val="1"/>
        </w:numPr>
        <w:suppressLineNumbers w:val="0"/>
        <w:kinsoku/>
        <w:wordWrap/>
        <w:overflowPunct/>
        <w:topLinePunct w:val="0"/>
        <w:autoSpaceDE/>
        <w:autoSpaceDN/>
        <w:bidi w:val="0"/>
        <w:adjustRightInd/>
        <w:snapToGrid/>
        <w:spacing w:line="570" w:lineRule="exact"/>
        <w:ind w:firstLine="640" w:firstLineChars="20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城乡社区支出102.95万元，</w:t>
      </w:r>
      <w:r>
        <w:rPr>
          <w:rFonts w:hint="default" w:ascii="Times New Roman" w:hAnsi="Times New Roman" w:eastAsia="方正仿宋_GBK" w:cs="Times New Roman"/>
          <w:color w:val="auto"/>
          <w:kern w:val="0"/>
          <w:sz w:val="32"/>
          <w:szCs w:val="32"/>
          <w:lang w:val="en-US" w:eastAsia="zh-CN"/>
        </w:rPr>
        <w:t>主要用于</w:t>
      </w:r>
      <w:r>
        <w:rPr>
          <w:rFonts w:hint="eastAsia" w:ascii="Times New Roman" w:hAnsi="Times New Roman" w:eastAsia="方正仿宋_GBK" w:cs="Times New Roman"/>
          <w:color w:val="auto"/>
          <w:kern w:val="0"/>
          <w:sz w:val="32"/>
          <w:szCs w:val="32"/>
          <w:lang w:val="en-US" w:eastAsia="zh-CN"/>
        </w:rPr>
        <w:t>乡镇场镇建设、老旧建筑升级改造、场镇清扫清洁、人居环境维护、交通基础建设工程及美丽宜居乡镇建设等支出</w:t>
      </w:r>
      <w:r>
        <w:rPr>
          <w:rFonts w:hint="default" w:ascii="Times New Roman" w:hAnsi="Times New Roman" w:eastAsia="方正仿宋_GBK" w:cs="Times New Roman"/>
          <w:color w:val="auto"/>
          <w:kern w:val="0"/>
          <w:sz w:val="32"/>
          <w:szCs w:val="32"/>
        </w:rPr>
        <w:t>；</w:t>
      </w:r>
    </w:p>
    <w:p>
      <w:pPr>
        <w:keepNext w:val="0"/>
        <w:keepLines w:val="0"/>
        <w:pageBreakBefore w:val="0"/>
        <w:widowControl/>
        <w:suppressLineNumbers w:val="0"/>
        <w:kinsoku/>
        <w:wordWrap/>
        <w:overflowPunct/>
        <w:topLinePunct w:val="0"/>
        <w:autoSpaceDE/>
        <w:autoSpaceDN/>
        <w:bidi w:val="0"/>
        <w:adjustRightInd/>
        <w:snapToGrid/>
        <w:spacing w:line="570" w:lineRule="exact"/>
        <w:ind w:firstLine="640" w:firstLineChars="200"/>
        <w:jc w:val="left"/>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rPr>
        <w:t>（6）农林水支出1472.53万元，</w:t>
      </w:r>
      <w:r>
        <w:rPr>
          <w:rFonts w:hint="default" w:ascii="Times New Roman" w:hAnsi="Times New Roman" w:eastAsia="方正仿宋_GBK" w:cs="Times New Roman"/>
          <w:color w:val="auto"/>
          <w:kern w:val="0"/>
          <w:sz w:val="32"/>
          <w:szCs w:val="32"/>
          <w:lang w:val="en-US" w:eastAsia="zh-CN"/>
        </w:rPr>
        <w:t>主要用于对村民委员会和村党支部的补助</w:t>
      </w:r>
      <w:r>
        <w:rPr>
          <w:rFonts w:hint="eastAsia" w:ascii="Times New Roman" w:hAnsi="Times New Roman"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val="en-US" w:eastAsia="zh-CN"/>
        </w:rPr>
        <w:t>农业生产发展、病虫害控制、农村合作经济、农</w:t>
      </w:r>
      <w:r>
        <w:rPr>
          <w:rFonts w:hint="eastAsia" w:ascii="Times New Roman" w:hAnsi="Times New Roman" w:eastAsia="方正仿宋_GBK" w:cs="Times New Roman"/>
          <w:color w:val="auto"/>
          <w:kern w:val="0"/>
          <w:sz w:val="32"/>
          <w:szCs w:val="32"/>
          <w:lang w:val="en-US" w:eastAsia="zh-CN"/>
        </w:rPr>
        <w:t>林</w:t>
      </w:r>
      <w:r>
        <w:rPr>
          <w:rFonts w:hint="default" w:ascii="Times New Roman" w:hAnsi="Times New Roman" w:eastAsia="方正仿宋_GBK" w:cs="Times New Roman"/>
          <w:color w:val="auto"/>
          <w:kern w:val="0"/>
          <w:sz w:val="32"/>
          <w:szCs w:val="32"/>
          <w:lang w:val="en-US" w:eastAsia="zh-CN"/>
        </w:rPr>
        <w:t>业生态资源保护、水利</w:t>
      </w:r>
      <w:r>
        <w:rPr>
          <w:rFonts w:hint="eastAsia" w:ascii="Times New Roman" w:hAnsi="Times New Roman" w:eastAsia="方正仿宋_GBK" w:cs="Times New Roman"/>
          <w:color w:val="auto"/>
          <w:kern w:val="0"/>
          <w:sz w:val="32"/>
          <w:szCs w:val="32"/>
          <w:lang w:val="en-US" w:eastAsia="zh-CN"/>
        </w:rPr>
        <w:t>设施建设维护</w:t>
      </w:r>
      <w:r>
        <w:rPr>
          <w:rFonts w:hint="default" w:ascii="Times New Roman" w:hAnsi="Times New Roman" w:eastAsia="方正仿宋_GBK" w:cs="Times New Roman"/>
          <w:color w:val="auto"/>
          <w:kern w:val="0"/>
          <w:sz w:val="32"/>
          <w:szCs w:val="32"/>
          <w:lang w:val="en-US" w:eastAsia="zh-CN"/>
        </w:rPr>
        <w:t>、巩固拓展脱贫攻坚成果同乡村振兴有效衔接、农村综合改革等支出；</w:t>
      </w:r>
    </w:p>
    <w:p>
      <w:pPr>
        <w:keepNext w:val="0"/>
        <w:keepLines w:val="0"/>
        <w:pageBreakBefore w:val="0"/>
        <w:widowControl/>
        <w:suppressLineNumbers w:val="0"/>
        <w:kinsoku/>
        <w:wordWrap/>
        <w:overflowPunct/>
        <w:topLinePunct w:val="0"/>
        <w:autoSpaceDE/>
        <w:autoSpaceDN/>
        <w:bidi w:val="0"/>
        <w:adjustRightInd/>
        <w:snapToGrid/>
        <w:spacing w:line="570" w:lineRule="exact"/>
        <w:ind w:firstLine="640" w:firstLineChars="20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lang w:val="en-US" w:eastAsia="zh-CN"/>
        </w:rPr>
        <w:t>（7）交通运输支出17.22万元，主要用于</w:t>
      </w:r>
      <w:r>
        <w:rPr>
          <w:rFonts w:hint="eastAsia" w:ascii="Times New Roman" w:hAnsi="Times New Roman" w:eastAsia="方正仿宋_GBK" w:cs="Times New Roman"/>
          <w:color w:val="auto"/>
          <w:kern w:val="0"/>
          <w:sz w:val="32"/>
          <w:szCs w:val="32"/>
          <w:lang w:val="en-US" w:eastAsia="zh-CN"/>
        </w:rPr>
        <w:t>乡镇</w:t>
      </w:r>
      <w:r>
        <w:rPr>
          <w:rFonts w:hint="default" w:ascii="Times New Roman" w:hAnsi="Times New Roman" w:eastAsia="方正仿宋_GBK" w:cs="Times New Roman"/>
          <w:color w:val="auto"/>
          <w:kern w:val="0"/>
          <w:sz w:val="32"/>
          <w:szCs w:val="32"/>
          <w:lang w:val="en-US" w:eastAsia="zh-CN"/>
        </w:rPr>
        <w:t>公路改扩建</w:t>
      </w:r>
      <w:r>
        <w:rPr>
          <w:rFonts w:hint="eastAsia" w:ascii="Times New Roman" w:hAnsi="Times New Roman" w:eastAsia="方正仿宋_GBK" w:cs="Times New Roman"/>
          <w:color w:val="auto"/>
          <w:kern w:val="0"/>
          <w:sz w:val="32"/>
          <w:szCs w:val="32"/>
          <w:lang w:val="en-US" w:eastAsia="zh-CN"/>
        </w:rPr>
        <w:t>、乡镇</w:t>
      </w:r>
      <w:r>
        <w:rPr>
          <w:rFonts w:hint="default" w:ascii="Times New Roman" w:hAnsi="Times New Roman" w:eastAsia="方正仿宋_GBK" w:cs="Times New Roman"/>
          <w:color w:val="auto"/>
          <w:kern w:val="0"/>
          <w:sz w:val="32"/>
          <w:szCs w:val="32"/>
          <w:lang w:val="en-US" w:eastAsia="zh-CN"/>
        </w:rPr>
        <w:t>道</w:t>
      </w:r>
      <w:r>
        <w:rPr>
          <w:rFonts w:hint="eastAsia" w:ascii="Times New Roman" w:hAnsi="Times New Roman" w:eastAsia="方正仿宋_GBK" w:cs="Times New Roman"/>
          <w:color w:val="auto"/>
          <w:kern w:val="0"/>
          <w:sz w:val="32"/>
          <w:szCs w:val="32"/>
          <w:lang w:val="en-US" w:eastAsia="zh-CN"/>
        </w:rPr>
        <w:t>路</w:t>
      </w:r>
      <w:r>
        <w:rPr>
          <w:rFonts w:hint="default" w:ascii="Times New Roman" w:hAnsi="Times New Roman" w:eastAsia="方正仿宋_GBK" w:cs="Times New Roman"/>
          <w:color w:val="auto"/>
          <w:kern w:val="0"/>
          <w:sz w:val="32"/>
          <w:szCs w:val="32"/>
          <w:lang w:val="en-US" w:eastAsia="zh-CN"/>
        </w:rPr>
        <w:t>应急抢险、公路养护补助、交通综合执法等</w:t>
      </w:r>
      <w:r>
        <w:rPr>
          <w:rFonts w:hint="eastAsia" w:ascii="Times New Roman" w:hAnsi="Times New Roman" w:eastAsia="方正仿宋_GBK" w:cs="Times New Roman"/>
          <w:color w:val="auto"/>
          <w:kern w:val="0"/>
          <w:sz w:val="32"/>
          <w:szCs w:val="32"/>
          <w:lang w:val="en-US" w:eastAsia="zh-CN"/>
        </w:rPr>
        <w:t>支出</w:t>
      </w:r>
      <w:r>
        <w:rPr>
          <w:rFonts w:hint="default" w:ascii="Times New Roman" w:hAnsi="Times New Roman" w:eastAsia="方正仿宋_GBK" w:cs="Times New Roman"/>
          <w:color w:val="auto"/>
          <w:kern w:val="0"/>
          <w:sz w:val="32"/>
          <w:szCs w:val="32"/>
        </w:rPr>
        <w:t>；</w:t>
      </w:r>
    </w:p>
    <w:p>
      <w:pPr>
        <w:keepNext w:val="0"/>
        <w:keepLines w:val="0"/>
        <w:pageBreakBefore w:val="0"/>
        <w:widowControl/>
        <w:suppressLineNumbers w:val="0"/>
        <w:kinsoku/>
        <w:wordWrap/>
        <w:overflowPunct/>
        <w:topLinePunct w:val="0"/>
        <w:autoSpaceDE/>
        <w:autoSpaceDN/>
        <w:bidi w:val="0"/>
        <w:adjustRightInd/>
        <w:snapToGrid/>
        <w:spacing w:line="570" w:lineRule="exact"/>
        <w:ind w:firstLine="640" w:firstLineChars="20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（8）住房保障支出77.98万元，主要用于职工住房公积金缴纳</w:t>
      </w:r>
      <w:r>
        <w:rPr>
          <w:rFonts w:hint="eastAsia" w:ascii="Times New Roman" w:hAnsi="Times New Roman" w:eastAsia="方正仿宋_GBK" w:cs="Times New Roman"/>
          <w:color w:val="auto"/>
          <w:kern w:val="0"/>
          <w:sz w:val="32"/>
          <w:szCs w:val="32"/>
          <w:lang w:eastAsia="zh-CN"/>
        </w:rPr>
        <w:t>支出</w:t>
      </w:r>
      <w:r>
        <w:rPr>
          <w:rFonts w:hint="default" w:ascii="Times New Roman" w:hAnsi="Times New Roman" w:eastAsia="方正仿宋_GBK" w:cs="Times New Roman"/>
          <w:color w:val="auto"/>
          <w:kern w:val="0"/>
          <w:sz w:val="32"/>
          <w:szCs w:val="32"/>
        </w:rPr>
        <w:t>；</w:t>
      </w:r>
    </w:p>
    <w:p>
      <w:pPr>
        <w:keepNext w:val="0"/>
        <w:keepLines w:val="0"/>
        <w:pageBreakBefore w:val="0"/>
        <w:widowControl/>
        <w:suppressLineNumbers w:val="0"/>
        <w:kinsoku/>
        <w:wordWrap/>
        <w:overflowPunct/>
        <w:topLinePunct w:val="0"/>
        <w:autoSpaceDE/>
        <w:autoSpaceDN/>
        <w:bidi w:val="0"/>
        <w:adjustRightInd/>
        <w:snapToGrid/>
        <w:spacing w:line="570" w:lineRule="exact"/>
        <w:ind w:firstLine="640" w:firstLineChars="20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（9）灾害防治及应急管理支出28.82万元，</w:t>
      </w:r>
      <w:r>
        <w:rPr>
          <w:rFonts w:hint="default" w:ascii="Times New Roman" w:hAnsi="Times New Roman" w:eastAsia="方正仿宋_GBK" w:cs="Times New Roman"/>
          <w:color w:val="auto"/>
          <w:kern w:val="0"/>
          <w:sz w:val="32"/>
          <w:szCs w:val="32"/>
          <w:lang w:val="en-US" w:eastAsia="zh-CN"/>
        </w:rPr>
        <w:t>主要用于自然灾害防治、自然灾害救灾及恢复重建</w:t>
      </w:r>
      <w:r>
        <w:rPr>
          <w:rFonts w:hint="eastAsia" w:ascii="Times New Roman" w:hAnsi="Times New Roman" w:eastAsia="方正仿宋_GBK" w:cs="Times New Roman"/>
          <w:color w:val="auto"/>
          <w:kern w:val="0"/>
          <w:sz w:val="32"/>
          <w:szCs w:val="32"/>
          <w:lang w:val="en-US" w:eastAsia="zh-CN"/>
        </w:rPr>
        <w:t>、应急救灾物资储备</w:t>
      </w:r>
      <w:r>
        <w:rPr>
          <w:rFonts w:hint="default" w:ascii="Times New Roman" w:hAnsi="Times New Roman" w:eastAsia="方正仿宋_GBK" w:cs="Times New Roman"/>
          <w:color w:val="auto"/>
          <w:kern w:val="0"/>
          <w:sz w:val="32"/>
          <w:szCs w:val="32"/>
          <w:lang w:val="en-US" w:eastAsia="zh-CN"/>
        </w:rPr>
        <w:t>等支出。</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（二）政府性基金预算</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1.收入情况。2024年仙女湖镇政府性基金预算收入总计为420.80万元，为年度预算数的100%，同比减少4.04万元。</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2.支出情况。2024年仙女湖镇政府性基金预算支出总计为31.8</w:t>
      </w:r>
      <w:r>
        <w:rPr>
          <w:rFonts w:hint="eastAsia" w:ascii="Times New Roman" w:hAnsi="Times New Roman" w:eastAsia="方正仿宋_GBK" w:cs="Times New Roman"/>
          <w:color w:val="auto"/>
          <w:kern w:val="0"/>
          <w:sz w:val="32"/>
          <w:szCs w:val="32"/>
          <w:lang w:val="en-US" w:eastAsia="zh-CN"/>
        </w:rPr>
        <w:t>0</w:t>
      </w:r>
      <w:r>
        <w:rPr>
          <w:rFonts w:hint="default" w:ascii="Times New Roman" w:hAnsi="Times New Roman" w:eastAsia="方正仿宋_GBK" w:cs="Times New Roman"/>
          <w:color w:val="auto"/>
          <w:kern w:val="0"/>
          <w:sz w:val="32"/>
          <w:szCs w:val="32"/>
        </w:rPr>
        <w:t>万元</w:t>
      </w:r>
      <w:r>
        <w:rPr>
          <w:rFonts w:hint="eastAsia"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为年度预算数7.56%，同比减少4.04万元。</w:t>
      </w:r>
      <w:r>
        <w:rPr>
          <w:rFonts w:hint="default" w:ascii="Times New Roman" w:hAnsi="Times New Roman" w:eastAsia="方正仿宋_GBK" w:cs="Times New Roman"/>
          <w:color w:val="auto"/>
          <w:kern w:val="0"/>
          <w:sz w:val="32"/>
          <w:szCs w:val="32"/>
          <w:highlight w:val="none"/>
        </w:rPr>
        <w:t>年终结余389万元</w:t>
      </w:r>
      <w:r>
        <w:rPr>
          <w:rFonts w:hint="default" w:ascii="Times New Roman" w:hAnsi="Times New Roman" w:eastAsia="方正仿宋_GBK" w:cs="Times New Roman"/>
          <w:color w:val="auto"/>
          <w:kern w:val="0"/>
          <w:sz w:val="32"/>
          <w:szCs w:val="32"/>
        </w:rPr>
        <w:t>，年终结余为历年结余，未批准动用。主要用于</w:t>
      </w:r>
      <w:r>
        <w:rPr>
          <w:rFonts w:hint="default" w:ascii="Times New Roman" w:hAnsi="Times New Roman" w:eastAsia="方正仿宋_GBK" w:cs="Times New Roman"/>
          <w:color w:val="auto"/>
          <w:kern w:val="0"/>
          <w:sz w:val="32"/>
          <w:szCs w:val="32"/>
          <w:lang w:eastAsia="zh-CN"/>
        </w:rPr>
        <w:t>三峡后续工作支出</w:t>
      </w:r>
      <w:r>
        <w:rPr>
          <w:rFonts w:hint="default" w:ascii="Times New Roman" w:hAnsi="Times New Roman" w:eastAsia="方正仿宋_GBK" w:cs="Times New Roman"/>
          <w:color w:val="auto"/>
          <w:kern w:val="0"/>
          <w:sz w:val="32"/>
          <w:szCs w:val="32"/>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方正楷体_GBK" w:hAnsi="Times New Roman" w:eastAsia="方正楷体_GBK" w:cs="Times New Roman"/>
          <w:color w:val="auto"/>
          <w:kern w:val="0"/>
          <w:sz w:val="32"/>
          <w:szCs w:val="32"/>
        </w:rPr>
      </w:pPr>
      <w:r>
        <w:rPr>
          <w:rFonts w:hint="eastAsia" w:ascii="方正楷体_GBK" w:hAnsi="Times New Roman" w:eastAsia="方正楷体_GBK" w:cs="Times New Roman"/>
          <w:color w:val="auto"/>
          <w:kern w:val="0"/>
          <w:sz w:val="32"/>
          <w:szCs w:val="32"/>
        </w:rPr>
        <w:t>（三）</w:t>
      </w:r>
      <w:r>
        <w:rPr>
          <w:rFonts w:ascii="Times New Roman" w:hAnsi="Times New Roman" w:eastAsia="方正楷体_GBK" w:cs="Times New Roman"/>
          <w:color w:val="auto"/>
          <w:kern w:val="0"/>
          <w:sz w:val="32"/>
          <w:szCs w:val="32"/>
        </w:rPr>
        <w:t>202</w:t>
      </w:r>
      <w:r>
        <w:rPr>
          <w:rFonts w:hint="eastAsia" w:ascii="Times New Roman" w:hAnsi="Times New Roman" w:eastAsia="方正楷体_GBK" w:cs="Times New Roman"/>
          <w:color w:val="auto"/>
          <w:kern w:val="0"/>
          <w:sz w:val="32"/>
          <w:szCs w:val="32"/>
        </w:rPr>
        <w:t>4</w:t>
      </w:r>
      <w:r>
        <w:rPr>
          <w:rFonts w:hint="eastAsia" w:ascii="方正楷体_GBK" w:hAnsi="Times New Roman" w:eastAsia="方正楷体_GBK" w:cs="Times New Roman"/>
          <w:color w:val="auto"/>
          <w:kern w:val="0"/>
          <w:sz w:val="32"/>
          <w:szCs w:val="32"/>
        </w:rPr>
        <w:t>年重点财政工作</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rPr>
        <w:t>一是加强预算管理，按照上级财政对纳入预算的项目支出实行绩效管理要求，建立健全预算绩效管理工作机制和管理制度，通过开展财政绩效评价工作，管好用好财政资金，提高财政预算执行率。</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rPr>
        <w:t>二是坚持厉行节约，严格把控支出关口，严格审核支出票据，进一步加强支出必要性和规范性审核，完善政府采购管理，严控“三公”经费支出。</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Times New Roman" w:hAnsi="Times New Roman" w:eastAsia="方正仿宋_GBK" w:cs="Times New Roman"/>
          <w:color w:val="auto"/>
          <w:sz w:val="32"/>
          <w:szCs w:val="32"/>
          <w:lang w:eastAsia="zh-CN"/>
        </w:rPr>
      </w:pPr>
      <w:r>
        <w:rPr>
          <w:rFonts w:hint="eastAsia" w:ascii="Times New Roman" w:hAnsi="Times New Roman" w:eastAsia="方正仿宋_GBK" w:cs="Times New Roman"/>
          <w:color w:val="auto"/>
          <w:sz w:val="32"/>
          <w:szCs w:val="32"/>
          <w:lang w:val="en-US" w:eastAsia="zh-CN"/>
        </w:rPr>
        <w:t>三</w:t>
      </w:r>
      <w:r>
        <w:rPr>
          <w:rFonts w:hint="eastAsia" w:ascii="Times New Roman" w:hAnsi="Times New Roman" w:eastAsia="方正仿宋_GBK" w:cs="Times New Roman"/>
          <w:color w:val="auto"/>
          <w:sz w:val="32"/>
          <w:szCs w:val="32"/>
        </w:rPr>
        <w:t>是</w:t>
      </w:r>
      <w:r>
        <w:rPr>
          <w:rFonts w:hint="eastAsia" w:ascii="Times New Roman" w:hAnsi="Times New Roman" w:eastAsia="方正仿宋_GBK" w:cs="Times New Roman"/>
          <w:color w:val="auto"/>
          <w:sz w:val="32"/>
          <w:szCs w:val="32"/>
          <w:lang w:val="en-US" w:eastAsia="zh-CN"/>
        </w:rPr>
        <w:t>严管</w:t>
      </w:r>
      <w:r>
        <w:rPr>
          <w:rFonts w:hint="eastAsia" w:ascii="Times New Roman" w:hAnsi="Times New Roman" w:eastAsia="方正仿宋_GBK" w:cs="Times New Roman"/>
          <w:color w:val="auto"/>
          <w:sz w:val="32"/>
          <w:szCs w:val="32"/>
        </w:rPr>
        <w:t>村级财务。完成村委会和集体经济1-12</w:t>
      </w:r>
      <w:r>
        <w:rPr>
          <w:rFonts w:hint="eastAsia" w:ascii="Times New Roman" w:hAnsi="Times New Roman" w:eastAsia="方正仿宋_GBK" w:cs="Times New Roman"/>
          <w:color w:val="auto"/>
          <w:sz w:val="32"/>
          <w:szCs w:val="32"/>
          <w:lang w:eastAsia="zh-CN"/>
        </w:rPr>
        <w:t>月</w:t>
      </w:r>
      <w:r>
        <w:rPr>
          <w:rFonts w:hint="eastAsia" w:ascii="Times New Roman" w:hAnsi="Times New Roman" w:eastAsia="方正仿宋_GBK" w:cs="Times New Roman"/>
          <w:color w:val="auto"/>
          <w:sz w:val="32"/>
          <w:szCs w:val="32"/>
        </w:rPr>
        <w:t>会计核算并做账；组织村级财务专题培训1次，全面提高村干部认识，进一步规范报销程序</w:t>
      </w:r>
      <w:r>
        <w:rPr>
          <w:rFonts w:hint="eastAsia" w:ascii="Times New Roman" w:hAnsi="Times New Roman" w:eastAsia="方正仿宋_GBK" w:cs="Times New Roman"/>
          <w:color w:val="auto"/>
          <w:sz w:val="32"/>
          <w:szCs w:val="32"/>
          <w:lang w:eastAsia="zh-CN"/>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方正黑体_GBK" w:eastAsia="方正黑体_GBK"/>
          <w:color w:val="auto"/>
          <w:kern w:val="0"/>
          <w:sz w:val="32"/>
          <w:szCs w:val="32"/>
        </w:rPr>
      </w:pPr>
      <w:r>
        <w:rPr>
          <w:rFonts w:hint="eastAsia" w:ascii="方正黑体_GBK" w:eastAsia="方正黑体_GBK"/>
          <w:color w:val="auto"/>
          <w:kern w:val="0"/>
          <w:sz w:val="32"/>
          <w:szCs w:val="32"/>
        </w:rPr>
        <w:t>二、2025年财政预算</w:t>
      </w:r>
    </w:p>
    <w:p>
      <w:pPr>
        <w:pStyle w:val="9"/>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70" w:lineRule="exact"/>
        <w:ind w:firstLine="640" w:firstLineChars="200"/>
        <w:textAlignment w:val="auto"/>
        <w:rPr>
          <w:rFonts w:ascii="方正仿宋_GBK" w:eastAsia="方正仿宋_GBK" w:cs="Times New Roman"/>
          <w:color w:val="auto"/>
          <w:sz w:val="32"/>
          <w:szCs w:val="32"/>
        </w:rPr>
      </w:pPr>
      <w:r>
        <w:rPr>
          <w:rFonts w:hint="eastAsia" w:ascii="Times New Roman" w:hAnsi="Times New Roman" w:eastAsia="方正仿宋_GBK"/>
          <w:color w:val="auto"/>
          <w:sz w:val="32"/>
          <w:szCs w:val="32"/>
        </w:rPr>
        <w:t>2025年预算编制的总体思路是：</w:t>
      </w:r>
      <w:r>
        <w:rPr>
          <w:rFonts w:hint="eastAsia" w:ascii="Times New Roman" w:hAnsi="Times New Roman" w:eastAsia="方正仿宋_GBK"/>
          <w:color w:val="auto"/>
          <w:sz w:val="32"/>
          <w:szCs w:val="32"/>
          <w:lang w:val="en-US" w:eastAsia="zh-CN"/>
        </w:rPr>
        <w:t>紧紧</w:t>
      </w:r>
      <w:r>
        <w:rPr>
          <w:rFonts w:hint="eastAsia" w:ascii="Times New Roman" w:hAnsi="Times New Roman" w:eastAsia="方正仿宋_GBK"/>
          <w:color w:val="auto"/>
          <w:sz w:val="32"/>
          <w:szCs w:val="32"/>
        </w:rPr>
        <w:t>围绕镇党委、政府</w:t>
      </w:r>
      <w:r>
        <w:rPr>
          <w:rFonts w:hint="eastAsia" w:ascii="Times New Roman" w:hAnsi="Times New Roman" w:eastAsia="方正仿宋_GBK"/>
          <w:color w:val="auto"/>
          <w:sz w:val="32"/>
          <w:szCs w:val="32"/>
          <w:lang w:val="en-US" w:eastAsia="zh-CN"/>
        </w:rPr>
        <w:t>重要</w:t>
      </w:r>
      <w:r>
        <w:rPr>
          <w:rFonts w:hint="eastAsia" w:ascii="Times New Roman" w:hAnsi="Times New Roman" w:eastAsia="方正仿宋_GBK"/>
          <w:color w:val="auto"/>
          <w:sz w:val="32"/>
          <w:szCs w:val="32"/>
        </w:rPr>
        <w:t>工作部署</w:t>
      </w:r>
      <w:r>
        <w:rPr>
          <w:rFonts w:hint="eastAsia" w:ascii="Times New Roman" w:hAnsi="Times New Roman" w:eastAsia="方正仿宋_GBK"/>
          <w:color w:val="auto"/>
          <w:sz w:val="32"/>
          <w:szCs w:val="32"/>
          <w:lang w:eastAsia="zh-CN"/>
        </w:rPr>
        <w:t>，</w:t>
      </w:r>
      <w:r>
        <w:rPr>
          <w:rFonts w:ascii="Times New Roman" w:hAnsi="Times New Roman" w:eastAsia="方正仿宋_GBK" w:cs="Times New Roman"/>
          <w:color w:val="auto"/>
          <w:sz w:val="32"/>
          <w:szCs w:val="32"/>
        </w:rPr>
        <w:t>树</w:t>
      </w:r>
      <w:r>
        <w:rPr>
          <w:rFonts w:hint="eastAsia" w:ascii="方正仿宋_GB2312" w:hAnsi="方正仿宋_GB2312" w:eastAsia="方正仿宋_GB2312" w:cs="方正仿宋_GB2312"/>
          <w:color w:val="auto"/>
          <w:sz w:val="32"/>
          <w:szCs w:val="32"/>
        </w:rPr>
        <w:t>立过“紧日子”思想</w:t>
      </w:r>
      <w:r>
        <w:rPr>
          <w:rFonts w:hint="eastAsia" w:ascii="Times New Roman" w:hAnsi="Times New Roman" w:eastAsia="方正仿宋_GBK"/>
          <w:color w:val="auto"/>
          <w:sz w:val="32"/>
          <w:szCs w:val="32"/>
        </w:rPr>
        <w:t>，大力压减一般性支出和非必需的项目支出，兜牢“三保”底线，</w:t>
      </w:r>
      <w:r>
        <w:rPr>
          <w:rFonts w:hint="eastAsia" w:ascii="方正仿宋_GBK" w:eastAsia="方正仿宋_GBK" w:cs="Times New Roman"/>
          <w:color w:val="auto"/>
          <w:sz w:val="32"/>
          <w:szCs w:val="32"/>
        </w:rPr>
        <w:t>确保政府各项工作顺利推进</w:t>
      </w:r>
      <w:r>
        <w:rPr>
          <w:rFonts w:hint="eastAsia" w:ascii="Times New Roman" w:hAnsi="Times New Roman" w:eastAsia="方正仿宋_GBK"/>
          <w:color w:val="auto"/>
          <w:sz w:val="32"/>
          <w:szCs w:val="32"/>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方正楷体_GBK" w:hAnsi="Times New Roman" w:eastAsia="方正楷体_GBK" w:cs="Times New Roman"/>
          <w:color w:val="auto"/>
          <w:kern w:val="0"/>
          <w:sz w:val="32"/>
          <w:szCs w:val="32"/>
        </w:rPr>
      </w:pPr>
      <w:r>
        <w:rPr>
          <w:rFonts w:hint="eastAsia" w:ascii="方正楷体_GBK" w:hAnsi="Times New Roman" w:eastAsia="方正楷体_GBK" w:cs="Times New Roman"/>
          <w:color w:val="auto"/>
          <w:kern w:val="0"/>
          <w:sz w:val="32"/>
          <w:szCs w:val="32"/>
        </w:rPr>
        <w:t>（一）一般公共预算</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highlight w:val="none"/>
        </w:rPr>
        <w:t>2</w:t>
      </w:r>
      <w:r>
        <w:rPr>
          <w:rFonts w:ascii="Times New Roman" w:hAnsi="Times New Roman" w:eastAsia="方正仿宋_GBK" w:cs="Times New Roman"/>
          <w:color w:val="auto"/>
          <w:kern w:val="0"/>
          <w:sz w:val="32"/>
          <w:szCs w:val="32"/>
          <w:highlight w:val="none"/>
        </w:rPr>
        <w:t>02</w:t>
      </w:r>
      <w:r>
        <w:rPr>
          <w:rFonts w:hint="eastAsia" w:ascii="Times New Roman" w:hAnsi="Times New Roman" w:eastAsia="方正仿宋_GBK" w:cs="Times New Roman"/>
          <w:color w:val="auto"/>
          <w:kern w:val="0"/>
          <w:sz w:val="32"/>
          <w:szCs w:val="32"/>
          <w:highlight w:val="none"/>
        </w:rPr>
        <w:t>5年一般公共预算收入预期总计23</w:t>
      </w:r>
      <w:r>
        <w:rPr>
          <w:rFonts w:hint="eastAsia" w:ascii="Times New Roman" w:hAnsi="Times New Roman" w:eastAsia="方正仿宋_GBK" w:cs="Times New Roman"/>
          <w:color w:val="auto"/>
          <w:kern w:val="0"/>
          <w:sz w:val="32"/>
          <w:szCs w:val="32"/>
          <w:highlight w:val="none"/>
          <w:lang w:val="en-US" w:eastAsia="zh-CN"/>
        </w:rPr>
        <w:t>52</w:t>
      </w:r>
      <w:r>
        <w:rPr>
          <w:rFonts w:hint="eastAsia" w:ascii="Times New Roman" w:hAnsi="Times New Roman" w:eastAsia="方正仿宋_GBK" w:cs="Times New Roman"/>
          <w:color w:val="auto"/>
          <w:kern w:val="0"/>
          <w:sz w:val="32"/>
          <w:szCs w:val="32"/>
          <w:highlight w:val="none"/>
        </w:rPr>
        <w:t>.90万元，其中上级转移支付</w:t>
      </w:r>
      <w:r>
        <w:rPr>
          <w:rFonts w:hint="eastAsia" w:ascii="Times New Roman" w:hAnsi="Times New Roman" w:eastAsia="方正仿宋_GBK" w:cs="Times New Roman"/>
          <w:color w:val="auto"/>
          <w:kern w:val="0"/>
          <w:sz w:val="32"/>
          <w:szCs w:val="32"/>
          <w:highlight w:val="none"/>
          <w:lang w:val="en-US" w:eastAsia="zh-CN"/>
        </w:rPr>
        <w:t>2325.90</w:t>
      </w:r>
      <w:r>
        <w:rPr>
          <w:rFonts w:hint="eastAsia" w:ascii="Times New Roman" w:hAnsi="Times New Roman" w:eastAsia="方正仿宋_GBK" w:cs="Times New Roman"/>
          <w:color w:val="auto"/>
          <w:kern w:val="0"/>
          <w:sz w:val="32"/>
          <w:szCs w:val="32"/>
          <w:highlight w:val="none"/>
        </w:rPr>
        <w:t>万元</w:t>
      </w:r>
      <w:r>
        <w:rPr>
          <w:rFonts w:hint="eastAsia" w:ascii="Times New Roman" w:hAnsi="Times New Roman" w:eastAsia="方正仿宋_GBK" w:cs="Times New Roman"/>
          <w:color w:val="auto"/>
          <w:kern w:val="0"/>
          <w:sz w:val="32"/>
          <w:szCs w:val="32"/>
          <w:highlight w:val="none"/>
          <w:lang w:val="en-US" w:eastAsia="zh-CN"/>
        </w:rPr>
        <w:t>，</w:t>
      </w:r>
      <w:r>
        <w:rPr>
          <w:rFonts w:hint="eastAsia" w:ascii="Times New Roman" w:hAnsi="Times New Roman" w:eastAsia="方正仿宋_GBK" w:cs="Times New Roman"/>
          <w:color w:val="auto"/>
          <w:kern w:val="0"/>
          <w:sz w:val="32"/>
          <w:szCs w:val="32"/>
          <w:highlight w:val="none"/>
        </w:rPr>
        <w:t>上年结转27万元。根据收入安排相应的支出总计预算为23</w:t>
      </w:r>
      <w:r>
        <w:rPr>
          <w:rFonts w:hint="eastAsia" w:ascii="Times New Roman" w:hAnsi="Times New Roman" w:eastAsia="方正仿宋_GBK" w:cs="Times New Roman"/>
          <w:color w:val="auto"/>
          <w:kern w:val="0"/>
          <w:sz w:val="32"/>
          <w:szCs w:val="32"/>
          <w:highlight w:val="none"/>
          <w:lang w:val="en-US" w:eastAsia="zh-CN"/>
        </w:rPr>
        <w:t>52</w:t>
      </w:r>
      <w:r>
        <w:rPr>
          <w:rFonts w:hint="eastAsia" w:ascii="Times New Roman" w:hAnsi="Times New Roman" w:eastAsia="方正仿宋_GBK" w:cs="Times New Roman"/>
          <w:color w:val="auto"/>
          <w:kern w:val="0"/>
          <w:sz w:val="32"/>
          <w:szCs w:val="32"/>
          <w:highlight w:val="none"/>
        </w:rPr>
        <w:t>.90万元。支出的分类情况是：</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rPr>
        <w:t>1.一般公共服务支出</w:t>
      </w:r>
      <w:r>
        <w:rPr>
          <w:rFonts w:hint="eastAsia" w:ascii="Times New Roman" w:hAnsi="Times New Roman" w:eastAsia="方正仿宋_GBK" w:cs="Times New Roman"/>
          <w:color w:val="auto"/>
          <w:kern w:val="0"/>
          <w:sz w:val="32"/>
          <w:szCs w:val="32"/>
          <w:highlight w:val="none"/>
          <w:lang w:val="en-US" w:eastAsia="zh-CN"/>
        </w:rPr>
        <w:t>705.27</w:t>
      </w:r>
      <w:r>
        <w:rPr>
          <w:rFonts w:hint="eastAsia" w:ascii="Times New Roman" w:hAnsi="Times New Roman" w:eastAsia="方正仿宋_GBK" w:cs="Times New Roman"/>
          <w:color w:val="auto"/>
          <w:kern w:val="0"/>
          <w:sz w:val="32"/>
          <w:szCs w:val="32"/>
        </w:rPr>
        <w:t>万元，主要用于</w:t>
      </w:r>
      <w:r>
        <w:rPr>
          <w:rFonts w:ascii="方正仿宋_GBK" w:hAnsi="方正仿宋_GBK" w:eastAsia="方正仿宋_GBK" w:cs="方正仿宋_GBK"/>
          <w:color w:val="auto"/>
          <w:sz w:val="32"/>
          <w:szCs w:val="32"/>
          <w:shd w:val="clear" w:color="auto" w:fill="FFFFFF"/>
        </w:rPr>
        <w:t>党政机关、政府机关事务支出，人大工作事务支出</w:t>
      </w:r>
      <w:r>
        <w:rPr>
          <w:rFonts w:hint="eastAsia" w:ascii="方正仿宋_GBK" w:hAnsi="方正仿宋_GBK" w:eastAsia="方正仿宋_GBK" w:cs="方正仿宋_GBK"/>
          <w:color w:val="auto"/>
          <w:sz w:val="32"/>
          <w:szCs w:val="32"/>
          <w:shd w:val="clear" w:color="auto" w:fill="FFFFFF"/>
          <w:lang w:eastAsia="zh-CN"/>
        </w:rPr>
        <w:t>， 社会工作事务支出</w:t>
      </w:r>
      <w:r>
        <w:rPr>
          <w:rFonts w:ascii="方正仿宋_GBK" w:hAnsi="方正仿宋_GBK" w:eastAsia="方正仿宋_GBK" w:cs="方正仿宋_GBK"/>
          <w:color w:val="auto"/>
          <w:sz w:val="32"/>
          <w:szCs w:val="32"/>
          <w:shd w:val="clear" w:color="auto" w:fill="FFFFFF"/>
        </w:rPr>
        <w:t>，其他政府部门、群众团体组织等</w:t>
      </w:r>
      <w:r>
        <w:rPr>
          <w:rFonts w:hint="eastAsia" w:ascii="Times New Roman" w:hAnsi="Times New Roman" w:eastAsia="方正仿宋_GBK" w:cs="Times New Roman"/>
          <w:color w:val="auto"/>
          <w:kern w:val="0"/>
          <w:sz w:val="32"/>
          <w:szCs w:val="32"/>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rPr>
        <w:t>2.文化旅游体育与传媒支出69.44万元，主要用于</w:t>
      </w:r>
      <w:r>
        <w:rPr>
          <w:rFonts w:ascii="方正仿宋_GBK" w:hAnsi="方正仿宋_GBK" w:eastAsia="方正仿宋_GBK" w:cs="方正仿宋_GBK"/>
          <w:i w:val="0"/>
          <w:iCs w:val="0"/>
          <w:caps w:val="0"/>
          <w:color w:val="333333"/>
          <w:spacing w:val="0"/>
          <w:sz w:val="32"/>
          <w:szCs w:val="32"/>
          <w:shd w:val="clear" w:fill="FFFFFF"/>
        </w:rPr>
        <w:t>文化和旅游事务</w:t>
      </w:r>
      <w:r>
        <w:rPr>
          <w:rFonts w:hint="eastAsia" w:ascii="方正仿宋_GBK" w:hAnsi="方正仿宋_GBK" w:eastAsia="方正仿宋_GBK" w:cs="方正仿宋_GBK"/>
          <w:i w:val="0"/>
          <w:iCs w:val="0"/>
          <w:caps w:val="0"/>
          <w:color w:val="333333"/>
          <w:spacing w:val="0"/>
          <w:sz w:val="32"/>
          <w:szCs w:val="32"/>
          <w:shd w:val="clear" w:fill="FFFFFF"/>
          <w:lang w:eastAsia="zh-CN"/>
        </w:rPr>
        <w:t>等</w:t>
      </w:r>
      <w:r>
        <w:rPr>
          <w:rFonts w:hint="eastAsia" w:ascii="Times New Roman" w:hAnsi="Times New Roman" w:eastAsia="方正仿宋_GBK" w:cs="Times New Roman"/>
          <w:color w:val="auto"/>
          <w:kern w:val="0"/>
          <w:sz w:val="32"/>
          <w:szCs w:val="32"/>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rPr>
        <w:t>3.社会保障和就业支出269.06万元，主要用于力资源和社会保障管理、民政管理、退役军人事务</w:t>
      </w:r>
      <w:r>
        <w:rPr>
          <w:rFonts w:hint="eastAsia" w:ascii="Times New Roman" w:hAnsi="Times New Roman" w:eastAsia="方正仿宋_GBK" w:cs="Times New Roman"/>
          <w:color w:val="auto"/>
          <w:kern w:val="0"/>
          <w:sz w:val="32"/>
          <w:szCs w:val="32"/>
          <w:lang w:eastAsia="zh-CN"/>
        </w:rPr>
        <w:t>、行政事业单位养老支出</w:t>
      </w:r>
      <w:r>
        <w:rPr>
          <w:rFonts w:hint="eastAsia" w:ascii="Times New Roman" w:hAnsi="Times New Roman" w:eastAsia="方正仿宋_GBK" w:cs="Times New Roman"/>
          <w:color w:val="auto"/>
          <w:kern w:val="0"/>
          <w:sz w:val="32"/>
          <w:szCs w:val="32"/>
        </w:rPr>
        <w:t>等；</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rPr>
        <w:t>4.卫生健康支出72.29万元，主要用于卫生健康管理事务</w:t>
      </w:r>
      <w:r>
        <w:rPr>
          <w:rFonts w:hint="eastAsia" w:ascii="Times New Roman" w:hAnsi="Times New Roman" w:eastAsia="方正仿宋_GBK" w:cs="Times New Roman"/>
          <w:color w:val="auto"/>
          <w:kern w:val="0"/>
          <w:sz w:val="32"/>
          <w:szCs w:val="32"/>
          <w:lang w:eastAsia="zh-CN"/>
        </w:rPr>
        <w:t>、</w:t>
      </w:r>
      <w:r>
        <w:rPr>
          <w:rFonts w:hint="eastAsia" w:ascii="Times New Roman" w:hAnsi="Times New Roman" w:eastAsia="方正仿宋_GBK" w:cs="Times New Roman"/>
          <w:color w:val="auto"/>
          <w:kern w:val="0"/>
          <w:sz w:val="32"/>
          <w:szCs w:val="32"/>
        </w:rPr>
        <w:t> 行政事业单位医疗等；</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rPr>
        <w:t>5.城乡社区支出103.8</w:t>
      </w:r>
      <w:r>
        <w:rPr>
          <w:rFonts w:hint="eastAsia" w:ascii="Times New Roman" w:hAnsi="Times New Roman" w:eastAsia="方正仿宋_GBK" w:cs="Times New Roman"/>
          <w:color w:val="auto"/>
          <w:kern w:val="0"/>
          <w:sz w:val="32"/>
          <w:szCs w:val="32"/>
          <w:lang w:val="en-US" w:eastAsia="zh-CN"/>
        </w:rPr>
        <w:t>0</w:t>
      </w:r>
      <w:r>
        <w:rPr>
          <w:rFonts w:hint="eastAsia" w:ascii="Times New Roman" w:hAnsi="Times New Roman" w:eastAsia="方正仿宋_GBK" w:cs="Times New Roman"/>
          <w:color w:val="auto"/>
          <w:kern w:val="0"/>
          <w:sz w:val="32"/>
          <w:szCs w:val="32"/>
        </w:rPr>
        <w:t>万元，主要用于</w:t>
      </w:r>
      <w:r>
        <w:rPr>
          <w:rFonts w:ascii="方正仿宋_GBK" w:hAnsi="方正仿宋_GBK" w:eastAsia="方正仿宋_GBK" w:cs="方正仿宋_GBK"/>
          <w:color w:val="auto"/>
          <w:sz w:val="32"/>
          <w:szCs w:val="32"/>
          <w:shd w:val="clear" w:color="auto" w:fill="FFFFFF"/>
        </w:rPr>
        <w:t>城乡社区管理事务等</w:t>
      </w:r>
      <w:r>
        <w:rPr>
          <w:rFonts w:hint="eastAsia" w:ascii="Times New Roman" w:hAnsi="Times New Roman" w:eastAsia="方正仿宋_GBK" w:cs="Times New Roman"/>
          <w:color w:val="auto"/>
          <w:kern w:val="0"/>
          <w:sz w:val="32"/>
          <w:szCs w:val="32"/>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highlight w:val="none"/>
        </w:rPr>
      </w:pPr>
      <w:r>
        <w:rPr>
          <w:rFonts w:hint="eastAsia" w:ascii="Times New Roman" w:hAnsi="Times New Roman" w:eastAsia="方正仿宋_GBK" w:cs="Times New Roman"/>
          <w:color w:val="auto"/>
          <w:kern w:val="0"/>
          <w:sz w:val="32"/>
          <w:szCs w:val="32"/>
        </w:rPr>
        <w:t>6.农林水事务支出</w:t>
      </w:r>
      <w:r>
        <w:rPr>
          <w:rFonts w:hint="eastAsia" w:ascii="Times New Roman" w:hAnsi="Times New Roman" w:eastAsia="方正仿宋_GBK" w:cs="Times New Roman"/>
          <w:color w:val="auto"/>
          <w:kern w:val="0"/>
          <w:sz w:val="32"/>
          <w:szCs w:val="32"/>
          <w:highlight w:val="none"/>
        </w:rPr>
        <w:t>646.5</w:t>
      </w:r>
      <w:r>
        <w:rPr>
          <w:rFonts w:hint="eastAsia" w:ascii="Times New Roman" w:hAnsi="Times New Roman" w:eastAsia="方正仿宋_GBK" w:cs="Times New Roman"/>
          <w:color w:val="auto"/>
          <w:kern w:val="0"/>
          <w:sz w:val="32"/>
          <w:szCs w:val="32"/>
          <w:highlight w:val="none"/>
          <w:lang w:val="en-US" w:eastAsia="zh-CN"/>
        </w:rPr>
        <w:t>5</w:t>
      </w:r>
      <w:r>
        <w:rPr>
          <w:rFonts w:hint="eastAsia" w:ascii="Times New Roman" w:hAnsi="Times New Roman" w:eastAsia="方正仿宋_GBK" w:cs="Times New Roman"/>
          <w:color w:val="auto"/>
          <w:kern w:val="0"/>
          <w:sz w:val="32"/>
          <w:szCs w:val="32"/>
          <w:highlight w:val="none"/>
        </w:rPr>
        <w:t>万元，主要用于乡村振兴战略</w:t>
      </w:r>
      <w:r>
        <w:rPr>
          <w:rFonts w:hint="eastAsia" w:ascii="Times New Roman" w:hAnsi="Times New Roman" w:eastAsia="方正仿宋_GBK" w:cs="Times New Roman"/>
          <w:color w:val="auto"/>
          <w:kern w:val="0"/>
          <w:sz w:val="32"/>
          <w:szCs w:val="32"/>
          <w:highlight w:val="none"/>
          <w:lang w:eastAsia="zh-CN"/>
        </w:rPr>
        <w:t>、 农村综合改革、</w:t>
      </w:r>
      <w:r>
        <w:rPr>
          <w:rFonts w:hint="eastAsia" w:ascii="Times New Roman" w:hAnsi="Times New Roman" w:eastAsia="方正仿宋_GBK" w:cs="Times New Roman"/>
          <w:color w:val="auto"/>
          <w:kern w:val="0"/>
          <w:sz w:val="32"/>
          <w:szCs w:val="32"/>
          <w:highlight w:val="none"/>
        </w:rPr>
        <w:t>森林资源管护</w:t>
      </w:r>
      <w:r>
        <w:rPr>
          <w:rFonts w:hint="eastAsia" w:ascii="Times New Roman" w:hAnsi="Times New Roman" w:eastAsia="方正仿宋_GBK" w:cs="Times New Roman"/>
          <w:color w:val="auto"/>
          <w:kern w:val="0"/>
          <w:sz w:val="32"/>
          <w:szCs w:val="32"/>
          <w:highlight w:val="none"/>
          <w:lang w:eastAsia="zh-CN"/>
        </w:rPr>
        <w:t>、</w:t>
      </w:r>
      <w:r>
        <w:rPr>
          <w:rFonts w:hint="eastAsia" w:ascii="Times New Roman" w:hAnsi="Times New Roman" w:eastAsia="方正仿宋_GBK" w:cs="Times New Roman"/>
          <w:color w:val="auto"/>
          <w:kern w:val="0"/>
          <w:sz w:val="32"/>
          <w:szCs w:val="32"/>
          <w:highlight w:val="none"/>
        </w:rPr>
        <w:t>松材线虫防治、村级支出等；</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highlight w:val="none"/>
        </w:rPr>
      </w:pPr>
      <w:r>
        <w:rPr>
          <w:rFonts w:hint="eastAsia" w:ascii="Times New Roman" w:hAnsi="Times New Roman" w:eastAsia="方正仿宋_GBK" w:cs="Times New Roman"/>
          <w:color w:val="auto"/>
          <w:kern w:val="0"/>
          <w:sz w:val="32"/>
          <w:szCs w:val="32"/>
          <w:highlight w:val="none"/>
        </w:rPr>
        <w:t>7.交通运输支出405.38万元，主要用于公路建设、公路养护</w:t>
      </w:r>
      <w:r>
        <w:rPr>
          <w:rFonts w:hint="eastAsia" w:ascii="Times New Roman" w:hAnsi="Times New Roman" w:eastAsia="方正仿宋_GBK" w:cs="Times New Roman"/>
          <w:color w:val="auto"/>
          <w:kern w:val="0"/>
          <w:sz w:val="32"/>
          <w:szCs w:val="32"/>
          <w:highlight w:val="none"/>
          <w:lang w:eastAsia="zh-CN"/>
        </w:rPr>
        <w:t>、</w:t>
      </w:r>
      <w:r>
        <w:rPr>
          <w:rFonts w:hint="eastAsia" w:ascii="Times New Roman" w:hAnsi="Times New Roman" w:eastAsia="方正仿宋_GBK" w:cs="Times New Roman"/>
          <w:color w:val="auto"/>
          <w:kern w:val="0"/>
          <w:sz w:val="32"/>
          <w:szCs w:val="32"/>
          <w:highlight w:val="none"/>
        </w:rPr>
        <w:t>交通安全劝导站建设和劝导员补助等；</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highlight w:val="none"/>
        </w:rPr>
      </w:pPr>
      <w:r>
        <w:rPr>
          <w:rFonts w:hint="eastAsia" w:ascii="Times New Roman" w:hAnsi="Times New Roman" w:eastAsia="方正仿宋_GBK" w:cs="Times New Roman"/>
          <w:color w:val="auto"/>
          <w:kern w:val="0"/>
          <w:sz w:val="32"/>
          <w:szCs w:val="32"/>
          <w:highlight w:val="none"/>
        </w:rPr>
        <w:t>8.住房保障支出63.48万元，主要用于机关事业单位职工住房公积金</w:t>
      </w:r>
      <w:r>
        <w:rPr>
          <w:rFonts w:hint="eastAsia" w:ascii="Times New Roman" w:hAnsi="Times New Roman" w:eastAsia="方正仿宋_GBK" w:cs="Times New Roman"/>
          <w:color w:val="auto"/>
          <w:kern w:val="0"/>
          <w:sz w:val="32"/>
          <w:szCs w:val="32"/>
          <w:highlight w:val="none"/>
          <w:lang w:val="en-US" w:eastAsia="zh-CN"/>
        </w:rPr>
        <w:t>缴纳</w:t>
      </w:r>
      <w:r>
        <w:rPr>
          <w:rFonts w:hint="eastAsia" w:ascii="Times New Roman" w:hAnsi="Times New Roman" w:eastAsia="方正仿宋_GBK" w:cs="Times New Roman"/>
          <w:color w:val="auto"/>
          <w:kern w:val="0"/>
          <w:sz w:val="32"/>
          <w:szCs w:val="32"/>
          <w:highlight w:val="none"/>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Times New Roman" w:hAnsi="Times New Roman" w:eastAsia="方正仿宋_GBK" w:cs="Times New Roman"/>
          <w:color w:val="auto"/>
          <w:kern w:val="0"/>
          <w:sz w:val="32"/>
          <w:szCs w:val="32"/>
          <w:lang w:eastAsia="zh-CN"/>
        </w:rPr>
      </w:pPr>
      <w:r>
        <w:rPr>
          <w:rFonts w:hint="eastAsia" w:ascii="Times New Roman" w:hAnsi="Times New Roman" w:eastAsia="方正仿宋_GBK" w:cs="Times New Roman"/>
          <w:color w:val="auto"/>
          <w:kern w:val="0"/>
          <w:sz w:val="32"/>
          <w:szCs w:val="32"/>
          <w:highlight w:val="none"/>
        </w:rPr>
        <w:t>9.灾害防治及应急管理支出0.002</w:t>
      </w:r>
      <w:r>
        <w:rPr>
          <w:rFonts w:hint="eastAsia" w:ascii="Times New Roman" w:hAnsi="Times New Roman" w:eastAsia="方正仿宋_GBK" w:cs="Times New Roman"/>
          <w:color w:val="auto"/>
          <w:kern w:val="0"/>
          <w:sz w:val="32"/>
          <w:szCs w:val="32"/>
        </w:rPr>
        <w:t>万元，主要用于自然灾害等突发事件处理支出</w:t>
      </w:r>
      <w:r>
        <w:rPr>
          <w:rFonts w:hint="eastAsia" w:eastAsia="方正仿宋_GBK" w:cs="Times New Roman"/>
          <w:color w:val="auto"/>
          <w:kern w:val="0"/>
          <w:sz w:val="32"/>
          <w:szCs w:val="32"/>
          <w:lang w:eastAsia="zh-CN"/>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rPr>
        <w:t>10.预备费17.64万元，主要用于当年预算执行中的自然灾害等突发事件处理增加的支出及其他难以预见的开支。</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方正楷体_GBK" w:hAnsi="Times New Roman" w:eastAsia="方正楷体_GBK" w:cs="Times New Roman"/>
          <w:color w:val="auto"/>
          <w:kern w:val="0"/>
          <w:sz w:val="32"/>
          <w:szCs w:val="32"/>
        </w:rPr>
      </w:pPr>
      <w:r>
        <w:rPr>
          <w:rFonts w:hint="eastAsia" w:ascii="方正楷体_GBK" w:hAnsi="Times New Roman" w:eastAsia="方正楷体_GBK" w:cs="Times New Roman"/>
          <w:color w:val="auto"/>
          <w:kern w:val="0"/>
          <w:sz w:val="32"/>
          <w:szCs w:val="32"/>
        </w:rPr>
        <w:t>（二）政府性基金预算</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highlight w:val="none"/>
        </w:rPr>
        <w:t>全镇政府性基金收入</w:t>
      </w:r>
      <w:r>
        <w:rPr>
          <w:rFonts w:hint="default" w:ascii="Times New Roman" w:hAnsi="Times New Roman" w:eastAsia="方正仿宋_GBK" w:cs="Times New Roman"/>
          <w:color w:val="auto"/>
          <w:kern w:val="0"/>
          <w:sz w:val="32"/>
          <w:szCs w:val="32"/>
          <w:highlight w:val="none"/>
          <w:lang w:val="en-US" w:eastAsia="zh-CN"/>
        </w:rPr>
        <w:t>1030.59</w:t>
      </w:r>
      <w:r>
        <w:rPr>
          <w:rFonts w:hint="default" w:ascii="Times New Roman" w:hAnsi="Times New Roman" w:eastAsia="方正仿宋_GBK" w:cs="Times New Roman"/>
          <w:color w:val="auto"/>
          <w:kern w:val="0"/>
          <w:sz w:val="32"/>
          <w:szCs w:val="32"/>
          <w:highlight w:val="none"/>
        </w:rPr>
        <w:t>万元，</w:t>
      </w:r>
      <w:r>
        <w:rPr>
          <w:rFonts w:hint="default" w:ascii="Times New Roman" w:hAnsi="Times New Roman" w:eastAsia="方正仿宋_GBK" w:cs="Times New Roman"/>
          <w:color w:val="auto"/>
          <w:kern w:val="0"/>
          <w:sz w:val="32"/>
          <w:szCs w:val="32"/>
          <w:highlight w:val="none"/>
          <w:lang w:val="en-US" w:eastAsia="zh-CN"/>
        </w:rPr>
        <w:t>其中</w:t>
      </w:r>
      <w:r>
        <w:rPr>
          <w:rFonts w:hint="default" w:ascii="Times New Roman" w:hAnsi="Times New Roman" w:eastAsia="方正仿宋_GBK" w:cs="Times New Roman"/>
          <w:color w:val="auto"/>
          <w:kern w:val="0"/>
          <w:sz w:val="32"/>
          <w:szCs w:val="32"/>
          <w:highlight w:val="none"/>
        </w:rPr>
        <w:t>转移性收入</w:t>
      </w:r>
      <w:r>
        <w:rPr>
          <w:rFonts w:hint="default" w:ascii="Times New Roman" w:hAnsi="Times New Roman" w:eastAsia="方正仿宋_GBK" w:cs="Times New Roman"/>
          <w:color w:val="auto"/>
          <w:kern w:val="0"/>
          <w:sz w:val="32"/>
          <w:szCs w:val="32"/>
          <w:highlight w:val="none"/>
          <w:lang w:val="en-US" w:eastAsia="zh-CN"/>
        </w:rPr>
        <w:t>641.59</w:t>
      </w:r>
      <w:r>
        <w:rPr>
          <w:rFonts w:hint="default" w:ascii="Times New Roman" w:hAnsi="Times New Roman" w:eastAsia="方正仿宋_GBK" w:cs="Times New Roman"/>
          <w:color w:val="auto"/>
          <w:kern w:val="0"/>
          <w:sz w:val="32"/>
          <w:szCs w:val="32"/>
          <w:highlight w:val="none"/>
        </w:rPr>
        <w:t>万元</w:t>
      </w:r>
      <w:r>
        <w:rPr>
          <w:rFonts w:hint="default" w:ascii="Times New Roman" w:hAnsi="Times New Roman" w:eastAsia="方正仿宋_GBK" w:cs="Times New Roman"/>
          <w:color w:val="auto"/>
          <w:kern w:val="0"/>
          <w:sz w:val="32"/>
          <w:szCs w:val="32"/>
          <w:highlight w:val="none"/>
          <w:lang w:eastAsia="zh-CN"/>
        </w:rPr>
        <w:t>，</w:t>
      </w:r>
      <w:r>
        <w:rPr>
          <w:rFonts w:hint="default" w:ascii="Times New Roman" w:hAnsi="Times New Roman" w:eastAsia="方正仿宋_GBK" w:cs="Times New Roman"/>
          <w:color w:val="auto"/>
          <w:kern w:val="0"/>
          <w:sz w:val="32"/>
          <w:szCs w:val="32"/>
          <w:highlight w:val="none"/>
        </w:rPr>
        <w:t>上年结转收入</w:t>
      </w:r>
      <w:r>
        <w:rPr>
          <w:rFonts w:hint="default" w:ascii="Times New Roman" w:hAnsi="Times New Roman" w:eastAsia="方正仿宋_GBK" w:cs="Times New Roman"/>
          <w:color w:val="auto"/>
          <w:kern w:val="0"/>
          <w:sz w:val="32"/>
          <w:szCs w:val="32"/>
          <w:highlight w:val="none"/>
          <w:lang w:val="en-US" w:eastAsia="zh-CN"/>
        </w:rPr>
        <w:t>389万元</w:t>
      </w:r>
      <w:r>
        <w:rPr>
          <w:rFonts w:hint="default" w:ascii="Times New Roman" w:hAnsi="Times New Roman" w:eastAsia="方正仿宋_GBK" w:cs="Times New Roman"/>
          <w:color w:val="auto"/>
          <w:kern w:val="0"/>
          <w:sz w:val="32"/>
          <w:szCs w:val="32"/>
          <w:highlight w:val="none"/>
        </w:rPr>
        <w:t>；政府性基金支出</w:t>
      </w:r>
      <w:r>
        <w:rPr>
          <w:rFonts w:hint="default" w:ascii="Times New Roman" w:hAnsi="Times New Roman" w:eastAsia="方正仿宋_GBK" w:cs="Times New Roman"/>
          <w:color w:val="auto"/>
          <w:kern w:val="0"/>
          <w:sz w:val="32"/>
          <w:szCs w:val="32"/>
          <w:highlight w:val="none"/>
          <w:lang w:val="en-US" w:eastAsia="zh-CN"/>
        </w:rPr>
        <w:t>1030.59</w:t>
      </w:r>
      <w:r>
        <w:rPr>
          <w:rFonts w:hint="default" w:ascii="Times New Roman" w:hAnsi="Times New Roman" w:eastAsia="方正仿宋_GBK" w:cs="Times New Roman"/>
          <w:color w:val="auto"/>
          <w:kern w:val="0"/>
          <w:sz w:val="32"/>
          <w:szCs w:val="32"/>
          <w:highlight w:val="none"/>
        </w:rPr>
        <w:t>万元</w:t>
      </w:r>
      <w:r>
        <w:rPr>
          <w:rFonts w:hint="default" w:ascii="Times New Roman" w:hAnsi="Times New Roman" w:eastAsia="方正仿宋_GBK" w:cs="Times New Roman"/>
          <w:color w:val="auto"/>
          <w:kern w:val="0"/>
          <w:sz w:val="32"/>
          <w:szCs w:val="32"/>
        </w:rPr>
        <w:t>，主要用于农村基础设施建设支出、其他国有土地使用权出让收入安排的支出、社会福利的彩票公益金支出</w:t>
      </w:r>
      <w:r>
        <w:rPr>
          <w:rFonts w:hint="default"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体育事业的彩票公益金支出</w:t>
      </w:r>
      <w:r>
        <w:rPr>
          <w:rFonts w:hint="default" w:ascii="Times New Roman" w:hAnsi="Times New Roman" w:eastAsia="方正仿宋_GBK" w:cs="Times New Roman"/>
          <w:color w:val="auto"/>
          <w:kern w:val="0"/>
          <w:sz w:val="32"/>
          <w:szCs w:val="32"/>
          <w:lang w:eastAsia="zh-CN"/>
        </w:rPr>
        <w:t>以及三峡后续工作支出</w:t>
      </w:r>
      <w:r>
        <w:rPr>
          <w:rFonts w:hint="default" w:ascii="Times New Roman" w:hAnsi="Times New Roman" w:eastAsia="方正仿宋_GB2312" w:cs="Times New Roman"/>
          <w:color w:val="auto"/>
          <w:kern w:val="0"/>
          <w:sz w:val="32"/>
          <w:szCs w:val="32"/>
        </w:rPr>
        <w:t>。</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rPr>
        <w:t>以上收支预算</w:t>
      </w:r>
      <w:bookmarkStart w:id="0" w:name="_GoBack"/>
      <w:bookmarkEnd w:id="0"/>
      <w:r>
        <w:rPr>
          <w:rFonts w:hint="eastAsia" w:ascii="Times New Roman" w:hAnsi="Times New Roman" w:eastAsia="方正仿宋_GBK" w:cs="Times New Roman"/>
          <w:color w:val="auto"/>
          <w:kern w:val="0"/>
          <w:sz w:val="32"/>
          <w:szCs w:val="32"/>
        </w:rPr>
        <w:t>如因上级政策调整，预算也随之调整，并向镇人大主席团报告后组织实施。</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黑体_GBK" w:cs="Times New Roman"/>
          <w:color w:val="auto"/>
          <w:kern w:val="0"/>
          <w:sz w:val="32"/>
          <w:szCs w:val="32"/>
        </w:rPr>
      </w:pPr>
      <w:r>
        <w:rPr>
          <w:rFonts w:hint="default" w:ascii="Times New Roman" w:hAnsi="Times New Roman" w:eastAsia="方正黑体_GBK" w:cs="Times New Roman"/>
          <w:color w:val="auto"/>
          <w:kern w:val="0"/>
          <w:sz w:val="32"/>
          <w:szCs w:val="32"/>
        </w:rPr>
        <w:t>三、2025年财政工作主要任务</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Times New Roman" w:hAnsi="Times New Roman" w:eastAsia="方正楷体_GBK" w:cs="Times New Roman"/>
          <w:color w:val="auto"/>
          <w:sz w:val="32"/>
          <w:szCs w:val="32"/>
        </w:rPr>
      </w:pPr>
      <w:r>
        <w:rPr>
          <w:rFonts w:hint="eastAsia" w:ascii="Times New Roman" w:hAnsi="Times New Roman" w:eastAsia="方正楷体_GBK" w:cs="Times New Roman"/>
          <w:color w:val="auto"/>
          <w:sz w:val="32"/>
          <w:szCs w:val="32"/>
        </w:rPr>
        <w:t>（一）坚持稳中求进，增强财政保障</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坚持“开源”和“节流”并重，加强与上级行业主管部门、上级财政部门沟通对接，积极争取各类资金支持。量入为出，量力而行，力求财政收支平衡，坚持过“紧日子”，继续压减会议费、培训费、“三公”经费等一般性支出，严格执行政府采购预算，严把政府采购“关口”，减少不必要的资产购置。在保证政府机构正常运转的前提下，重点保障民生实事、社会稳定，确保镇党委、政府重要决策的落实。</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楷体_GBK" w:cs="Times New Roman"/>
          <w:color w:val="auto"/>
          <w:sz w:val="32"/>
          <w:szCs w:val="32"/>
        </w:rPr>
      </w:pPr>
      <w:r>
        <w:rPr>
          <w:rFonts w:ascii="Times New Roman" w:hAnsi="Times New Roman" w:eastAsia="方正楷体_GBK" w:cs="Times New Roman"/>
          <w:color w:val="auto"/>
          <w:sz w:val="32"/>
          <w:szCs w:val="32"/>
        </w:rPr>
        <w:t>（</w:t>
      </w:r>
      <w:r>
        <w:rPr>
          <w:rFonts w:hint="eastAsia" w:ascii="Times New Roman" w:hAnsi="Times New Roman" w:eastAsia="方正楷体_GBK" w:cs="Times New Roman"/>
          <w:color w:val="auto"/>
          <w:sz w:val="32"/>
          <w:szCs w:val="32"/>
          <w:lang w:val="en-US" w:eastAsia="zh-CN"/>
        </w:rPr>
        <w:t>二</w:t>
      </w:r>
      <w:r>
        <w:rPr>
          <w:rFonts w:ascii="Times New Roman" w:hAnsi="Times New Roman" w:eastAsia="方正楷体_GBK" w:cs="Times New Roman"/>
          <w:color w:val="auto"/>
          <w:sz w:val="32"/>
          <w:szCs w:val="32"/>
        </w:rPr>
        <w:t>）</w:t>
      </w:r>
      <w:r>
        <w:rPr>
          <w:rFonts w:hint="eastAsia" w:ascii="Times New Roman" w:hAnsi="Times New Roman" w:eastAsia="方正楷体_GBK" w:cs="Times New Roman"/>
          <w:color w:val="auto"/>
          <w:sz w:val="32"/>
          <w:szCs w:val="32"/>
        </w:rPr>
        <w:t>加大</w:t>
      </w:r>
      <w:r>
        <w:rPr>
          <w:rFonts w:ascii="Times New Roman" w:hAnsi="Times New Roman" w:eastAsia="方正楷体_GBK" w:cs="Times New Roman"/>
          <w:color w:val="auto"/>
          <w:sz w:val="32"/>
          <w:szCs w:val="32"/>
        </w:rPr>
        <w:t>财政监督，提升资金效益</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Times New Roman" w:hAnsi="Times New Roman" w:eastAsia="方正仿宋_GBK" w:cs="Times New Roman"/>
          <w:color w:val="auto"/>
          <w:sz w:val="32"/>
          <w:szCs w:val="32"/>
          <w:lang w:eastAsia="zh-CN"/>
        </w:rPr>
      </w:pPr>
      <w:r>
        <w:rPr>
          <w:rFonts w:hint="eastAsia" w:ascii="Times New Roman" w:hAnsi="Times New Roman" w:eastAsia="方正仿宋_GBK" w:cs="Times New Roman"/>
          <w:color w:val="auto"/>
          <w:sz w:val="32"/>
          <w:szCs w:val="32"/>
        </w:rPr>
        <w:t>严格实行项目管理程序化，实现项目申报、实施、拨付、评价全流程监督与控制，规范专项资金管理，提高专项资金的使用效益。</w:t>
      </w:r>
      <w:r>
        <w:rPr>
          <w:rFonts w:hint="eastAsia" w:ascii="Times New Roman" w:hAnsi="Times New Roman" w:eastAsia="方正仿宋_GBK" w:cs="Times New Roman"/>
          <w:color w:val="auto"/>
          <w:sz w:val="32"/>
          <w:szCs w:val="32"/>
          <w:lang w:eastAsia="zh-CN"/>
        </w:rPr>
        <w:t>加强绩效目标管理，发挥绩效目标对财政资金使用的引导约束作用。</w:t>
      </w:r>
      <w:r>
        <w:rPr>
          <w:rFonts w:hint="eastAsia" w:ascii="Times New Roman" w:hAnsi="Times New Roman" w:eastAsia="方正仿宋_GBK" w:cs="Times New Roman"/>
          <w:color w:val="auto"/>
          <w:sz w:val="32"/>
          <w:szCs w:val="32"/>
        </w:rPr>
        <w:t>进一步完善内部管理制度，提升管理效能，更好地履行职能职责。</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eastAsia="方正楷体_GBK" w:cs="Times New Roman"/>
          <w:color w:val="auto"/>
          <w:sz w:val="32"/>
          <w:szCs w:val="32"/>
          <w:lang w:val="en-US" w:eastAsia="zh-CN"/>
        </w:rPr>
      </w:pP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三）</w:t>
      </w:r>
      <w:r>
        <w:rPr>
          <w:rFonts w:hint="eastAsia" w:ascii="Times New Roman" w:hAnsi="Times New Roman" w:eastAsia="方正楷体_GBK" w:cs="Times New Roman"/>
          <w:color w:val="auto"/>
          <w:sz w:val="32"/>
          <w:szCs w:val="32"/>
          <w:lang w:val="en-US" w:eastAsia="zh-CN"/>
        </w:rPr>
        <w:t>加强队伍建设，提高服务水平</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rPr>
        <w:t>加强财政政策和财经纪律业务培训，进一步提升财政工作人员服务能力和水平，努力打造一支政治可靠、业务过硬、作风优良、忠诚担当的财政工作队伍</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cs="Times New Roman"/>
          <w:color w:val="auto"/>
          <w:sz w:val="32"/>
          <w:szCs w:val="32"/>
        </w:rPr>
        <w:t>保证财政资金专款专用，让财政投入的每一分钱都用得明白、用得放心，让广大人民群众拥有更多获得感、幸福感、安全感</w:t>
      </w:r>
      <w:r>
        <w:rPr>
          <w:rFonts w:hint="eastAsia" w:ascii="Times New Roman" w:hAnsi="Times New Roman" w:eastAsia="方正仿宋_GBK" w:cs="Times New Roman"/>
          <w:color w:val="auto"/>
          <w:sz w:val="32"/>
          <w:szCs w:val="32"/>
        </w:rPr>
        <w:t>。</w:t>
      </w:r>
    </w:p>
    <w:p>
      <w:pPr>
        <w:keepNext w:val="0"/>
        <w:keepLines w:val="0"/>
        <w:pageBreakBefore w:val="0"/>
        <w:kinsoku/>
        <w:wordWrap/>
        <w:overflowPunct/>
        <w:topLinePunct w:val="0"/>
        <w:autoSpaceDE/>
        <w:autoSpaceDN/>
        <w:bidi w:val="0"/>
        <w:adjustRightInd/>
        <w:snapToGrid/>
        <w:spacing w:line="570" w:lineRule="exact"/>
        <w:jc w:val="center"/>
        <w:textAlignment w:val="auto"/>
        <w:rPr>
          <w:rFonts w:eastAsia="方正小标宋_GBK"/>
          <w:color w:val="auto"/>
          <w:kern w:val="0"/>
          <w:sz w:val="32"/>
          <w:szCs w:val="32"/>
        </w:rPr>
      </w:pPr>
    </w:p>
    <w:p>
      <w:pPr>
        <w:keepNext w:val="0"/>
        <w:keepLines w:val="0"/>
        <w:pageBreakBefore w:val="0"/>
        <w:kinsoku/>
        <w:wordWrap/>
        <w:overflowPunct/>
        <w:topLinePunct w:val="0"/>
        <w:autoSpaceDE/>
        <w:autoSpaceDN/>
        <w:bidi w:val="0"/>
        <w:adjustRightInd/>
        <w:snapToGrid/>
        <w:spacing w:line="570" w:lineRule="exact"/>
        <w:jc w:val="center"/>
        <w:textAlignment w:val="auto"/>
        <w:rPr>
          <w:rFonts w:eastAsia="方正小标宋_GBK"/>
          <w:color w:val="auto"/>
          <w:kern w:val="0"/>
          <w:sz w:val="32"/>
          <w:szCs w:val="32"/>
        </w:rPr>
      </w:pPr>
      <w:r>
        <w:rPr>
          <w:rFonts w:eastAsia="方正小标宋_GBK"/>
          <w:color w:val="auto"/>
          <w:kern w:val="0"/>
          <w:sz w:val="32"/>
          <w:szCs w:val="32"/>
        </w:rPr>
        <w:t>相关事项说明</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hint="eastAsia" w:eastAsia="方正黑体_GBK"/>
          <w:color w:val="auto"/>
          <w:kern w:val="0"/>
          <w:sz w:val="32"/>
          <w:szCs w:val="32"/>
        </w:rPr>
        <w:t>一</w:t>
      </w:r>
      <w:r>
        <w:rPr>
          <w:rFonts w:eastAsia="方正黑体_GBK"/>
          <w:color w:val="auto"/>
          <w:kern w:val="0"/>
          <w:sz w:val="32"/>
          <w:szCs w:val="32"/>
        </w:rPr>
        <w:t>、202</w:t>
      </w:r>
      <w:r>
        <w:rPr>
          <w:rFonts w:hint="eastAsia" w:eastAsia="方正黑体_GBK"/>
          <w:color w:val="auto"/>
          <w:kern w:val="0"/>
          <w:sz w:val="32"/>
          <w:szCs w:val="32"/>
        </w:rPr>
        <w:t>4</w:t>
      </w:r>
      <w:r>
        <w:rPr>
          <w:rFonts w:eastAsia="方正黑体_GBK"/>
          <w:color w:val="auto"/>
          <w:kern w:val="0"/>
          <w:sz w:val="32"/>
          <w:szCs w:val="32"/>
        </w:rPr>
        <w:t>年预备费使用情况</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方正仿宋_GBK" w:hAnsi="Times New Roman" w:eastAsia="方正仿宋_GBK" w:cs="Times New Roman"/>
          <w:color w:val="auto"/>
          <w:kern w:val="0"/>
          <w:sz w:val="32"/>
          <w:szCs w:val="32"/>
        </w:rPr>
      </w:pPr>
      <w:r>
        <w:rPr>
          <w:rFonts w:hint="eastAsia" w:ascii="方正仿宋_GBK" w:hAnsi="Times New Roman" w:eastAsia="方正仿宋_GBK" w:cs="Times New Roman"/>
          <w:color w:val="auto"/>
          <w:kern w:val="0"/>
          <w:sz w:val="32"/>
          <w:szCs w:val="32"/>
        </w:rPr>
        <w:t>年初预算预备</w:t>
      </w:r>
      <w:r>
        <w:rPr>
          <w:rFonts w:ascii="Times New Roman" w:hAnsi="Times New Roman" w:eastAsia="方正仿宋_GBK" w:cs="Times New Roman"/>
          <w:color w:val="auto"/>
          <w:kern w:val="0"/>
          <w:sz w:val="32"/>
          <w:szCs w:val="32"/>
        </w:rPr>
        <w:t>费</w:t>
      </w:r>
      <w:r>
        <w:rPr>
          <w:rFonts w:hint="eastAsia" w:ascii="Times New Roman" w:hAnsi="Times New Roman" w:eastAsia="方正仿宋_GBK" w:cs="Times New Roman"/>
          <w:color w:val="auto"/>
          <w:kern w:val="0"/>
          <w:sz w:val="32"/>
          <w:szCs w:val="32"/>
        </w:rPr>
        <w:t>17.04</w:t>
      </w:r>
      <w:r>
        <w:rPr>
          <w:rFonts w:ascii="Times New Roman" w:hAnsi="Times New Roman" w:eastAsia="方正仿宋_GBK" w:cs="Times New Roman"/>
          <w:color w:val="auto"/>
          <w:kern w:val="0"/>
          <w:sz w:val="32"/>
          <w:szCs w:val="32"/>
        </w:rPr>
        <w:t>万元，202</w:t>
      </w:r>
      <w:r>
        <w:rPr>
          <w:rFonts w:hint="eastAsia" w:ascii="Times New Roman" w:hAnsi="Times New Roman" w:eastAsia="方正仿宋_GBK" w:cs="Times New Roman"/>
          <w:color w:val="auto"/>
          <w:kern w:val="0"/>
          <w:sz w:val="32"/>
          <w:szCs w:val="32"/>
        </w:rPr>
        <w:t>4</w:t>
      </w:r>
      <w:r>
        <w:rPr>
          <w:rFonts w:ascii="Times New Roman" w:hAnsi="Times New Roman" w:eastAsia="方正仿宋_GBK" w:cs="Times New Roman"/>
          <w:color w:val="auto"/>
          <w:kern w:val="0"/>
          <w:sz w:val="32"/>
          <w:szCs w:val="32"/>
        </w:rPr>
        <w:t>年</w:t>
      </w:r>
      <w:r>
        <w:rPr>
          <w:rFonts w:hint="eastAsia" w:ascii="方正仿宋_GBK" w:hAnsi="Times New Roman" w:eastAsia="方正仿宋_GBK" w:cs="Times New Roman"/>
          <w:color w:val="auto"/>
          <w:kern w:val="0"/>
          <w:sz w:val="32"/>
          <w:szCs w:val="32"/>
        </w:rPr>
        <w:t>我镇动用预备费，主要用于抗旱应急送水的相关开支。</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hint="eastAsia" w:eastAsia="方正黑体_GBK"/>
          <w:color w:val="auto"/>
          <w:kern w:val="0"/>
          <w:sz w:val="32"/>
          <w:szCs w:val="32"/>
        </w:rPr>
        <w:t>二</w:t>
      </w:r>
      <w:r>
        <w:rPr>
          <w:rFonts w:eastAsia="方正黑体_GBK"/>
          <w:color w:val="auto"/>
          <w:kern w:val="0"/>
          <w:sz w:val="32"/>
          <w:szCs w:val="32"/>
        </w:rPr>
        <w:t>、</w:t>
      </w:r>
      <w:r>
        <w:rPr>
          <w:rFonts w:hint="eastAsia" w:ascii="方正黑体_GBK" w:hAnsi="方正黑体_GBK" w:eastAsia="方正黑体_GBK" w:cs="方正黑体_GBK"/>
          <w:color w:val="auto"/>
          <w:kern w:val="0"/>
          <w:sz w:val="32"/>
          <w:szCs w:val="32"/>
        </w:rPr>
        <w:t>“三公”</w:t>
      </w:r>
      <w:r>
        <w:rPr>
          <w:rFonts w:eastAsia="方正黑体_GBK"/>
          <w:color w:val="auto"/>
          <w:kern w:val="0"/>
          <w:sz w:val="32"/>
          <w:szCs w:val="32"/>
        </w:rPr>
        <w:t>经费</w:t>
      </w:r>
      <w:r>
        <w:rPr>
          <w:rFonts w:hint="eastAsia" w:eastAsia="方正黑体_GBK"/>
          <w:color w:val="auto"/>
          <w:kern w:val="0"/>
          <w:sz w:val="32"/>
          <w:szCs w:val="32"/>
        </w:rPr>
        <w:t>相关</w:t>
      </w:r>
      <w:r>
        <w:rPr>
          <w:rFonts w:eastAsia="方正黑体_GBK"/>
          <w:color w:val="auto"/>
          <w:kern w:val="0"/>
          <w:sz w:val="32"/>
          <w:szCs w:val="32"/>
        </w:rPr>
        <w:t>情况</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ascii="Times New Roman" w:hAnsi="Times New Roman" w:eastAsia="方正仿宋_GBK" w:cs="Times New Roman"/>
          <w:color w:val="auto"/>
          <w:kern w:val="0"/>
          <w:sz w:val="32"/>
          <w:szCs w:val="32"/>
        </w:rPr>
      </w:pPr>
      <w:r>
        <w:rPr>
          <w:rFonts w:ascii="Times New Roman" w:hAnsi="Times New Roman" w:eastAsia="方正仿宋_GBK" w:cs="Times New Roman"/>
          <w:color w:val="auto"/>
          <w:kern w:val="0"/>
          <w:sz w:val="32"/>
          <w:szCs w:val="32"/>
        </w:rPr>
        <w:t>202</w:t>
      </w:r>
      <w:r>
        <w:rPr>
          <w:rFonts w:hint="eastAsia" w:ascii="Times New Roman" w:hAnsi="Times New Roman" w:eastAsia="方正仿宋_GBK" w:cs="Times New Roman"/>
          <w:color w:val="auto"/>
          <w:kern w:val="0"/>
          <w:sz w:val="32"/>
          <w:szCs w:val="32"/>
        </w:rPr>
        <w:t>5</w:t>
      </w:r>
      <w:r>
        <w:rPr>
          <w:rFonts w:ascii="Times New Roman" w:hAnsi="Times New Roman" w:eastAsia="方正仿宋_GBK" w:cs="Times New Roman"/>
          <w:color w:val="auto"/>
          <w:kern w:val="0"/>
          <w:sz w:val="32"/>
          <w:szCs w:val="32"/>
        </w:rPr>
        <w:t>年</w:t>
      </w:r>
      <w:r>
        <w:rPr>
          <w:rFonts w:hint="eastAsia" w:ascii="方正仿宋_GBK" w:hAnsi="方正仿宋_GBK" w:eastAsia="方正仿宋_GBK" w:cs="方正仿宋_GBK"/>
          <w:color w:val="auto"/>
          <w:kern w:val="0"/>
          <w:sz w:val="32"/>
          <w:szCs w:val="32"/>
        </w:rPr>
        <w:t>“三公”</w:t>
      </w:r>
      <w:r>
        <w:rPr>
          <w:rFonts w:ascii="Times New Roman" w:hAnsi="Times New Roman" w:eastAsia="方正仿宋_GBK" w:cs="Times New Roman"/>
          <w:color w:val="auto"/>
          <w:kern w:val="0"/>
          <w:sz w:val="32"/>
          <w:szCs w:val="32"/>
        </w:rPr>
        <w:t>经费预算</w:t>
      </w:r>
      <w:r>
        <w:rPr>
          <w:rFonts w:hint="eastAsia" w:ascii="Times New Roman" w:hAnsi="Times New Roman" w:eastAsia="方正仿宋_GBK" w:cs="Times New Roman"/>
          <w:color w:val="auto"/>
          <w:kern w:val="0"/>
          <w:sz w:val="32"/>
          <w:szCs w:val="32"/>
        </w:rPr>
        <w:t>20.9</w:t>
      </w:r>
      <w:r>
        <w:rPr>
          <w:rFonts w:hint="eastAsia" w:ascii="Times New Roman" w:hAnsi="Times New Roman" w:eastAsia="方正仿宋_GBK" w:cs="Times New Roman"/>
          <w:color w:val="auto"/>
          <w:kern w:val="0"/>
          <w:sz w:val="32"/>
          <w:szCs w:val="32"/>
          <w:lang w:val="en-US" w:eastAsia="zh-CN"/>
        </w:rPr>
        <w:t>0</w:t>
      </w:r>
      <w:r>
        <w:rPr>
          <w:rFonts w:ascii="Times New Roman" w:hAnsi="Times New Roman" w:eastAsia="方正仿宋_GBK" w:cs="Times New Roman"/>
          <w:color w:val="auto"/>
          <w:kern w:val="0"/>
          <w:sz w:val="32"/>
          <w:szCs w:val="32"/>
        </w:rPr>
        <w:t>万元，比202</w:t>
      </w:r>
      <w:r>
        <w:rPr>
          <w:rFonts w:hint="eastAsia" w:ascii="Times New Roman" w:hAnsi="Times New Roman" w:eastAsia="方正仿宋_GBK" w:cs="Times New Roman"/>
          <w:color w:val="auto"/>
          <w:kern w:val="0"/>
          <w:sz w:val="32"/>
          <w:szCs w:val="32"/>
        </w:rPr>
        <w:t>4</w:t>
      </w:r>
      <w:r>
        <w:rPr>
          <w:rFonts w:ascii="Times New Roman" w:hAnsi="Times New Roman" w:eastAsia="方正仿宋_GBK" w:cs="Times New Roman"/>
          <w:color w:val="auto"/>
          <w:kern w:val="0"/>
          <w:sz w:val="32"/>
          <w:szCs w:val="32"/>
        </w:rPr>
        <w:t>年</w:t>
      </w:r>
      <w:r>
        <w:rPr>
          <w:rFonts w:hint="eastAsia" w:ascii="Times New Roman" w:hAnsi="Times New Roman" w:eastAsia="方正仿宋_GBK" w:cs="Times New Roman"/>
          <w:color w:val="auto"/>
          <w:kern w:val="0"/>
          <w:sz w:val="32"/>
          <w:szCs w:val="32"/>
        </w:rPr>
        <w:t>增加4</w:t>
      </w:r>
      <w:r>
        <w:rPr>
          <w:rFonts w:ascii="Times New Roman" w:hAnsi="Times New Roman" w:eastAsia="方正仿宋_GBK" w:cs="Times New Roman"/>
          <w:color w:val="auto"/>
          <w:kern w:val="0"/>
          <w:sz w:val="32"/>
          <w:szCs w:val="32"/>
        </w:rPr>
        <w:t>万元</w:t>
      </w:r>
      <w:r>
        <w:rPr>
          <w:rFonts w:ascii="Times New Roman" w:hAnsi="Times New Roman" w:eastAsia="方正仿宋_GBK" w:cs="Times New Roman"/>
          <w:color w:val="auto"/>
          <w:sz w:val="32"/>
          <w:szCs w:val="32"/>
        </w:rPr>
        <w:t>。</w:t>
      </w:r>
      <w:r>
        <w:rPr>
          <w:rFonts w:ascii="Times New Roman" w:hAnsi="Times New Roman" w:eastAsia="方正仿宋_GBK" w:cs="Times New Roman"/>
          <w:color w:val="auto"/>
          <w:kern w:val="0"/>
          <w:sz w:val="32"/>
          <w:szCs w:val="32"/>
        </w:rPr>
        <w:t>其中：因公出国（境）费用</w:t>
      </w:r>
      <w:r>
        <w:rPr>
          <w:rFonts w:hint="eastAsia" w:ascii="Times New Roman" w:hAnsi="Times New Roman" w:eastAsia="方正仿宋_GBK" w:cs="Times New Roman"/>
          <w:color w:val="auto"/>
          <w:kern w:val="0"/>
          <w:sz w:val="32"/>
          <w:szCs w:val="32"/>
        </w:rPr>
        <w:t>0</w:t>
      </w:r>
      <w:r>
        <w:rPr>
          <w:rFonts w:ascii="Times New Roman" w:hAnsi="Times New Roman" w:eastAsia="方正仿宋_GBK" w:cs="Times New Roman"/>
          <w:color w:val="auto"/>
          <w:kern w:val="0"/>
          <w:sz w:val="32"/>
          <w:szCs w:val="32"/>
        </w:rPr>
        <w:t>万元，</w:t>
      </w:r>
      <w:r>
        <w:rPr>
          <w:rFonts w:hint="eastAsia" w:ascii="Times New Roman" w:hAnsi="Times New Roman" w:eastAsia="方正仿宋_GBK" w:cs="Times New Roman"/>
          <w:color w:val="auto"/>
          <w:kern w:val="0"/>
          <w:sz w:val="32"/>
          <w:szCs w:val="32"/>
        </w:rPr>
        <w:t>与</w:t>
      </w:r>
      <w:r>
        <w:rPr>
          <w:rFonts w:ascii="Times New Roman" w:hAnsi="Times New Roman" w:eastAsia="方正仿宋_GBK" w:cs="Times New Roman"/>
          <w:color w:val="auto"/>
          <w:kern w:val="0"/>
          <w:sz w:val="32"/>
          <w:szCs w:val="32"/>
        </w:rPr>
        <w:t>202</w:t>
      </w:r>
      <w:r>
        <w:rPr>
          <w:rFonts w:hint="eastAsia" w:ascii="Times New Roman" w:hAnsi="Times New Roman" w:eastAsia="方正仿宋_GBK" w:cs="Times New Roman"/>
          <w:color w:val="auto"/>
          <w:kern w:val="0"/>
          <w:sz w:val="32"/>
          <w:szCs w:val="32"/>
        </w:rPr>
        <w:t>4</w:t>
      </w:r>
      <w:r>
        <w:rPr>
          <w:rFonts w:ascii="Times New Roman" w:hAnsi="Times New Roman" w:eastAsia="方正仿宋_GBK" w:cs="Times New Roman"/>
          <w:color w:val="auto"/>
          <w:kern w:val="0"/>
          <w:sz w:val="32"/>
          <w:szCs w:val="32"/>
        </w:rPr>
        <w:t>年</w:t>
      </w:r>
      <w:r>
        <w:rPr>
          <w:rFonts w:hint="eastAsia" w:ascii="Times New Roman" w:hAnsi="Times New Roman" w:eastAsia="方正仿宋_GBK" w:cs="Times New Roman"/>
          <w:color w:val="auto"/>
          <w:kern w:val="0"/>
          <w:sz w:val="32"/>
          <w:szCs w:val="32"/>
        </w:rPr>
        <w:t>持平</w:t>
      </w:r>
      <w:r>
        <w:rPr>
          <w:rStyle w:val="14"/>
          <w:rFonts w:hint="eastAsia" w:eastAsia="方正仿宋_GBK"/>
          <w:color w:val="auto"/>
          <w:lang w:eastAsia="zh-CN"/>
        </w:rPr>
        <w:t>，</w:t>
      </w:r>
      <w:r>
        <w:rPr>
          <w:rFonts w:hint="eastAsia" w:ascii="Times New Roman" w:hAnsi="Times New Roman" w:eastAsia="方正仿宋_GBK" w:cs="Times New Roman"/>
          <w:color w:val="auto"/>
          <w:kern w:val="0"/>
          <w:sz w:val="32"/>
          <w:szCs w:val="32"/>
          <w:lang w:eastAsia="zh-CN"/>
        </w:rPr>
        <w:t>主要原因是无因公出国（境）事务安排</w:t>
      </w:r>
      <w:r>
        <w:rPr>
          <w:rFonts w:hint="eastAsia" w:ascii="Times New Roman" w:hAnsi="Times New Roman" w:eastAsia="方正仿宋_GBK" w:cs="Times New Roman"/>
          <w:color w:val="auto"/>
          <w:kern w:val="0"/>
          <w:sz w:val="32"/>
          <w:szCs w:val="32"/>
        </w:rPr>
        <w:t>；</w:t>
      </w:r>
      <w:r>
        <w:rPr>
          <w:rFonts w:ascii="Times New Roman" w:hAnsi="Times New Roman" w:eastAsia="方正仿宋_GBK" w:cs="Times New Roman"/>
          <w:color w:val="auto"/>
          <w:kern w:val="0"/>
          <w:sz w:val="32"/>
          <w:szCs w:val="32"/>
        </w:rPr>
        <w:t>公务接待费</w:t>
      </w:r>
      <w:r>
        <w:rPr>
          <w:rFonts w:hint="eastAsia" w:ascii="Times New Roman" w:hAnsi="Times New Roman" w:eastAsia="方正仿宋_GBK" w:cs="Times New Roman"/>
          <w:color w:val="auto"/>
          <w:kern w:val="0"/>
          <w:sz w:val="32"/>
          <w:szCs w:val="32"/>
        </w:rPr>
        <w:t>8.90</w:t>
      </w:r>
      <w:r>
        <w:rPr>
          <w:rFonts w:ascii="Times New Roman" w:hAnsi="Times New Roman" w:eastAsia="方正仿宋_GBK" w:cs="Times New Roman"/>
          <w:color w:val="auto"/>
          <w:kern w:val="0"/>
          <w:sz w:val="32"/>
          <w:szCs w:val="32"/>
        </w:rPr>
        <w:t>万元，</w:t>
      </w:r>
      <w:r>
        <w:rPr>
          <w:rFonts w:hint="eastAsia" w:ascii="Times New Roman" w:hAnsi="Times New Roman" w:eastAsia="方正仿宋_GBK" w:cs="Times New Roman"/>
          <w:color w:val="auto"/>
          <w:kern w:val="0"/>
          <w:sz w:val="32"/>
          <w:szCs w:val="32"/>
        </w:rPr>
        <w:t>与</w:t>
      </w:r>
      <w:r>
        <w:rPr>
          <w:rFonts w:ascii="Times New Roman" w:hAnsi="Times New Roman" w:eastAsia="方正仿宋_GBK" w:cs="Times New Roman"/>
          <w:color w:val="auto"/>
          <w:kern w:val="0"/>
          <w:sz w:val="32"/>
          <w:szCs w:val="32"/>
        </w:rPr>
        <w:t>202</w:t>
      </w:r>
      <w:r>
        <w:rPr>
          <w:rFonts w:hint="eastAsia" w:ascii="Times New Roman" w:hAnsi="Times New Roman" w:eastAsia="方正仿宋_GBK" w:cs="Times New Roman"/>
          <w:color w:val="auto"/>
          <w:kern w:val="0"/>
          <w:sz w:val="32"/>
          <w:szCs w:val="32"/>
        </w:rPr>
        <w:t>4</w:t>
      </w:r>
      <w:r>
        <w:rPr>
          <w:rFonts w:ascii="Times New Roman" w:hAnsi="Times New Roman" w:eastAsia="方正仿宋_GBK" w:cs="Times New Roman"/>
          <w:color w:val="auto"/>
          <w:kern w:val="0"/>
          <w:sz w:val="32"/>
          <w:szCs w:val="32"/>
        </w:rPr>
        <w:t>年</w:t>
      </w:r>
      <w:r>
        <w:rPr>
          <w:rFonts w:hint="eastAsia" w:ascii="Times New Roman" w:hAnsi="Times New Roman" w:eastAsia="方正仿宋_GBK" w:cs="Times New Roman"/>
          <w:color w:val="auto"/>
          <w:kern w:val="0"/>
          <w:sz w:val="32"/>
          <w:szCs w:val="32"/>
        </w:rPr>
        <w:t>持平</w:t>
      </w:r>
      <w:r>
        <w:rPr>
          <w:rFonts w:hint="eastAsia" w:ascii="Times New Roman" w:hAnsi="Times New Roman" w:eastAsia="方正仿宋_GBK" w:cs="Times New Roman"/>
          <w:color w:val="auto"/>
          <w:kern w:val="0"/>
          <w:sz w:val="32"/>
          <w:szCs w:val="32"/>
          <w:lang w:eastAsia="zh-CN"/>
        </w:rPr>
        <w:t>，</w:t>
      </w:r>
      <w:r>
        <w:rPr>
          <w:rFonts w:hint="eastAsia" w:ascii="Times New Roman" w:hAnsi="Times New Roman" w:eastAsia="方正仿宋_GBK" w:cs="Times New Roman"/>
          <w:color w:val="auto"/>
          <w:kern w:val="0"/>
          <w:sz w:val="32"/>
          <w:szCs w:val="32"/>
        </w:rPr>
        <w:t>主要原因是贯彻落实中央八项规定精神和厉行节约要求，从严控制“三公”经费</w:t>
      </w:r>
      <w:r>
        <w:rPr>
          <w:rFonts w:hint="eastAsia" w:ascii="Times New Roman" w:hAnsi="Times New Roman" w:eastAsia="方正仿宋_GBK" w:cs="Times New Roman"/>
          <w:color w:val="auto"/>
          <w:kern w:val="0"/>
          <w:sz w:val="32"/>
          <w:szCs w:val="32"/>
          <w:lang w:val="en-US" w:eastAsia="zh-CN"/>
        </w:rPr>
        <w:t>支出</w:t>
      </w:r>
      <w:r>
        <w:rPr>
          <w:rFonts w:ascii="Times New Roman" w:hAnsi="Times New Roman" w:eastAsia="方正仿宋_GBK" w:cs="Times New Roman"/>
          <w:color w:val="auto"/>
          <w:kern w:val="0"/>
          <w:sz w:val="32"/>
          <w:szCs w:val="32"/>
        </w:rPr>
        <w:t>；公务用车运行维护费</w:t>
      </w:r>
      <w:r>
        <w:rPr>
          <w:rFonts w:hint="eastAsia" w:ascii="Times New Roman" w:hAnsi="Times New Roman" w:eastAsia="方正仿宋_GBK" w:cs="Times New Roman"/>
          <w:color w:val="auto"/>
          <w:kern w:val="0"/>
          <w:sz w:val="32"/>
          <w:szCs w:val="32"/>
        </w:rPr>
        <w:t>12</w:t>
      </w:r>
      <w:r>
        <w:rPr>
          <w:rFonts w:ascii="Times New Roman" w:hAnsi="Times New Roman" w:eastAsia="方正仿宋_GBK" w:cs="Times New Roman"/>
          <w:color w:val="auto"/>
          <w:kern w:val="0"/>
          <w:sz w:val="32"/>
          <w:szCs w:val="32"/>
        </w:rPr>
        <w:t>万元，比202</w:t>
      </w:r>
      <w:r>
        <w:rPr>
          <w:rFonts w:hint="eastAsia" w:ascii="Times New Roman" w:hAnsi="Times New Roman" w:eastAsia="方正仿宋_GBK" w:cs="Times New Roman"/>
          <w:color w:val="auto"/>
          <w:kern w:val="0"/>
          <w:sz w:val="32"/>
          <w:szCs w:val="32"/>
        </w:rPr>
        <w:t>4年增加4</w:t>
      </w:r>
      <w:r>
        <w:rPr>
          <w:rFonts w:ascii="Times New Roman" w:hAnsi="Times New Roman" w:eastAsia="方正仿宋_GBK" w:cs="Times New Roman"/>
          <w:color w:val="auto"/>
          <w:kern w:val="0"/>
          <w:sz w:val="32"/>
          <w:szCs w:val="32"/>
        </w:rPr>
        <w:t>万元，主要原因是</w:t>
      </w:r>
      <w:r>
        <w:rPr>
          <w:rFonts w:hint="eastAsia" w:ascii="Times New Roman" w:hAnsi="Times New Roman" w:eastAsia="方正仿宋_GBK" w:cs="Times New Roman"/>
          <w:color w:val="auto"/>
          <w:kern w:val="0"/>
          <w:sz w:val="32"/>
          <w:szCs w:val="32"/>
        </w:rPr>
        <w:t>新购买了一辆公务车</w:t>
      </w:r>
      <w:r>
        <w:rPr>
          <w:rFonts w:ascii="Times New Roman" w:hAnsi="Times New Roman" w:eastAsia="方正仿宋_GBK" w:cs="Times New Roman"/>
          <w:color w:val="auto"/>
          <w:kern w:val="0"/>
          <w:sz w:val="32"/>
          <w:szCs w:val="32"/>
        </w:rPr>
        <w:t>；</w:t>
      </w:r>
      <w:r>
        <w:rPr>
          <w:rFonts w:hint="eastAsia" w:ascii="Times New Roman" w:hAnsi="Times New Roman" w:eastAsia="方正仿宋_GBK" w:cs="Times New Roman"/>
          <w:color w:val="auto"/>
          <w:kern w:val="0"/>
          <w:sz w:val="32"/>
          <w:szCs w:val="32"/>
        </w:rPr>
        <w:t>公务用车购置费0万元，与2024年持平</w:t>
      </w:r>
      <w:r>
        <w:rPr>
          <w:rFonts w:hint="eastAsia" w:ascii="Times New Roman" w:hAnsi="Times New Roman" w:eastAsia="方正仿宋_GBK" w:cs="Times New Roman"/>
          <w:color w:val="auto"/>
          <w:kern w:val="0"/>
          <w:sz w:val="32"/>
          <w:szCs w:val="32"/>
          <w:lang w:eastAsia="zh-CN"/>
        </w:rPr>
        <w:t>，</w:t>
      </w:r>
      <w:r>
        <w:rPr>
          <w:rFonts w:hint="eastAsia" w:ascii="Times New Roman" w:hAnsi="Times New Roman" w:eastAsia="方正仿宋_GBK" w:cs="Times New Roman"/>
          <w:color w:val="auto"/>
          <w:kern w:val="0"/>
          <w:sz w:val="32"/>
          <w:szCs w:val="32"/>
        </w:rPr>
        <w:t>主要原因是无公务用车购置预算。</w:t>
      </w:r>
    </w:p>
    <w:p>
      <w:pPr>
        <w:keepNext w:val="0"/>
        <w:keepLines w:val="0"/>
        <w:pageBreakBefore w:val="0"/>
        <w:kinsoku/>
        <w:wordWrap/>
        <w:overflowPunct/>
        <w:topLinePunct w:val="0"/>
        <w:autoSpaceDE/>
        <w:autoSpaceDN/>
        <w:bidi w:val="0"/>
        <w:adjustRightInd/>
        <w:snapToGrid/>
        <w:spacing w:line="570" w:lineRule="exact"/>
        <w:textAlignment w:val="auto"/>
        <w:rPr>
          <w:rFonts w:eastAsia="方正小标宋_GBK"/>
          <w:color w:val="auto"/>
          <w:sz w:val="32"/>
          <w:szCs w:val="32"/>
        </w:rPr>
      </w:pPr>
    </w:p>
    <w:p>
      <w:pPr>
        <w:keepNext w:val="0"/>
        <w:keepLines w:val="0"/>
        <w:pageBreakBefore w:val="0"/>
        <w:kinsoku/>
        <w:wordWrap/>
        <w:overflowPunct/>
        <w:topLinePunct w:val="0"/>
        <w:autoSpaceDE/>
        <w:autoSpaceDN/>
        <w:bidi w:val="0"/>
        <w:adjustRightInd/>
        <w:snapToGrid/>
        <w:spacing w:line="570" w:lineRule="exact"/>
        <w:jc w:val="center"/>
        <w:textAlignment w:val="auto"/>
        <w:rPr>
          <w:rFonts w:ascii="方正楷体_GBK" w:hAnsi="Times New Roman" w:eastAsia="方正楷体_GBK" w:cs="Times New Roman"/>
          <w:color w:val="auto"/>
          <w:kern w:val="0"/>
          <w:sz w:val="32"/>
          <w:szCs w:val="32"/>
        </w:rPr>
      </w:pPr>
      <w:r>
        <w:rPr>
          <w:rFonts w:eastAsia="方正小标宋_GBK"/>
          <w:color w:val="auto"/>
          <w:sz w:val="32"/>
          <w:szCs w:val="32"/>
        </w:rPr>
        <w:t>名词解释</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eastAsia="方正黑体_GBK"/>
          <w:color w:val="auto"/>
          <w:kern w:val="0"/>
          <w:sz w:val="32"/>
          <w:szCs w:val="32"/>
        </w:rPr>
        <w:t>一般公共预算：</w:t>
      </w:r>
      <w:r>
        <w:rPr>
          <w:rFonts w:eastAsia="方正仿宋_GBK"/>
          <w:color w:val="auto"/>
          <w:kern w:val="0"/>
          <w:sz w:val="32"/>
          <w:szCs w:val="32"/>
        </w:rPr>
        <w:t>是对以税收为主体的财政收入，安排用于保障和改善民生、推动经济社会发展、维护国家安全、维持国家机构正常运转等方面的收支预算。包括税收收入和非税收入，其中，非税收入主要包括行政事业性收费收入、罚没收入、国有资源（资产）有偿使用收入等。</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eastAsia="方正黑体_GBK"/>
          <w:color w:val="auto"/>
          <w:kern w:val="0"/>
          <w:sz w:val="32"/>
          <w:szCs w:val="32"/>
        </w:rPr>
        <w:t>政府性基金预算：</w:t>
      </w:r>
      <w:r>
        <w:rPr>
          <w:rFonts w:eastAsia="方正仿宋_GBK"/>
          <w:color w:val="auto"/>
          <w:kern w:val="0"/>
          <w:sz w:val="32"/>
          <w:szCs w:val="32"/>
        </w:rPr>
        <w:t>是对依照法律、行政法规的规定在一定期限内向特定对象征收、收取或者以其他方式筹集的资金，专项用于特定公共事业发展的收支预算。主要包括土地收入、城市建设配套费。</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eastAsia="方正黑体_GBK"/>
          <w:color w:val="auto"/>
          <w:kern w:val="0"/>
          <w:sz w:val="32"/>
          <w:szCs w:val="32"/>
        </w:rPr>
        <w:t>国有资本经营预算：</w:t>
      </w:r>
      <w:r>
        <w:rPr>
          <w:rFonts w:eastAsia="方正仿宋_GBK"/>
          <w:color w:val="auto"/>
          <w:kern w:val="0"/>
          <w:sz w:val="32"/>
          <w:szCs w:val="32"/>
        </w:rPr>
        <w:t>是对国有资本收益作出支出安排的收支预算。主要为国企上缴利润收入、产权转让收入。</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eastAsia="方正黑体_GBK"/>
          <w:color w:val="auto"/>
          <w:kern w:val="0"/>
          <w:sz w:val="32"/>
          <w:szCs w:val="32"/>
        </w:rPr>
        <w:t>社保基金预算：</w:t>
      </w:r>
      <w:r>
        <w:rPr>
          <w:rFonts w:eastAsia="方正仿宋_GBK"/>
          <w:color w:val="auto"/>
          <w:kern w:val="0"/>
          <w:sz w:val="32"/>
          <w:szCs w:val="32"/>
        </w:rPr>
        <w:t>是对社会保险缴款、一般公共预算安排和其他方式筹集的资金，专项用于社会保险的收支预算。目前是全市统筹，由市统一编制、我县不单独编报。</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eastAsia="方正黑体_GBK"/>
          <w:color w:val="auto"/>
          <w:kern w:val="0"/>
          <w:sz w:val="32"/>
          <w:szCs w:val="32"/>
        </w:rPr>
        <w:t>债券资金：</w:t>
      </w:r>
      <w:r>
        <w:rPr>
          <w:rFonts w:eastAsia="方正仿宋_GBK"/>
          <w:color w:val="auto"/>
          <w:kern w:val="0"/>
          <w:sz w:val="32"/>
          <w:szCs w:val="32"/>
        </w:rPr>
        <w:t>即地方政府债券资金，是指重庆市政府以政府的信用为基础并承诺偿还本息，自主向社会发行地方政府债券筹集的财政资金。按债券发行类别分为置换债券资金和新增债券资金，按预算管理分为一般债券（纳入一般公共预算管理）和专项债券（纳入政府性基金预算管理）。</w:t>
      </w:r>
    </w:p>
    <w:p>
      <w:pPr>
        <w:keepNext w:val="0"/>
        <w:keepLines w:val="0"/>
        <w:pageBreakBefore w:val="0"/>
        <w:kinsoku/>
        <w:wordWrap/>
        <w:overflowPunct/>
        <w:topLinePunct w:val="0"/>
        <w:autoSpaceDE/>
        <w:autoSpaceDN/>
        <w:bidi w:val="0"/>
        <w:adjustRightInd/>
        <w:snapToGrid/>
        <w:spacing w:line="570" w:lineRule="exact"/>
        <w:ind w:firstLine="640" w:firstLineChars="200"/>
        <w:textAlignment w:val="auto"/>
        <w:rPr>
          <w:rFonts w:eastAsia="方正仿宋_GBK"/>
          <w:color w:val="auto"/>
          <w:kern w:val="0"/>
          <w:sz w:val="32"/>
          <w:szCs w:val="32"/>
        </w:rPr>
      </w:pPr>
      <w:r>
        <w:rPr>
          <w:rFonts w:eastAsia="方正黑体_GBK"/>
          <w:color w:val="auto"/>
          <w:kern w:val="0"/>
          <w:sz w:val="32"/>
          <w:szCs w:val="32"/>
        </w:rPr>
        <w:t>三公经费</w:t>
      </w:r>
      <w:r>
        <w:rPr>
          <w:rFonts w:eastAsia="方正仿宋_GBK"/>
          <w:color w:val="auto"/>
          <w:kern w:val="0"/>
          <w:sz w:val="32"/>
          <w:szCs w:val="32"/>
        </w:rPr>
        <w:t>：指政府部门公务出国（境）经费、公务车购置及运行费、公务接待费。</w:t>
      </w:r>
    </w:p>
    <w:p>
      <w:pPr>
        <w:pStyle w:val="9"/>
        <w:widowControl/>
        <w:shd w:val="clear" w:color="auto" w:fill="FFFFFF"/>
        <w:spacing w:beforeAutospacing="0" w:after="180" w:afterAutospacing="0" w:line="600" w:lineRule="atLeast"/>
        <w:jc w:val="center"/>
        <w:rPr>
          <w:rFonts w:ascii="Times New Roman" w:hAnsi="Times New Roman" w:eastAsia="方正仿宋_GBK"/>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Helvetica">
    <w:altName w:val="Noto Naskh Arabic"/>
    <w:panose1 w:val="020B0504020202030204"/>
    <w:charset w:val="00"/>
    <w:family w:val="swiss"/>
    <w:pitch w:val="default"/>
    <w:sig w:usb0="00000000" w:usb1="00000000" w:usb2="00000000" w:usb3="00000000" w:csb0="00000093" w:csb1="00000000"/>
  </w:font>
  <w:font w:name="Noto Naskh Arabic">
    <w:panose1 w:val="020B0502040504020204"/>
    <w:charset w:val="00"/>
    <w:family w:val="auto"/>
    <w:pitch w:val="default"/>
    <w:sig w:usb0="80002003" w:usb1="80002000" w:usb2="00000008" w:usb3="00000000" w:csb0="00000041" w:csb1="00080000"/>
  </w:font>
  <w:font w:name="Cambria">
    <w:altName w:val="Noto Sans Syriac Eastern"/>
    <w:panose1 w:val="02040503050406030204"/>
    <w:charset w:val="00"/>
    <w:family w:val="roman"/>
    <w:pitch w:val="default"/>
    <w:sig w:usb0="00000000" w:usb1="00000000" w:usb2="00000000" w:usb3="00000000" w:csb0="2000019F" w:csb1="00000000"/>
  </w:font>
  <w:font w:name="Noto Sans Syriac Eastern">
    <w:panose1 w:val="02040503050306020203"/>
    <w:charset w:val="86"/>
    <w:family w:val="auto"/>
    <w:pitch w:val="default"/>
    <w:sig w:usb0="00000000" w:usb1="00000000" w:usb2="00000080" w:usb3="00000000" w:csb0="203E0161" w:csb1="D7FF0000"/>
  </w:font>
  <w:font w:name="方正小标宋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仿宋_GB2312">
    <w:altName w:val="方正仿宋_GBK"/>
    <w:panose1 w:val="02000000000000000000"/>
    <w:charset w:val="86"/>
    <w:family w:val="auto"/>
    <w:pitch w:val="default"/>
    <w:sig w:usb0="00000000" w:usb1="00000000" w:usb2="00000012" w:usb3="00000000" w:csb0="00040001" w:csb1="00000000"/>
  </w:font>
  <w:font w:name="华文中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FDAF850"/>
    <w:multiLevelType w:val="singleLevel"/>
    <w:tmpl w:val="5FDAF850"/>
    <w:lvl w:ilvl="0" w:tentative="0">
      <w:start w:val="5"/>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FjNTBmZWM2ZTRmMzVmMTU0NGUwNjZjMWUxZjQ4NTQifQ=="/>
  </w:docVars>
  <w:rsids>
    <w:rsidRoot w:val="003C5D59"/>
    <w:rsid w:val="00190A7A"/>
    <w:rsid w:val="00323BF6"/>
    <w:rsid w:val="00325422"/>
    <w:rsid w:val="003C5D59"/>
    <w:rsid w:val="005C716D"/>
    <w:rsid w:val="006B6F22"/>
    <w:rsid w:val="00776BF3"/>
    <w:rsid w:val="008467CB"/>
    <w:rsid w:val="00866A66"/>
    <w:rsid w:val="00941616"/>
    <w:rsid w:val="00953237"/>
    <w:rsid w:val="00B310B1"/>
    <w:rsid w:val="00B90839"/>
    <w:rsid w:val="00D3296C"/>
    <w:rsid w:val="00D662AB"/>
    <w:rsid w:val="00D7749F"/>
    <w:rsid w:val="00F9294A"/>
    <w:rsid w:val="00FA0688"/>
    <w:rsid w:val="02404274"/>
    <w:rsid w:val="02D348C8"/>
    <w:rsid w:val="03A971AF"/>
    <w:rsid w:val="0A440753"/>
    <w:rsid w:val="0A463F28"/>
    <w:rsid w:val="0ED425D4"/>
    <w:rsid w:val="11B728B1"/>
    <w:rsid w:val="18974473"/>
    <w:rsid w:val="1A8B286B"/>
    <w:rsid w:val="1DBE5AE9"/>
    <w:rsid w:val="236F2793"/>
    <w:rsid w:val="247B1377"/>
    <w:rsid w:val="33672A2A"/>
    <w:rsid w:val="388163D9"/>
    <w:rsid w:val="39967F0E"/>
    <w:rsid w:val="3F7829EB"/>
    <w:rsid w:val="3F7F2C7A"/>
    <w:rsid w:val="45F82297"/>
    <w:rsid w:val="48052B82"/>
    <w:rsid w:val="4BE8259F"/>
    <w:rsid w:val="4C5A6076"/>
    <w:rsid w:val="53D91F09"/>
    <w:rsid w:val="582B1BBB"/>
    <w:rsid w:val="588601B0"/>
    <w:rsid w:val="599B134D"/>
    <w:rsid w:val="5A0E7551"/>
    <w:rsid w:val="5B6F6281"/>
    <w:rsid w:val="5C982E8A"/>
    <w:rsid w:val="5D6763A9"/>
    <w:rsid w:val="5FCD7B96"/>
    <w:rsid w:val="63F678C2"/>
    <w:rsid w:val="69F344C6"/>
    <w:rsid w:val="6C880567"/>
    <w:rsid w:val="6EB14F59"/>
    <w:rsid w:val="71812600"/>
    <w:rsid w:val="7A7E1067"/>
    <w:rsid w:val="7AD34A2A"/>
    <w:rsid w:val="7EAC199D"/>
    <w:rsid w:val="7F773E8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8"/>
    <w:qFormat/>
    <w:uiPriority w:val="0"/>
    <w:pPr>
      <w:jc w:val="left"/>
    </w:pPr>
  </w:style>
  <w:style w:type="paragraph" w:styleId="3">
    <w:name w:val="Body Text"/>
    <w:basedOn w:val="1"/>
    <w:next w:val="4"/>
    <w:qFormat/>
    <w:uiPriority w:val="0"/>
    <w:pPr>
      <w:spacing w:after="120"/>
    </w:pPr>
  </w:style>
  <w:style w:type="paragraph" w:customStyle="1" w:styleId="4">
    <w:name w:val="默认"/>
    <w:basedOn w:val="3"/>
    <w:next w:val="3"/>
    <w:qFormat/>
    <w:uiPriority w:val="0"/>
    <w:rPr>
      <w:rFonts w:ascii="Helvetica" w:hAnsi="Helvetica" w:eastAsia="宋体" w:cs="Helvetica"/>
      <w:color w:val="000000"/>
      <w:sz w:val="22"/>
      <w:szCs w:val="22"/>
    </w:rPr>
  </w:style>
  <w:style w:type="paragraph" w:styleId="5">
    <w:name w:val="Balloon Text"/>
    <w:basedOn w:val="1"/>
    <w:link w:val="20"/>
    <w:semiHidden/>
    <w:unhideWhenUsed/>
    <w:qFormat/>
    <w:uiPriority w:val="0"/>
    <w:rPr>
      <w:sz w:val="18"/>
      <w:szCs w:val="18"/>
    </w:rPr>
  </w:style>
  <w:style w:type="paragraph" w:styleId="6">
    <w:name w:val="footer"/>
    <w:basedOn w:val="1"/>
    <w:link w:val="16"/>
    <w:qFormat/>
    <w:uiPriority w:val="0"/>
    <w:pPr>
      <w:tabs>
        <w:tab w:val="center" w:pos="4153"/>
        <w:tab w:val="right" w:pos="8306"/>
      </w:tabs>
      <w:snapToGrid w:val="0"/>
      <w:jc w:val="left"/>
    </w:pPr>
    <w:rPr>
      <w:sz w:val="18"/>
      <w:szCs w:val="18"/>
    </w:rPr>
  </w:style>
  <w:style w:type="paragraph" w:styleId="7">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8">
    <w:name w:val="Message Header"/>
    <w:basedOn w:val="1"/>
    <w:next w:val="3"/>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9">
    <w:name w:val="Normal (Web)"/>
    <w:basedOn w:val="1"/>
    <w:qFormat/>
    <w:uiPriority w:val="0"/>
    <w:pPr>
      <w:spacing w:beforeAutospacing="1" w:afterAutospacing="1"/>
      <w:jc w:val="left"/>
    </w:pPr>
    <w:rPr>
      <w:rFonts w:cs="Times New Roman"/>
      <w:kern w:val="0"/>
      <w:sz w:val="24"/>
    </w:rPr>
  </w:style>
  <w:style w:type="paragraph" w:styleId="10">
    <w:name w:val="annotation subject"/>
    <w:basedOn w:val="2"/>
    <w:next w:val="2"/>
    <w:link w:val="19"/>
    <w:semiHidden/>
    <w:unhideWhenUsed/>
    <w:qFormat/>
    <w:uiPriority w:val="0"/>
    <w:rPr>
      <w:b/>
      <w:bCs/>
    </w:rPr>
  </w:style>
  <w:style w:type="character" w:styleId="13">
    <w:name w:val="Strong"/>
    <w:basedOn w:val="12"/>
    <w:qFormat/>
    <w:uiPriority w:val="0"/>
    <w:rPr>
      <w:b/>
    </w:rPr>
  </w:style>
  <w:style w:type="character" w:styleId="14">
    <w:name w:val="annotation reference"/>
    <w:basedOn w:val="12"/>
    <w:qFormat/>
    <w:uiPriority w:val="0"/>
    <w:rPr>
      <w:sz w:val="21"/>
      <w:szCs w:val="21"/>
    </w:rPr>
  </w:style>
  <w:style w:type="character" w:customStyle="1" w:styleId="15">
    <w:name w:val="页眉 Char"/>
    <w:basedOn w:val="12"/>
    <w:link w:val="7"/>
    <w:qFormat/>
    <w:uiPriority w:val="0"/>
    <w:rPr>
      <w:rFonts w:asciiTheme="minorHAnsi" w:hAnsiTheme="minorHAnsi" w:eastAsiaTheme="minorEastAsia" w:cstheme="minorBidi"/>
      <w:kern w:val="2"/>
      <w:sz w:val="18"/>
      <w:szCs w:val="18"/>
    </w:rPr>
  </w:style>
  <w:style w:type="character" w:customStyle="1" w:styleId="16">
    <w:name w:val="页脚 Char"/>
    <w:basedOn w:val="12"/>
    <w:link w:val="6"/>
    <w:qFormat/>
    <w:uiPriority w:val="0"/>
    <w:rPr>
      <w:rFonts w:asciiTheme="minorHAnsi" w:hAnsiTheme="minorHAnsi" w:eastAsiaTheme="minorEastAsia" w:cstheme="minorBidi"/>
      <w:kern w:val="2"/>
      <w:sz w:val="18"/>
      <w:szCs w:val="18"/>
    </w:rPr>
  </w:style>
  <w:style w:type="paragraph" w:customStyle="1" w:styleId="17">
    <w:name w:val="Normal Indent1"/>
    <w:basedOn w:val="1"/>
    <w:qFormat/>
    <w:uiPriority w:val="0"/>
    <w:pPr>
      <w:overflowPunct w:val="0"/>
      <w:autoSpaceDE w:val="0"/>
      <w:autoSpaceDN w:val="0"/>
      <w:adjustRightInd w:val="0"/>
      <w:snapToGrid w:val="0"/>
      <w:spacing w:line="594" w:lineRule="exact"/>
      <w:ind w:firstLine="420" w:firstLineChars="200"/>
    </w:pPr>
    <w:rPr>
      <w:rFonts w:ascii="Times New Roman" w:hAnsi="Times New Roman"/>
      <w:sz w:val="32"/>
      <w:szCs w:val="20"/>
    </w:rPr>
  </w:style>
  <w:style w:type="character" w:customStyle="1" w:styleId="18">
    <w:name w:val="批注文字 Char"/>
    <w:basedOn w:val="12"/>
    <w:link w:val="2"/>
    <w:qFormat/>
    <w:uiPriority w:val="0"/>
    <w:rPr>
      <w:rFonts w:asciiTheme="minorHAnsi" w:hAnsiTheme="minorHAnsi" w:eastAsiaTheme="minorEastAsia" w:cstheme="minorBidi"/>
      <w:kern w:val="2"/>
      <w:sz w:val="21"/>
      <w:szCs w:val="24"/>
    </w:rPr>
  </w:style>
  <w:style w:type="character" w:customStyle="1" w:styleId="19">
    <w:name w:val="批注主题 Char"/>
    <w:basedOn w:val="18"/>
    <w:link w:val="10"/>
    <w:semiHidden/>
    <w:qFormat/>
    <w:uiPriority w:val="0"/>
    <w:rPr>
      <w:rFonts w:asciiTheme="minorHAnsi" w:hAnsiTheme="minorHAnsi" w:eastAsiaTheme="minorEastAsia" w:cstheme="minorBidi"/>
      <w:b/>
      <w:bCs/>
      <w:kern w:val="2"/>
      <w:sz w:val="21"/>
      <w:szCs w:val="24"/>
    </w:rPr>
  </w:style>
  <w:style w:type="character" w:customStyle="1" w:styleId="20">
    <w:name w:val="批注框文本 Char"/>
    <w:basedOn w:val="12"/>
    <w:link w:val="5"/>
    <w:semiHidden/>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Pages>
  <Words>3084</Words>
  <Characters>3367</Characters>
  <Lines>22</Lines>
  <Paragraphs>6</Paragraphs>
  <TotalTime>10</TotalTime>
  <ScaleCrop>false</ScaleCrop>
  <LinksUpToDate>false</LinksUpToDate>
  <CharactersWithSpaces>3370</CharactersWithSpaces>
  <Application>WPS Office_11.8.2.1127_F1E327BC-269C-435d-A152-05C5408002CA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2024-02-19T19:43:00Z</dcterms:created>
  <dc:creator>Administrator</dc:creator>
  <cp:lastModifiedBy>xnh</cp:lastModifiedBy>
  <dcterms:modified xsi:type="dcterms:W3CDTF">2025-04-27T11:40:40Z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2052-11.8.2.1127</vt:lpwstr>
  </property>
  <property fmtid="{D5CDD505-2E9C-101B-9397-08002B2CF9AE}" pid="3" name="ICV">
    <vt:lpwstr>3DEC6E0AF3244E399F83F1FFBB6A9553_12</vt:lpwstr>
  </property>
  <property fmtid="{D5CDD505-2E9C-101B-9397-08002B2CF9AE}" pid="4" name="KSOTemplateDocerSaveRecord">
    <vt:lpwstr>eyJoZGlkIjoiYjViOGNlZjk4NDM5NTVjMjZhY2ZlNDQ4NjBhMjBiZDQiLCJ1c2VySWQiOiIxMTU3MDkwNjIzIn0=</vt:lpwstr>
  </property>
</Properties>
</file>