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重庆市丰都县人民政府办公室</w:t>
      </w:r>
    </w:p>
    <w:p>
      <w:pPr>
        <w:jc w:val="center"/>
        <w:rPr>
          <w:rFonts w:ascii="方正小标宋_GBK" w:eastAsia="方正小标宋_GBK"/>
          <w:sz w:val="44"/>
          <w:szCs w:val="44"/>
        </w:rPr>
      </w:pPr>
      <w:r>
        <w:rPr>
          <w:rFonts w:hint="eastAsia" w:ascii="方正小标宋_GBK" w:eastAsia="方正小标宋_GBK"/>
          <w:sz w:val="44"/>
          <w:szCs w:val="44"/>
        </w:rPr>
        <w:t>2021年度部门决算情况说明</w:t>
      </w:r>
    </w:p>
    <w:p>
      <w:pPr>
        <w:ind w:firstLine="707" w:firstLineChars="221"/>
        <w:rPr>
          <w:rFonts w:ascii="方正黑体_GBK" w:eastAsia="方正黑体_GBK"/>
          <w:sz w:val="32"/>
          <w:szCs w:val="32"/>
        </w:rPr>
      </w:pPr>
      <w:r>
        <w:rPr>
          <w:rFonts w:hint="eastAsia" w:ascii="方正黑体_GBK" w:eastAsia="方正黑体_GBK"/>
          <w:sz w:val="32"/>
          <w:szCs w:val="32"/>
        </w:rPr>
        <w:t>一、部门基本情况</w:t>
      </w:r>
    </w:p>
    <w:p>
      <w:pPr>
        <w:ind w:firstLine="707" w:firstLineChars="221"/>
        <w:rPr>
          <w:rFonts w:ascii="方正仿宋_GBK" w:eastAsia="方正仿宋_GBK"/>
          <w:sz w:val="32"/>
          <w:szCs w:val="32"/>
        </w:rPr>
      </w:pPr>
      <w:r>
        <w:rPr>
          <w:rFonts w:hint="eastAsia" w:ascii="方正楷体_GBK" w:eastAsia="方正楷体_GBK"/>
          <w:sz w:val="32"/>
          <w:szCs w:val="32"/>
        </w:rPr>
        <w:t>（一）职能职责。</w:t>
      </w:r>
      <w:r>
        <w:rPr>
          <w:rFonts w:hint="eastAsia" w:ascii="方正仿宋_GBK" w:eastAsia="方正仿宋_GBK"/>
          <w:sz w:val="32"/>
          <w:szCs w:val="32"/>
        </w:rPr>
        <w:t>丰都县人民政府办公室负责县政府全体会、县</w:t>
      </w:r>
      <w:r>
        <w:rPr>
          <w:rFonts w:hint="eastAsia" w:ascii="方正仿宋_GBK" w:eastAsia="方正仿宋_GBK"/>
          <w:sz w:val="32"/>
          <w:szCs w:val="32"/>
          <w:lang w:eastAsia="zh-CN"/>
        </w:rPr>
        <w:t>政府常务会议</w:t>
      </w:r>
      <w:r>
        <w:rPr>
          <w:rFonts w:hint="eastAsia" w:ascii="方正仿宋_GBK" w:eastAsia="方正仿宋_GBK"/>
          <w:sz w:val="32"/>
          <w:szCs w:val="32"/>
        </w:rPr>
        <w:t>、县长办公会及由县政府领导主持召开的各种议事会议的会务工作，协助县政府领导同志组织实施会议决定事项。负责组织起草、审核、编发以县政府、县政府办公室名义发布的文件、县政府重要会议报告、县政府领导讲话等材料。研究各乡镇人民政府（街道办事处）和县政府各部门请示县政府的事项，提出拟办意见，报县政府领导同志审批；受县政府领导委托协调处理有关政务事项。加强对各乡镇人民政府（街道办事处）、县政府各部门贯彻执行市政府、县政府的文件、会议决定事项及县政府出台重大政策、县政府领导交办事项的督查督办及报告工作。加强调查研究，向县政府领导同志提供反映政府工作以及全县经济社会发展中的重要情况，为县政府领导同志把握全局、科学决策提供及时、准确、全面的服务。负责全县政府系统政务信息工作的管理、指导，负责政务信息的上报、编发工作。加强对全县政务（政府信息）公开及电子政务工作的指导和监督。负责县政府政务值班、县长公开电话与公开电子信箱办理工作，及时报告重要情况，传达和督促落实县政府领导指示。负责督促、检查县政府有关部门（单位）办理人大代表建议、政协委员提案工作。负责组织、协调政府系统的全县性重大活动。负责组织、协调、指导、规范、监督本级政府部门、有关单位行政审批服务工作。负责县政府办公室的思想政治教育、人事管理、机关党建、纪检监察和后勤保障、车辆管理工作。牵头推进行政审批制度改革。负责外事工作。负责金融行政管理。负责商业保理、租赁、典当管理。负责机关事务行政管理。负责政府职能转变、“放管服”改革以及推进“互联网+政务服务”工作。贯彻执行国家有关口岸工作的法律法规、规章和方针政策，起草我县口岸工作的政府性规章，拟订口岸综合管理规范性文件并组织实施；牵头编制并组织实施口岸发展规划及年度计划；负责检查督促和参与组织口岸查验配套设施的规划、设计、投资、建设和改造工作；负责开放范围内新建码头等涉外作业区对外开通启用的审查报批工作。办理县政府和县政府领导同志交办的其他事项。</w:t>
      </w:r>
    </w:p>
    <w:p>
      <w:pPr>
        <w:ind w:firstLine="707" w:firstLineChars="221"/>
        <w:rPr>
          <w:rFonts w:ascii="方正仿宋_GBK" w:eastAsia="方正仿宋_GBK"/>
          <w:sz w:val="32"/>
          <w:szCs w:val="32"/>
        </w:rPr>
      </w:pPr>
      <w:r>
        <w:rPr>
          <w:rFonts w:hint="eastAsia" w:ascii="方正楷体_GBK" w:eastAsia="方正楷体_GBK"/>
          <w:sz w:val="32"/>
          <w:szCs w:val="32"/>
        </w:rPr>
        <w:t>（二）机构设置。</w:t>
      </w:r>
      <w:r>
        <w:rPr>
          <w:rFonts w:hint="eastAsia" w:ascii="方正仿宋_GBK" w:eastAsia="方正仿宋_GBK"/>
          <w:sz w:val="32"/>
          <w:szCs w:val="32"/>
        </w:rPr>
        <w:t>丰都县人民政府办公室（丰都县政府外事办公室、丰都县政务服务管理办公室）设13个内设机构：县政府值班室、综合科、信息科、秘书一科、秘书二科、秘书三科、督查科、政务服务管理科、金融管理科、口岸管理科（口岸管理办公室）、外事科、政工科和后勤服务科；管理2个事业单位：丰都县口岸发展服务中心和丰都县突发事件预警信息发布中心（县气象局代为管理）。</w:t>
      </w:r>
    </w:p>
    <w:p>
      <w:pPr>
        <w:ind w:firstLine="707" w:firstLineChars="221"/>
        <w:rPr>
          <w:rFonts w:ascii="方正仿宋_GBK" w:eastAsia="方正仿宋_GBK"/>
          <w:sz w:val="32"/>
          <w:szCs w:val="32"/>
        </w:rPr>
      </w:pPr>
      <w:r>
        <w:rPr>
          <w:rFonts w:hint="eastAsia" w:ascii="方正楷体_GBK" w:eastAsia="方正楷体_GBK"/>
          <w:sz w:val="32"/>
          <w:szCs w:val="32"/>
        </w:rPr>
        <w:t>（三）单位构成。</w:t>
      </w:r>
      <w:r>
        <w:rPr>
          <w:rFonts w:hint="eastAsia" w:ascii="方正仿宋_GBK" w:eastAsia="方正仿宋_GBK"/>
          <w:sz w:val="32"/>
          <w:szCs w:val="32"/>
        </w:rPr>
        <w:t>从预算单位构成看，纳入本部门2021年度决算编制的二级预算单位包括丰都县人民政府办公室（本级）、丰都县机关事务管理中心和丰都县行政服务中心。</w:t>
      </w:r>
    </w:p>
    <w:p>
      <w:pPr>
        <w:ind w:firstLine="707" w:firstLineChars="221"/>
        <w:rPr>
          <w:rFonts w:ascii="方正黑体_GBK" w:eastAsia="方正黑体_GBK"/>
          <w:sz w:val="32"/>
          <w:szCs w:val="32"/>
        </w:rPr>
      </w:pPr>
      <w:r>
        <w:rPr>
          <w:rFonts w:hint="eastAsia" w:ascii="方正黑体_GBK" w:eastAsia="方正黑体_GBK"/>
          <w:sz w:val="32"/>
          <w:szCs w:val="32"/>
        </w:rPr>
        <w:t>二、部门决算情况说明</w:t>
      </w:r>
    </w:p>
    <w:p>
      <w:pPr>
        <w:ind w:firstLine="707" w:firstLineChars="221"/>
        <w:rPr>
          <w:rFonts w:ascii="方正楷体_GBK" w:eastAsia="方正楷体_GBK"/>
          <w:sz w:val="32"/>
          <w:szCs w:val="32"/>
        </w:rPr>
      </w:pPr>
      <w:r>
        <w:rPr>
          <w:rFonts w:hint="eastAsia" w:ascii="方正楷体_GBK" w:eastAsia="方正楷体_GBK"/>
          <w:sz w:val="32"/>
          <w:szCs w:val="32"/>
        </w:rPr>
        <w:t>（一）收入支出决算总体情况说明。</w:t>
      </w:r>
    </w:p>
    <w:p>
      <w:pPr>
        <w:ind w:firstLine="707" w:firstLineChars="221"/>
        <w:rPr>
          <w:rFonts w:ascii="方正仿宋_GBK" w:eastAsia="方正仿宋_GBK"/>
          <w:sz w:val="32"/>
          <w:szCs w:val="32"/>
        </w:rPr>
      </w:pPr>
      <w:r>
        <w:rPr>
          <w:rFonts w:hint="eastAsia" w:ascii="方正仿宋_GBK" w:eastAsia="方正仿宋_GBK"/>
          <w:sz w:val="32"/>
          <w:szCs w:val="32"/>
        </w:rPr>
        <w:t>1.总体情况。2021年度收入总计5,273.69万元，支出总计5,273.69万元。收支较上年决算数增加1,941.42万元、增长58.3%，主要原因是追加党政办公大楼产权办理、厕所整改整修、第二行政办公用房租金、政务大厅“一窗综办”改革等项目。</w:t>
      </w:r>
    </w:p>
    <w:p>
      <w:pPr>
        <w:ind w:firstLine="707" w:firstLineChars="221"/>
        <w:rPr>
          <w:rFonts w:ascii="方正仿宋_GBK" w:eastAsia="方正仿宋_GBK"/>
          <w:sz w:val="32"/>
          <w:szCs w:val="32"/>
        </w:rPr>
      </w:pPr>
      <w:r>
        <w:rPr>
          <w:rFonts w:hint="eastAsia" w:ascii="方正仿宋_GBK" w:eastAsia="方正仿宋_GBK"/>
          <w:sz w:val="32"/>
          <w:szCs w:val="32"/>
        </w:rPr>
        <w:t>2.收入情况。2021年度收入合计5,244.86万元（不含年初结转和结余28.83万元），较上年决算数增加1,929.76万元，增长58.2%，主要原因是追加党政办公大楼产权办理、厕所整改整修、第二行政办公用房租金、政务大厅“一窗综办”改革等项目。其中：财政拨款收入5,226.94万元，占99.7%；其他收入17.92万元，占0.3%。此外，使用非财政拨款结余0.00万元，年初结转和结余28.83万元。</w:t>
      </w:r>
    </w:p>
    <w:p>
      <w:pPr>
        <w:ind w:firstLine="707" w:firstLineChars="221"/>
        <w:rPr>
          <w:rFonts w:ascii="方正仿宋_GBK" w:eastAsia="方正仿宋_GBK"/>
          <w:sz w:val="32"/>
          <w:szCs w:val="32"/>
        </w:rPr>
      </w:pPr>
      <w:r>
        <w:rPr>
          <w:rFonts w:hint="eastAsia" w:ascii="方正仿宋_GBK" w:eastAsia="方正仿宋_GBK"/>
          <w:sz w:val="32"/>
          <w:szCs w:val="32"/>
        </w:rPr>
        <w:t>3.支出情况。2021年度支出合计5,246.88万元，较上年决算数增加1,929.76万元，增长58.1%，主要原因是追加党政办公大楼产权办理、厕所整改整修、第二行政办公用房租金、政务大厅“一窗综办”改革等项目。其中：基本支出1,913.74万元，占36.5%；项目支出3,333.14万元，占63.5%。此外，无结余分配。</w:t>
      </w:r>
    </w:p>
    <w:p>
      <w:pPr>
        <w:ind w:firstLine="707" w:firstLineChars="221"/>
        <w:rPr>
          <w:rFonts w:ascii="方正仿宋_GBK" w:eastAsia="方正仿宋_GBK"/>
          <w:sz w:val="32"/>
          <w:szCs w:val="32"/>
        </w:rPr>
      </w:pPr>
      <w:r>
        <w:rPr>
          <w:rFonts w:hint="eastAsia" w:ascii="方正仿宋_GBK" w:eastAsia="方正仿宋_GBK"/>
          <w:sz w:val="32"/>
          <w:szCs w:val="32"/>
        </w:rPr>
        <w:t>4.结转结余情况。2021年度年末结转和结余26.81万元，较上年决算数增加11.66万元，增长77%，主要原因是收回以前年度支出。</w:t>
      </w:r>
    </w:p>
    <w:p>
      <w:pPr>
        <w:ind w:firstLine="707" w:firstLineChars="221"/>
        <w:rPr>
          <w:rFonts w:ascii="方正楷体_GBK" w:eastAsia="方正楷体_GBK"/>
          <w:sz w:val="32"/>
          <w:szCs w:val="32"/>
        </w:rPr>
      </w:pPr>
      <w:r>
        <w:rPr>
          <w:rFonts w:hint="eastAsia" w:ascii="方正楷体_GBK" w:eastAsia="方正楷体_GBK"/>
          <w:sz w:val="32"/>
          <w:szCs w:val="32"/>
        </w:rPr>
        <w:t>（二）财政拨款收入支出决算总体情况说明。</w:t>
      </w:r>
    </w:p>
    <w:p>
      <w:pPr>
        <w:ind w:firstLine="707" w:firstLineChars="221"/>
        <w:rPr>
          <w:rFonts w:ascii="方正仿宋_GBK" w:eastAsia="方正仿宋_GBK"/>
          <w:sz w:val="32"/>
          <w:szCs w:val="32"/>
        </w:rPr>
      </w:pPr>
      <w:r>
        <w:rPr>
          <w:rFonts w:hint="eastAsia" w:ascii="方正仿宋_GBK" w:eastAsia="方正仿宋_GBK"/>
          <w:sz w:val="32"/>
          <w:szCs w:val="32"/>
        </w:rPr>
        <w:t>2021年度财政拨款收、支总计5,255.78万元。与2020年相比，财政拨款收、支总计各增加1,923.51万元，增长57.7%。主要原因是追加党政办公大楼产权办理、厕所整改整修、第二行政办公用房租金、政务大厅“一窗综办”改革等项目。</w:t>
      </w:r>
    </w:p>
    <w:p>
      <w:pPr>
        <w:ind w:firstLine="707" w:firstLineChars="221"/>
        <w:rPr>
          <w:rFonts w:ascii="方正楷体_GBK" w:eastAsia="方正楷体_GBK"/>
          <w:sz w:val="32"/>
          <w:szCs w:val="32"/>
        </w:rPr>
      </w:pPr>
      <w:r>
        <w:rPr>
          <w:rFonts w:hint="eastAsia" w:ascii="方正楷体_GBK" w:eastAsia="方正楷体_GBK"/>
          <w:sz w:val="32"/>
          <w:szCs w:val="32"/>
        </w:rPr>
        <w:t>（三）一般公共预算财政拨款收入支出决算情况说明。</w:t>
      </w:r>
    </w:p>
    <w:p>
      <w:pPr>
        <w:ind w:firstLine="707" w:firstLineChars="221"/>
        <w:rPr>
          <w:rFonts w:ascii="方正仿宋_GBK" w:eastAsia="方正仿宋_GBK"/>
          <w:sz w:val="32"/>
          <w:szCs w:val="32"/>
        </w:rPr>
      </w:pPr>
      <w:r>
        <w:rPr>
          <w:rFonts w:hint="eastAsia" w:ascii="方正仿宋_GBK" w:eastAsia="方正仿宋_GBK"/>
          <w:sz w:val="32"/>
          <w:szCs w:val="32"/>
        </w:rPr>
        <w:t>1.收入情况。2021年度一般公共预算财政拨款收入5,226.94万元，较上年决算数增加1,911.84万元，增长57.7%。主要原因是追加党政办公大楼产权办理、厕所整改整修、第二行政办公用房租金、政务大厅“一窗综办”改革等项目。较年初预算数增加1,560.14万元，增长42.5%。主要原因是追加党政办公大楼产权办理、厕所整改整修、第二行政办公用房租金、政务大厅“一窗综办”改革等项目。此外，年初财政拨款结转和结余28.83万元。</w:t>
      </w:r>
    </w:p>
    <w:p>
      <w:pPr>
        <w:ind w:firstLine="707" w:firstLineChars="221"/>
        <w:rPr>
          <w:rFonts w:ascii="方正仿宋_GBK" w:eastAsia="方正仿宋_GBK"/>
          <w:sz w:val="32"/>
          <w:szCs w:val="32"/>
        </w:rPr>
      </w:pPr>
      <w:r>
        <w:rPr>
          <w:rFonts w:hint="eastAsia" w:ascii="方正仿宋_GBK" w:eastAsia="方正仿宋_GBK"/>
          <w:sz w:val="32"/>
          <w:szCs w:val="32"/>
        </w:rPr>
        <w:t>2.支出情况。2021年度一般公共预算财政拨款支出5,229.26万元，较上年决算数增加1,912.14万元，增长57.6%。主要原因是追加党政办公大楼产权办理、厕所整改整修、第二行政办公用房租金、政务大厅“一窗综办”改革等项目。较年初预算数增加1,562.46万元，增长42.6%。主要原因是追加党政办公大楼产权办理、厕所整改整修、第二行政办公用房租金、政务大厅“一窗综办”改革等项目。</w:t>
      </w:r>
    </w:p>
    <w:p>
      <w:pPr>
        <w:ind w:firstLine="707" w:firstLineChars="221"/>
        <w:rPr>
          <w:rFonts w:ascii="方正仿宋_GBK" w:eastAsia="方正仿宋_GBK"/>
          <w:sz w:val="32"/>
          <w:szCs w:val="32"/>
        </w:rPr>
      </w:pPr>
      <w:r>
        <w:rPr>
          <w:rFonts w:hint="eastAsia" w:ascii="方正仿宋_GBK" w:eastAsia="方正仿宋_GBK"/>
          <w:sz w:val="32"/>
          <w:szCs w:val="32"/>
        </w:rPr>
        <w:t>3.结转结余情况。2021年度年末一般公共预算财政拨款结转和结余26.52万元，较上年决算数增加11.37万元，增长75%，主要原因是收回以前年度支出。</w:t>
      </w:r>
    </w:p>
    <w:p>
      <w:pPr>
        <w:ind w:firstLine="707" w:firstLineChars="221"/>
        <w:rPr>
          <w:rFonts w:ascii="方正仿宋_GBK" w:eastAsia="方正仿宋_GBK"/>
          <w:sz w:val="32"/>
          <w:szCs w:val="32"/>
        </w:rPr>
      </w:pPr>
      <w:r>
        <w:rPr>
          <w:rFonts w:hint="eastAsia" w:ascii="方正仿宋_GBK" w:eastAsia="方正仿宋_GBK"/>
          <w:sz w:val="32"/>
          <w:szCs w:val="32"/>
        </w:rPr>
        <w:t>4.比较情况。本部门2021年度一般公共预算财政拨款支出主要用于以下几个方面：</w:t>
      </w:r>
    </w:p>
    <w:p>
      <w:pPr>
        <w:ind w:firstLine="707" w:firstLineChars="221"/>
        <w:rPr>
          <w:rFonts w:ascii="方正仿宋_GBK" w:eastAsia="方正仿宋_GBK"/>
          <w:sz w:val="32"/>
          <w:szCs w:val="32"/>
        </w:rPr>
      </w:pPr>
      <w:r>
        <w:rPr>
          <w:rFonts w:hint="eastAsia" w:ascii="方正仿宋_GBK" w:eastAsia="方正仿宋_GBK"/>
          <w:sz w:val="32"/>
          <w:szCs w:val="32"/>
        </w:rPr>
        <w:t>（1）一般公共服务支出4,577.65万元，占87.5%，较年初预算数增加1,363.17万元，增长42.4%，主要原因是追加厕所整改整修、第二行政办公用房租金、政务大厅“一窗综办”改革等项目。</w:t>
      </w:r>
    </w:p>
    <w:p>
      <w:pPr>
        <w:ind w:firstLine="707" w:firstLineChars="221"/>
        <w:rPr>
          <w:rFonts w:ascii="方正仿宋_GBK" w:eastAsia="方正仿宋_GBK"/>
          <w:sz w:val="32"/>
          <w:szCs w:val="32"/>
        </w:rPr>
      </w:pPr>
      <w:r>
        <w:rPr>
          <w:rFonts w:hint="eastAsia" w:ascii="方正仿宋_GBK" w:eastAsia="方正仿宋_GBK"/>
          <w:sz w:val="32"/>
          <w:szCs w:val="32"/>
        </w:rPr>
        <w:t>（2）社会保障与就业支出352.50万元，占6.7%，较年初预算数增加69.19万元，增长24.4%，主要原因是退休人员健康休养标准提高，补交以前年度职业年金。</w:t>
      </w:r>
    </w:p>
    <w:p>
      <w:pPr>
        <w:ind w:firstLine="707" w:firstLineChars="221"/>
        <w:rPr>
          <w:rFonts w:ascii="方正仿宋_GBK" w:eastAsia="方正仿宋_GBK"/>
          <w:sz w:val="32"/>
          <w:szCs w:val="32"/>
        </w:rPr>
      </w:pPr>
      <w:r>
        <w:rPr>
          <w:rFonts w:hint="eastAsia" w:ascii="方正仿宋_GBK" w:eastAsia="方正仿宋_GBK"/>
          <w:sz w:val="32"/>
          <w:szCs w:val="32"/>
        </w:rPr>
        <w:t>（3）卫生健康支出99.23万元，占1.9%，较年初预算数减少1.47万元，下降1.5%，主要原因是人员调动，医疗费用下降。</w:t>
      </w:r>
    </w:p>
    <w:p>
      <w:pPr>
        <w:ind w:firstLine="707" w:firstLineChars="221"/>
        <w:rPr>
          <w:rFonts w:ascii="方正仿宋_GBK" w:eastAsia="方正仿宋_GBK"/>
          <w:sz w:val="32"/>
          <w:szCs w:val="32"/>
        </w:rPr>
      </w:pPr>
      <w:r>
        <w:rPr>
          <w:rFonts w:hint="eastAsia" w:ascii="方正仿宋_GBK" w:eastAsia="方正仿宋_GBK"/>
          <w:sz w:val="32"/>
          <w:szCs w:val="32"/>
        </w:rPr>
        <w:t>（4）自然资源海洋气象等支出131.56万元，占2.5%，较年初预算数增加131.56万元，增长100%，主要原因是追加党政办公大楼产权办理项目，往年没有该类支出。</w:t>
      </w:r>
    </w:p>
    <w:p>
      <w:pPr>
        <w:ind w:firstLine="707" w:firstLineChars="221"/>
        <w:rPr>
          <w:rFonts w:ascii="方正仿宋_GBK" w:eastAsia="方正仿宋_GBK"/>
          <w:sz w:val="32"/>
          <w:szCs w:val="32"/>
        </w:rPr>
      </w:pPr>
      <w:r>
        <w:rPr>
          <w:rFonts w:hint="eastAsia" w:ascii="方正仿宋_GBK" w:eastAsia="方正仿宋_GBK"/>
          <w:sz w:val="32"/>
          <w:szCs w:val="32"/>
        </w:rPr>
        <w:t>（5）住房保障支出68.31万元，占1.3%，较年初预算数持平。</w:t>
      </w:r>
    </w:p>
    <w:p>
      <w:pPr>
        <w:ind w:firstLine="707" w:firstLineChars="221"/>
        <w:rPr>
          <w:rFonts w:ascii="方正楷体_GBK" w:eastAsia="方正楷体_GBK"/>
          <w:sz w:val="32"/>
          <w:szCs w:val="32"/>
        </w:rPr>
      </w:pPr>
      <w:r>
        <w:rPr>
          <w:rFonts w:hint="eastAsia" w:ascii="方正楷体_GBK" w:eastAsia="方正楷体_GBK"/>
          <w:sz w:val="32"/>
          <w:szCs w:val="32"/>
        </w:rPr>
        <w:t>（四）一般公共预算财政拨款基本支出决算情况说明。</w:t>
      </w:r>
    </w:p>
    <w:p>
      <w:pPr>
        <w:ind w:firstLine="707" w:firstLineChars="221"/>
        <w:rPr>
          <w:rFonts w:ascii="方正仿宋_GBK" w:eastAsia="方正仿宋_GBK"/>
          <w:sz w:val="32"/>
          <w:szCs w:val="32"/>
        </w:rPr>
      </w:pPr>
      <w:r>
        <w:rPr>
          <w:rFonts w:hint="eastAsia" w:ascii="方正仿宋_GBK" w:eastAsia="方正仿宋_GBK"/>
          <w:sz w:val="32"/>
          <w:szCs w:val="32"/>
        </w:rPr>
        <w:t>2021年度一般公共财政拨款基本支出1,910.19万元。其中：人员经费1,525.37万元，较上年决算数减少43.96万元，下降2.8%，主要原因是人员调动，人员经费下降。人员经费用途主要包括基本工资、津贴补贴、奖金、社会保障缴费等支出。公用经费384.83万元，较上年决算数增加7.58万元，增长2%，主要原因是劳务费较往年增加。公用经费用途主要包括办公费、印刷费、咨询费、水电费、邮电费、劳务费、工会经费、差旅费、公务用车运行维护费等支出。</w:t>
      </w:r>
    </w:p>
    <w:p>
      <w:pPr>
        <w:ind w:firstLine="707" w:firstLineChars="221"/>
        <w:rPr>
          <w:rFonts w:ascii="方正楷体_GBK" w:eastAsia="方正楷体_GBK"/>
          <w:sz w:val="32"/>
          <w:szCs w:val="32"/>
        </w:rPr>
      </w:pPr>
      <w:r>
        <w:rPr>
          <w:rFonts w:hint="eastAsia" w:ascii="方正楷体_GBK" w:eastAsia="方正楷体_GBK"/>
          <w:sz w:val="32"/>
          <w:szCs w:val="32"/>
        </w:rPr>
        <w:t>（五）政府性基金预算收支决算情况说明。</w:t>
      </w:r>
    </w:p>
    <w:p>
      <w:pPr>
        <w:ind w:firstLine="707" w:firstLineChars="221"/>
        <w:rPr>
          <w:rFonts w:ascii="方正仿宋_GBK" w:eastAsia="方正仿宋_GBK"/>
          <w:sz w:val="32"/>
          <w:szCs w:val="32"/>
        </w:rPr>
      </w:pPr>
      <w:r>
        <w:rPr>
          <w:rFonts w:hint="eastAsia" w:ascii="方正仿宋_GBK" w:eastAsia="方正仿宋_GBK"/>
          <w:sz w:val="32"/>
          <w:szCs w:val="32"/>
        </w:rPr>
        <w:t>本部门2021年度无政府性基金预算财政拨款收支。</w:t>
      </w:r>
    </w:p>
    <w:p>
      <w:pPr>
        <w:ind w:firstLine="707" w:firstLineChars="221"/>
        <w:rPr>
          <w:rFonts w:ascii="方正楷体_GBK" w:eastAsia="方正楷体_GBK"/>
          <w:sz w:val="32"/>
          <w:szCs w:val="32"/>
        </w:rPr>
      </w:pPr>
      <w:r>
        <w:rPr>
          <w:rFonts w:hint="eastAsia" w:ascii="方正楷体_GBK" w:eastAsia="方正楷体_GBK"/>
          <w:sz w:val="32"/>
          <w:szCs w:val="32"/>
        </w:rPr>
        <w:t>（六）国有资本经营预算财政拨款支出决算情况说明。</w:t>
      </w:r>
    </w:p>
    <w:p>
      <w:pPr>
        <w:ind w:firstLine="707" w:firstLineChars="221"/>
        <w:rPr>
          <w:rFonts w:ascii="方正仿宋_GBK" w:eastAsia="方正仿宋_GBK"/>
          <w:sz w:val="32"/>
          <w:szCs w:val="32"/>
        </w:rPr>
      </w:pPr>
      <w:r>
        <w:rPr>
          <w:rFonts w:hint="eastAsia" w:ascii="方正仿宋_GBK" w:eastAsia="方正仿宋_GBK"/>
          <w:sz w:val="32"/>
          <w:szCs w:val="32"/>
        </w:rPr>
        <w:t>本部门2021年度无国有资本经营预算</w:t>
      </w:r>
      <w:bookmarkStart w:id="0" w:name="_GoBack"/>
      <w:bookmarkEnd w:id="0"/>
      <w:r>
        <w:rPr>
          <w:rFonts w:hint="eastAsia" w:ascii="方正仿宋_GBK" w:eastAsia="方正仿宋_GBK"/>
          <w:sz w:val="32"/>
          <w:szCs w:val="32"/>
          <w:lang w:eastAsia="zh-CN"/>
        </w:rPr>
        <w:t>财政拨款支出</w:t>
      </w:r>
      <w:r>
        <w:rPr>
          <w:rFonts w:hint="eastAsia" w:ascii="方正仿宋_GBK" w:eastAsia="方正仿宋_GBK"/>
          <w:sz w:val="32"/>
          <w:szCs w:val="32"/>
        </w:rPr>
        <w:t>。</w:t>
      </w:r>
    </w:p>
    <w:p>
      <w:pPr>
        <w:ind w:firstLine="707" w:firstLineChars="221"/>
        <w:rPr>
          <w:rFonts w:ascii="方正黑体_GBK" w:eastAsia="方正黑体_GBK"/>
          <w:sz w:val="32"/>
          <w:szCs w:val="32"/>
        </w:rPr>
      </w:pPr>
      <w:r>
        <w:rPr>
          <w:rFonts w:hint="eastAsia" w:ascii="方正黑体_GBK" w:eastAsia="方正黑体_GBK"/>
          <w:sz w:val="32"/>
          <w:szCs w:val="32"/>
        </w:rPr>
        <w:t>三、“三公”经费情况说明</w:t>
      </w:r>
    </w:p>
    <w:p>
      <w:pPr>
        <w:ind w:firstLine="707" w:firstLineChars="221"/>
        <w:rPr>
          <w:rFonts w:ascii="方正楷体_GBK" w:eastAsia="方正楷体_GBK"/>
          <w:sz w:val="32"/>
          <w:szCs w:val="32"/>
        </w:rPr>
      </w:pPr>
      <w:r>
        <w:rPr>
          <w:rFonts w:hint="eastAsia" w:ascii="方正楷体_GBK" w:eastAsia="方正楷体_GBK"/>
          <w:sz w:val="32"/>
          <w:szCs w:val="32"/>
        </w:rPr>
        <w:t>（一）“三公”经费支出总体情况说明。</w:t>
      </w:r>
    </w:p>
    <w:p>
      <w:pPr>
        <w:ind w:firstLine="707" w:firstLineChars="221"/>
        <w:rPr>
          <w:rFonts w:ascii="方正仿宋_GBK" w:eastAsia="方正仿宋_GBK"/>
          <w:sz w:val="32"/>
          <w:szCs w:val="32"/>
        </w:rPr>
      </w:pPr>
      <w:r>
        <w:rPr>
          <w:rFonts w:hint="eastAsia" w:ascii="方正仿宋_GBK" w:eastAsia="方正仿宋_GBK"/>
          <w:sz w:val="32"/>
          <w:szCs w:val="32"/>
        </w:rPr>
        <w:t>2021年度“三公”经费支出共计282.21万元，较年初预算数减少31.29万元，下降10%，主要原因是节约开支。较上年支出数减少59.98万元，下降17.5%，主要原因是与上年相比，本年度更新购置公务车数量下降，公务车购置费下降较多。</w:t>
      </w:r>
    </w:p>
    <w:p>
      <w:pPr>
        <w:ind w:firstLine="707" w:firstLineChars="221"/>
        <w:rPr>
          <w:rFonts w:ascii="方正楷体_GBK" w:eastAsia="方正楷体_GBK"/>
          <w:sz w:val="32"/>
          <w:szCs w:val="32"/>
        </w:rPr>
      </w:pPr>
      <w:r>
        <w:rPr>
          <w:rFonts w:hint="eastAsia" w:ascii="方正楷体_GBK" w:eastAsia="方正楷体_GBK"/>
          <w:sz w:val="32"/>
          <w:szCs w:val="32"/>
        </w:rPr>
        <w:t>（二）“三公”经费分项支出情况。</w:t>
      </w:r>
    </w:p>
    <w:p>
      <w:pPr>
        <w:ind w:firstLine="707" w:firstLineChars="221"/>
        <w:rPr>
          <w:rFonts w:ascii="方正仿宋_GBK" w:eastAsia="方正仿宋_GBK"/>
          <w:sz w:val="32"/>
          <w:szCs w:val="32"/>
        </w:rPr>
      </w:pPr>
      <w:r>
        <w:rPr>
          <w:rFonts w:hint="eastAsia" w:ascii="方正仿宋_GBK" w:eastAsia="方正仿宋_GBK"/>
          <w:sz w:val="32"/>
          <w:szCs w:val="32"/>
        </w:rPr>
        <w:t>本单位2021年度未发生因公出国（境）费用。</w:t>
      </w:r>
    </w:p>
    <w:p>
      <w:pPr>
        <w:ind w:firstLine="707" w:firstLineChars="221"/>
        <w:rPr>
          <w:rFonts w:ascii="方正仿宋_GBK" w:eastAsia="方正仿宋_GBK"/>
          <w:sz w:val="32"/>
          <w:szCs w:val="32"/>
        </w:rPr>
      </w:pPr>
      <w:r>
        <w:rPr>
          <w:rFonts w:hint="eastAsia" w:ascii="方正仿宋_GBK" w:eastAsia="方正仿宋_GBK"/>
          <w:sz w:val="32"/>
          <w:szCs w:val="32"/>
        </w:rPr>
        <w:t>公务车购置费17.46万元，主要用于按程序处置一辆老旧公务用车后新购公务用车一辆。费用支出较年初预算数增加17.46万元，增长100%，主要原因是公务车购置费年初不预算。较上年支出数减少129.92万元，下降88.2%，主要原因是更新购置公务用车数量下降。</w:t>
      </w:r>
    </w:p>
    <w:p>
      <w:pPr>
        <w:ind w:firstLine="707" w:firstLineChars="221"/>
        <w:rPr>
          <w:rFonts w:ascii="方正仿宋_GBK" w:eastAsia="方正仿宋_GBK"/>
          <w:sz w:val="32"/>
          <w:szCs w:val="32"/>
        </w:rPr>
      </w:pPr>
      <w:r>
        <w:rPr>
          <w:rFonts w:hint="eastAsia" w:ascii="方正仿宋_GBK" w:eastAsia="方正仿宋_GBK"/>
          <w:sz w:val="32"/>
          <w:szCs w:val="32"/>
        </w:rPr>
        <w:t>公务车运行维护费151.67万元，主要用于市内因公出行等工作所需车辆的燃料费、维修费、过桥过路费、保险费等。费用支出较年初预算数减少60.33万元，下降28.5%，主要原因是节约开支。较上年支出数增加13.01万元，增长9.4%，主要原因是公务出车次数增多。</w:t>
      </w:r>
    </w:p>
    <w:p>
      <w:pPr>
        <w:ind w:firstLine="707" w:firstLineChars="221"/>
        <w:rPr>
          <w:rFonts w:ascii="方正仿宋_GBK" w:eastAsia="方正仿宋_GBK"/>
          <w:sz w:val="32"/>
          <w:szCs w:val="32"/>
        </w:rPr>
      </w:pPr>
      <w:r>
        <w:rPr>
          <w:rFonts w:hint="eastAsia" w:ascii="方正仿宋_GBK" w:eastAsia="方正仿宋_GBK"/>
          <w:sz w:val="32"/>
          <w:szCs w:val="32"/>
        </w:rPr>
        <w:t>公务接待费113.08万元，主要用于接待国内各省市及区县到我县学习调研、接受相关部门检查指导工作、接待来丰考察客商发生的接待支出。费用支出较年初预算数增加11.58万元，增长11.4%，主要原因是县机关事务中心增加疫情防控一线人员租车、送餐费用和脱贫攻坚下沉基层费用。较上年支出数增加56.93万元，增长101.4%，主要原因是县机关事务中心增加疫情防控一线人员租车、送餐费用和脱贫攻坚下沉基层费用。</w:t>
      </w:r>
    </w:p>
    <w:p>
      <w:pPr>
        <w:ind w:firstLine="707" w:firstLineChars="221"/>
        <w:rPr>
          <w:rFonts w:ascii="方正楷体_GBK" w:eastAsia="方正楷体_GBK"/>
          <w:sz w:val="32"/>
          <w:szCs w:val="32"/>
        </w:rPr>
      </w:pPr>
      <w:r>
        <w:rPr>
          <w:rFonts w:hint="eastAsia" w:ascii="方正楷体_GBK" w:eastAsia="方正楷体_GBK"/>
          <w:sz w:val="32"/>
          <w:szCs w:val="32"/>
        </w:rPr>
        <w:t>（三）“三公”经费实物量情况。</w:t>
      </w:r>
    </w:p>
    <w:p>
      <w:pPr>
        <w:ind w:firstLine="707" w:firstLineChars="221"/>
        <w:rPr>
          <w:rFonts w:ascii="方正仿宋_GBK" w:eastAsia="方正仿宋_GBK"/>
          <w:sz w:val="32"/>
          <w:szCs w:val="32"/>
        </w:rPr>
      </w:pPr>
      <w:r>
        <w:rPr>
          <w:rFonts w:hint="eastAsia" w:ascii="方正仿宋_GBK" w:eastAsia="方正仿宋_GBK"/>
          <w:sz w:val="32"/>
          <w:szCs w:val="32"/>
        </w:rPr>
        <w:t>2021年度本部门因公出国（境）共计0个团组，0人；公务用车购置1辆，公务车保有量为49辆；国内公务接待659批次9,281人，其中：国内外事接待0批次，0人；国（境）外公务接待0批次，0人。2021年本部门人均接待费121.84元，车均购置费17.46万元，车均维护费3.10万元。</w:t>
      </w:r>
    </w:p>
    <w:p>
      <w:pPr>
        <w:ind w:firstLine="707" w:firstLineChars="221"/>
        <w:rPr>
          <w:rFonts w:ascii="方正黑体_GBK" w:eastAsia="方正黑体_GBK"/>
          <w:sz w:val="32"/>
          <w:szCs w:val="32"/>
        </w:rPr>
      </w:pPr>
      <w:r>
        <w:rPr>
          <w:rFonts w:hint="eastAsia" w:ascii="方正黑体_GBK" w:eastAsia="方正黑体_GBK"/>
          <w:sz w:val="32"/>
          <w:szCs w:val="32"/>
        </w:rPr>
        <w:t>四、其他需要说明的事项</w:t>
      </w:r>
    </w:p>
    <w:p>
      <w:pPr>
        <w:ind w:firstLine="707" w:firstLineChars="221"/>
        <w:rPr>
          <w:rFonts w:ascii="方正楷体_GBK" w:eastAsia="方正楷体_GBK"/>
          <w:sz w:val="32"/>
          <w:szCs w:val="32"/>
        </w:rPr>
      </w:pPr>
      <w:r>
        <w:rPr>
          <w:rFonts w:hint="eastAsia" w:ascii="方正楷体_GBK" w:eastAsia="方正楷体_GBK"/>
          <w:sz w:val="32"/>
          <w:szCs w:val="32"/>
        </w:rPr>
        <w:t>（一）一般公共预算财政拨款会议费和培训费情况说明。</w:t>
      </w:r>
    </w:p>
    <w:p>
      <w:pPr>
        <w:ind w:firstLine="707" w:firstLineChars="221"/>
        <w:rPr>
          <w:rFonts w:ascii="方正仿宋_GBK" w:eastAsia="方正仿宋_GBK"/>
          <w:sz w:val="32"/>
          <w:szCs w:val="32"/>
        </w:rPr>
      </w:pPr>
      <w:r>
        <w:rPr>
          <w:rFonts w:hint="eastAsia" w:ascii="方正仿宋_GBK" w:eastAsia="方正仿宋_GBK"/>
          <w:sz w:val="32"/>
          <w:szCs w:val="32"/>
        </w:rPr>
        <w:t>本年度会议费支出41.20万元，较上年决算数减少1.05万元，下降2.5%，主要原因是节约开支。本年度培训费支出12.37万元，较上年决算数增加5.21万元，增长72.8%，主要原因是培训人次较往年多。</w:t>
      </w:r>
    </w:p>
    <w:p>
      <w:pPr>
        <w:ind w:firstLine="707" w:firstLineChars="221"/>
        <w:rPr>
          <w:rFonts w:ascii="方正楷体_GBK" w:eastAsia="方正楷体_GBK"/>
          <w:sz w:val="32"/>
          <w:szCs w:val="32"/>
        </w:rPr>
      </w:pPr>
      <w:r>
        <w:rPr>
          <w:rFonts w:hint="eastAsia" w:ascii="方正楷体_GBK" w:eastAsia="方正楷体_GBK"/>
          <w:sz w:val="32"/>
          <w:szCs w:val="32"/>
        </w:rPr>
        <w:t>（二）机关运行经费情况说明。</w:t>
      </w:r>
    </w:p>
    <w:p>
      <w:pPr>
        <w:ind w:firstLine="707" w:firstLineChars="221"/>
        <w:rPr>
          <w:rFonts w:ascii="方正仿宋_GBK" w:eastAsia="方正仿宋_GBK"/>
          <w:sz w:val="32"/>
          <w:szCs w:val="32"/>
        </w:rPr>
      </w:pPr>
      <w:r>
        <w:rPr>
          <w:rFonts w:hint="eastAsia" w:ascii="方正仿宋_GBK" w:eastAsia="方正仿宋_GBK"/>
          <w:sz w:val="32"/>
          <w:szCs w:val="32"/>
        </w:rPr>
        <w:t>2021年度本部门机关运行经费支出127.31万元，机关运行经费主要用于开支办公费、印刷费、水电费、邮电费、差旅费、公务接待费、公务车运行维护费等维持部门正常运转经费。机关运行经费较上年决算数减少4.55万元，下降3.5%，主要原因是节约开支。</w:t>
      </w:r>
    </w:p>
    <w:p>
      <w:pPr>
        <w:ind w:firstLine="707" w:firstLineChars="221"/>
        <w:rPr>
          <w:rFonts w:ascii="方正楷体_GBK" w:eastAsia="方正楷体_GBK"/>
          <w:sz w:val="32"/>
          <w:szCs w:val="32"/>
        </w:rPr>
      </w:pPr>
      <w:r>
        <w:rPr>
          <w:rFonts w:hint="eastAsia" w:ascii="方正楷体_GBK" w:eastAsia="方正楷体_GBK"/>
          <w:sz w:val="32"/>
          <w:szCs w:val="32"/>
        </w:rPr>
        <w:t>（三）国有资产占用情况说明。</w:t>
      </w:r>
    </w:p>
    <w:p>
      <w:pPr>
        <w:ind w:firstLine="707" w:firstLineChars="221"/>
        <w:rPr>
          <w:rFonts w:ascii="方正仿宋_GBK" w:eastAsia="方正仿宋_GBK"/>
          <w:sz w:val="32"/>
          <w:szCs w:val="32"/>
        </w:rPr>
      </w:pPr>
      <w:r>
        <w:rPr>
          <w:rFonts w:hint="eastAsia" w:ascii="方正仿宋_GBK" w:eastAsia="方正仿宋_GBK"/>
          <w:sz w:val="32"/>
          <w:szCs w:val="32"/>
        </w:rPr>
        <w:t>截至2021年12月31日，本部门共有车辆49辆，其中，副部（省）级及以上领导用车0辆、主要领导干部用车1辆、机要通信用车43辆、应急保障用车5辆、执法执勤用车0辆，特种专业技术用车0辆，离退休干部用车0辆，其他用车0辆。单价50万元（含）以上通用设备1台（套），单价100万元（含）以上专用设备0台（套）。</w:t>
      </w:r>
    </w:p>
    <w:p>
      <w:pPr>
        <w:ind w:firstLine="707" w:firstLineChars="221"/>
        <w:rPr>
          <w:rFonts w:ascii="方正楷体_GBK" w:eastAsia="方正楷体_GBK"/>
          <w:sz w:val="32"/>
          <w:szCs w:val="32"/>
        </w:rPr>
      </w:pPr>
      <w:r>
        <w:rPr>
          <w:rFonts w:hint="eastAsia" w:ascii="方正楷体_GBK" w:eastAsia="方正楷体_GBK"/>
          <w:sz w:val="32"/>
          <w:szCs w:val="32"/>
        </w:rPr>
        <w:t>（四）政府采购支出情况说明。</w:t>
      </w:r>
    </w:p>
    <w:p>
      <w:pPr>
        <w:ind w:firstLine="707" w:firstLineChars="221"/>
        <w:rPr>
          <w:rFonts w:ascii="方正仿宋_GBK" w:eastAsia="方正仿宋_GBK"/>
          <w:sz w:val="32"/>
          <w:szCs w:val="32"/>
        </w:rPr>
      </w:pPr>
      <w:r>
        <w:rPr>
          <w:rFonts w:hint="eastAsia" w:ascii="方正仿宋_GBK" w:eastAsia="方正仿宋_GBK"/>
          <w:sz w:val="32"/>
          <w:szCs w:val="32"/>
        </w:rPr>
        <w:t>2021年度本部门政府采购支出总额48.94万元，其中：政府采购货物支出48.94万元、政府采购工程支出0.00万元、政府采购服务支出0.00万元。授予中小企业合同金额48.94万元，占政府采购支出总额的100%，其中：授予小微企业合同金额48.94万元，占政府采购支出总额的100%。主要用于采购政务大厅窗口工作人员工作服。</w:t>
      </w:r>
    </w:p>
    <w:p>
      <w:pPr>
        <w:ind w:firstLine="707" w:firstLineChars="221"/>
        <w:rPr>
          <w:rFonts w:ascii="方正黑体_GBK" w:eastAsia="方正黑体_GBK"/>
          <w:sz w:val="32"/>
          <w:szCs w:val="32"/>
        </w:rPr>
      </w:pPr>
      <w:r>
        <w:rPr>
          <w:rFonts w:hint="eastAsia" w:ascii="方正黑体_GBK" w:eastAsia="方正黑体_GBK"/>
          <w:sz w:val="32"/>
          <w:szCs w:val="32"/>
        </w:rPr>
        <w:t>五、预算绩效管理情况说明</w:t>
      </w:r>
    </w:p>
    <w:p>
      <w:pPr>
        <w:ind w:firstLine="707" w:firstLineChars="221"/>
        <w:rPr>
          <w:rFonts w:ascii="方正楷体_GBK" w:eastAsia="方正楷体_GBK"/>
          <w:sz w:val="32"/>
          <w:szCs w:val="32"/>
        </w:rPr>
      </w:pPr>
      <w:r>
        <w:rPr>
          <w:rFonts w:hint="eastAsia" w:ascii="方正楷体_GBK" w:eastAsia="方正楷体_GBK"/>
          <w:sz w:val="32"/>
          <w:szCs w:val="32"/>
        </w:rPr>
        <w:t>（一）预算绩效管理工作开展情况。</w:t>
      </w:r>
    </w:p>
    <w:p>
      <w:pPr>
        <w:ind w:firstLine="707" w:firstLineChars="221"/>
        <w:rPr>
          <w:rFonts w:ascii="方正仿宋_GBK" w:eastAsia="方正仿宋_GBK"/>
          <w:sz w:val="32"/>
          <w:szCs w:val="32"/>
        </w:rPr>
      </w:pPr>
      <w:r>
        <w:rPr>
          <w:rFonts w:hint="eastAsia" w:ascii="方正仿宋_GBK" w:eastAsia="方正仿宋_GBK"/>
          <w:sz w:val="32"/>
          <w:szCs w:val="32"/>
        </w:rPr>
        <w:t>根据预算绩效管理要求，我办对部门整体和20个项目开展了绩效自评，其中，以填报自评表形式开展自评20项，涉及资金3246.14万元。从评价情况来看，项目立项较为规范，绩效目标明确，预算编制合理，管理科学规范，资金到位及时，总体完成情况较好，有力保障了各项工作的顺利开展，项目基本达到了预期绩效目标。</w:t>
      </w:r>
    </w:p>
    <w:p>
      <w:pPr>
        <w:ind w:firstLine="707" w:firstLineChars="221"/>
        <w:rPr>
          <w:rFonts w:ascii="方正楷体_GBK" w:eastAsia="方正楷体_GBK"/>
          <w:sz w:val="32"/>
          <w:szCs w:val="32"/>
        </w:rPr>
      </w:pPr>
      <w:r>
        <w:rPr>
          <w:rFonts w:hint="eastAsia" w:ascii="方正楷体_GBK" w:eastAsia="方正楷体_GBK"/>
          <w:sz w:val="32"/>
          <w:szCs w:val="32"/>
        </w:rPr>
        <w:t>（二）绩效自评结果。</w:t>
      </w:r>
    </w:p>
    <w:p>
      <w:pPr>
        <w:ind w:firstLine="707" w:firstLineChars="221"/>
        <w:rPr>
          <w:rFonts w:ascii="方正仿宋_GBK" w:eastAsia="方正仿宋_GBK"/>
          <w:sz w:val="32"/>
          <w:szCs w:val="32"/>
        </w:rPr>
      </w:pPr>
      <w:r>
        <w:rPr>
          <w:rFonts w:hint="eastAsia" w:ascii="方正仿宋_GBK" w:eastAsia="方正仿宋_GBK"/>
          <w:sz w:val="32"/>
          <w:szCs w:val="32"/>
        </w:rPr>
        <w:t>1.绩效目标自评表。</w:t>
      </w:r>
    </w:p>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2021年度部门整体绩效自评表</w:t>
      </w:r>
    </w:p>
    <w:p>
      <w:pPr>
        <w:widowControl/>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 xml:space="preserve">                                </w:t>
      </w:r>
    </w:p>
    <w:tbl>
      <w:tblPr>
        <w:tblStyle w:val="5"/>
        <w:tblW w:w="10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5"/>
        <w:gridCol w:w="1157"/>
        <w:gridCol w:w="2011"/>
        <w:gridCol w:w="1134"/>
        <w:gridCol w:w="1437"/>
        <w:gridCol w:w="1559"/>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（项目）名称</w:t>
            </w:r>
          </w:p>
        </w:tc>
        <w:tc>
          <w:tcPr>
            <w:tcW w:w="7448" w:type="dxa"/>
            <w:gridSpan w:val="5"/>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bCs/>
                <w:color w:val="000000"/>
                <w:kern w:val="0"/>
                <w:sz w:val="24"/>
                <w:szCs w:val="24"/>
              </w:rPr>
              <w:t>项目资金部门整体绩效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主管部门</w:t>
            </w: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r>
              <w:rPr>
                <w:rFonts w:ascii="等线" w:hAnsi="等线" w:eastAsia="微软雅黑" w:cs="宋体"/>
                <w:color w:val="000000"/>
                <w:kern w:val="0"/>
                <w:sz w:val="20"/>
                <w:szCs w:val="20"/>
              </w:rPr>
              <w:t>丰都县人民政府办公室</w:t>
            </w:r>
          </w:p>
        </w:tc>
        <w:tc>
          <w:tcPr>
            <w:tcW w:w="1437"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资金使用单位</w:t>
            </w:r>
          </w:p>
        </w:tc>
        <w:tc>
          <w:tcPr>
            <w:tcW w:w="2866" w:type="dxa"/>
            <w:gridSpan w:val="2"/>
            <w:shd w:val="clear" w:color="auto" w:fill="auto"/>
            <w:vAlign w:val="center"/>
          </w:tcPr>
          <w:p>
            <w:pPr>
              <w:widowControl/>
              <w:jc w:val="center"/>
              <w:rPr>
                <w:rFonts w:ascii="宋体" w:hAnsi="宋体" w:eastAsia="等线" w:cs="宋体"/>
                <w:bCs/>
                <w:color w:val="000000"/>
                <w:kern w:val="0"/>
                <w:sz w:val="24"/>
                <w:szCs w:val="24"/>
              </w:rPr>
            </w:pPr>
            <w:r>
              <w:rPr>
                <w:rFonts w:ascii="等线" w:hAnsi="等线" w:eastAsia="微软雅黑" w:cs="宋体"/>
                <w:color w:val="000000"/>
                <w:kern w:val="0"/>
                <w:sz w:val="20"/>
                <w:szCs w:val="20"/>
              </w:rPr>
              <w:t>丰都县人民政府办公室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资金情况（万元）</w:t>
            </w:r>
          </w:p>
        </w:tc>
        <w:tc>
          <w:tcPr>
            <w:tcW w:w="2011" w:type="dxa"/>
            <w:shd w:val="clear" w:color="auto" w:fill="auto"/>
            <w:vAlign w:val="center"/>
          </w:tcPr>
          <w:p>
            <w:pPr>
              <w:widowControl/>
              <w:jc w:val="center"/>
              <w:rPr>
                <w:rFonts w:ascii="宋体" w:hAnsi="宋体" w:eastAsia="等线" w:cs="宋体"/>
                <w:bCs/>
                <w:color w:val="000000"/>
                <w:kern w:val="0"/>
                <w:sz w:val="24"/>
                <w:szCs w:val="24"/>
              </w:rPr>
            </w:pPr>
          </w:p>
        </w:tc>
        <w:tc>
          <w:tcPr>
            <w:tcW w:w="1134"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全年预算数（A）</w:t>
            </w:r>
          </w:p>
        </w:tc>
        <w:tc>
          <w:tcPr>
            <w:tcW w:w="2996" w:type="dxa"/>
            <w:gridSpan w:val="2"/>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全年执行数（B）</w:t>
            </w:r>
          </w:p>
        </w:tc>
        <w:tc>
          <w:tcPr>
            <w:tcW w:w="1307"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预算执行率（B/A)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continue"/>
            <w:shd w:val="clear" w:color="auto" w:fill="auto"/>
            <w:vAlign w:val="center"/>
          </w:tcPr>
          <w:p>
            <w:pPr>
              <w:widowControl/>
              <w:jc w:val="center"/>
              <w:rPr>
                <w:rFonts w:ascii="宋体" w:hAnsi="宋体" w:eastAsia="等线" w:cs="宋体"/>
                <w:bCs/>
                <w:color w:val="000000"/>
                <w:kern w:val="0"/>
                <w:sz w:val="24"/>
                <w:szCs w:val="24"/>
              </w:rPr>
            </w:pPr>
          </w:p>
        </w:tc>
        <w:tc>
          <w:tcPr>
            <w:tcW w:w="2011"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年度资金总额：</w:t>
            </w:r>
          </w:p>
        </w:tc>
        <w:tc>
          <w:tcPr>
            <w:tcW w:w="1134" w:type="dxa"/>
            <w:shd w:val="clear" w:color="auto" w:fill="auto"/>
            <w:vAlign w:val="center"/>
          </w:tcPr>
          <w:p>
            <w:pPr>
              <w:widowControl/>
              <w:jc w:val="center"/>
              <w:rPr>
                <w:rFonts w:ascii="宋体" w:hAnsi="宋体" w:eastAsia="等线" w:cs="宋体"/>
                <w:bCs/>
                <w:color w:val="000000"/>
                <w:kern w:val="0"/>
                <w:sz w:val="24"/>
                <w:szCs w:val="24"/>
              </w:rPr>
            </w:pPr>
            <w:r>
              <w:rPr>
                <w:rFonts w:ascii="宋体" w:hAnsi="宋体" w:eastAsia="等线" w:cs="宋体"/>
                <w:bCs/>
                <w:color w:val="000000"/>
                <w:kern w:val="0"/>
                <w:sz w:val="24"/>
                <w:szCs w:val="24"/>
              </w:rPr>
              <w:t>1311.06</w:t>
            </w:r>
          </w:p>
        </w:tc>
        <w:tc>
          <w:tcPr>
            <w:tcW w:w="2996" w:type="dxa"/>
            <w:gridSpan w:val="2"/>
            <w:shd w:val="clear" w:color="auto" w:fill="auto"/>
            <w:vAlign w:val="center"/>
          </w:tcPr>
          <w:p>
            <w:pPr>
              <w:widowControl/>
              <w:jc w:val="center"/>
              <w:rPr>
                <w:rFonts w:ascii="宋体" w:hAnsi="宋体" w:eastAsia="等线" w:cs="宋体"/>
                <w:bCs/>
                <w:color w:val="000000"/>
                <w:kern w:val="0"/>
                <w:sz w:val="24"/>
                <w:szCs w:val="24"/>
              </w:rPr>
            </w:pPr>
            <w:r>
              <w:rPr>
                <w:rFonts w:ascii="宋体" w:hAnsi="宋体" w:eastAsia="等线" w:cs="宋体"/>
                <w:bCs/>
                <w:color w:val="000000"/>
                <w:kern w:val="0"/>
                <w:sz w:val="24"/>
                <w:szCs w:val="24"/>
              </w:rPr>
              <w:t>1369.49</w:t>
            </w:r>
          </w:p>
        </w:tc>
        <w:tc>
          <w:tcPr>
            <w:tcW w:w="1307"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bCs/>
                <w:color w:val="000000"/>
                <w:kern w:val="0"/>
                <w:sz w:val="24"/>
                <w:szCs w:val="24"/>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continue"/>
            <w:shd w:val="clear" w:color="auto" w:fill="auto"/>
            <w:vAlign w:val="center"/>
          </w:tcPr>
          <w:p>
            <w:pPr>
              <w:widowControl/>
              <w:jc w:val="center"/>
              <w:rPr>
                <w:rFonts w:ascii="宋体" w:hAnsi="宋体" w:eastAsia="等线" w:cs="宋体"/>
                <w:bCs/>
                <w:color w:val="000000"/>
                <w:kern w:val="0"/>
                <w:sz w:val="24"/>
                <w:szCs w:val="24"/>
              </w:rPr>
            </w:pPr>
          </w:p>
        </w:tc>
        <w:tc>
          <w:tcPr>
            <w:tcW w:w="2011"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其中：中央财政资金</w:t>
            </w:r>
          </w:p>
        </w:tc>
        <w:tc>
          <w:tcPr>
            <w:tcW w:w="1134" w:type="dxa"/>
            <w:shd w:val="clear" w:color="auto" w:fill="auto"/>
            <w:vAlign w:val="center"/>
          </w:tcPr>
          <w:p>
            <w:pPr>
              <w:widowControl/>
              <w:jc w:val="center"/>
              <w:rPr>
                <w:rFonts w:ascii="宋体" w:hAnsi="宋体" w:eastAsia="等线" w:cs="宋体"/>
                <w:bCs/>
                <w:color w:val="000000"/>
                <w:kern w:val="0"/>
                <w:sz w:val="24"/>
                <w:szCs w:val="24"/>
              </w:rPr>
            </w:pPr>
          </w:p>
        </w:tc>
        <w:tc>
          <w:tcPr>
            <w:tcW w:w="2996"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continue"/>
            <w:shd w:val="clear" w:color="auto" w:fill="auto"/>
            <w:vAlign w:val="center"/>
          </w:tcPr>
          <w:p>
            <w:pPr>
              <w:widowControl/>
              <w:jc w:val="center"/>
              <w:rPr>
                <w:rFonts w:ascii="宋体" w:hAnsi="宋体" w:eastAsia="等线" w:cs="宋体"/>
                <w:bCs/>
                <w:color w:val="000000"/>
                <w:kern w:val="0"/>
                <w:sz w:val="24"/>
                <w:szCs w:val="24"/>
              </w:rPr>
            </w:pPr>
          </w:p>
        </w:tc>
        <w:tc>
          <w:tcPr>
            <w:tcW w:w="2011"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市级资金</w:t>
            </w:r>
          </w:p>
        </w:tc>
        <w:tc>
          <w:tcPr>
            <w:tcW w:w="1134" w:type="dxa"/>
            <w:shd w:val="clear" w:color="auto" w:fill="auto"/>
            <w:vAlign w:val="center"/>
          </w:tcPr>
          <w:p>
            <w:pPr>
              <w:widowControl/>
              <w:jc w:val="center"/>
              <w:rPr>
                <w:rFonts w:ascii="宋体" w:hAnsi="宋体" w:eastAsia="等线" w:cs="宋体"/>
                <w:bCs/>
                <w:color w:val="000000"/>
                <w:kern w:val="0"/>
                <w:sz w:val="24"/>
                <w:szCs w:val="24"/>
              </w:rPr>
            </w:pPr>
          </w:p>
        </w:tc>
        <w:tc>
          <w:tcPr>
            <w:tcW w:w="2996"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continue"/>
            <w:shd w:val="clear" w:color="auto" w:fill="auto"/>
            <w:vAlign w:val="center"/>
          </w:tcPr>
          <w:p>
            <w:pPr>
              <w:widowControl/>
              <w:jc w:val="center"/>
              <w:rPr>
                <w:rFonts w:ascii="宋体" w:hAnsi="宋体" w:eastAsia="等线" w:cs="宋体"/>
                <w:bCs/>
                <w:color w:val="000000"/>
                <w:kern w:val="0"/>
                <w:sz w:val="24"/>
                <w:szCs w:val="24"/>
              </w:rPr>
            </w:pPr>
          </w:p>
        </w:tc>
        <w:tc>
          <w:tcPr>
            <w:tcW w:w="2011"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县级资金</w:t>
            </w:r>
          </w:p>
        </w:tc>
        <w:tc>
          <w:tcPr>
            <w:tcW w:w="1134" w:type="dxa"/>
            <w:shd w:val="clear" w:color="auto" w:fill="auto"/>
            <w:vAlign w:val="center"/>
          </w:tcPr>
          <w:p>
            <w:pPr>
              <w:widowControl/>
              <w:jc w:val="center"/>
              <w:rPr>
                <w:rFonts w:ascii="宋体" w:hAnsi="宋体" w:eastAsia="等线" w:cs="宋体"/>
                <w:bCs/>
                <w:color w:val="000000"/>
                <w:kern w:val="0"/>
                <w:sz w:val="24"/>
                <w:szCs w:val="24"/>
              </w:rPr>
            </w:pPr>
            <w:r>
              <w:rPr>
                <w:rFonts w:ascii="宋体" w:hAnsi="宋体" w:eastAsia="等线" w:cs="宋体"/>
                <w:bCs/>
                <w:color w:val="000000"/>
                <w:kern w:val="0"/>
                <w:sz w:val="24"/>
                <w:szCs w:val="24"/>
              </w:rPr>
              <w:t>1311.06</w:t>
            </w:r>
          </w:p>
        </w:tc>
        <w:tc>
          <w:tcPr>
            <w:tcW w:w="2996" w:type="dxa"/>
            <w:gridSpan w:val="2"/>
            <w:shd w:val="clear" w:color="auto" w:fill="auto"/>
            <w:vAlign w:val="center"/>
          </w:tcPr>
          <w:p>
            <w:pPr>
              <w:widowControl/>
              <w:jc w:val="center"/>
              <w:rPr>
                <w:rFonts w:ascii="宋体" w:hAnsi="宋体" w:eastAsia="等线" w:cs="宋体"/>
                <w:bCs/>
                <w:color w:val="000000"/>
                <w:kern w:val="0"/>
                <w:sz w:val="24"/>
                <w:szCs w:val="24"/>
              </w:rPr>
            </w:pPr>
            <w:r>
              <w:rPr>
                <w:rFonts w:ascii="宋体" w:hAnsi="宋体" w:eastAsia="等线" w:cs="宋体"/>
                <w:bCs/>
                <w:color w:val="000000"/>
                <w:kern w:val="0"/>
                <w:sz w:val="24"/>
                <w:szCs w:val="24"/>
              </w:rPr>
              <w:t>1369.49</w:t>
            </w:r>
          </w:p>
        </w:tc>
        <w:tc>
          <w:tcPr>
            <w:tcW w:w="1307"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bCs/>
                <w:color w:val="000000"/>
                <w:kern w:val="0"/>
                <w:sz w:val="24"/>
                <w:szCs w:val="24"/>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continue"/>
            <w:shd w:val="clear" w:color="auto" w:fill="auto"/>
            <w:vAlign w:val="center"/>
          </w:tcPr>
          <w:p>
            <w:pPr>
              <w:widowControl/>
              <w:jc w:val="center"/>
              <w:rPr>
                <w:rFonts w:ascii="宋体" w:hAnsi="宋体" w:eastAsia="等线" w:cs="宋体"/>
                <w:bCs/>
                <w:color w:val="000000"/>
                <w:kern w:val="0"/>
                <w:sz w:val="24"/>
                <w:szCs w:val="24"/>
              </w:rPr>
            </w:pPr>
          </w:p>
        </w:tc>
        <w:tc>
          <w:tcPr>
            <w:tcW w:w="2011"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其他资金</w:t>
            </w:r>
          </w:p>
        </w:tc>
        <w:tc>
          <w:tcPr>
            <w:tcW w:w="1134" w:type="dxa"/>
            <w:shd w:val="clear" w:color="auto" w:fill="auto"/>
            <w:vAlign w:val="center"/>
          </w:tcPr>
          <w:p>
            <w:pPr>
              <w:widowControl/>
              <w:jc w:val="center"/>
              <w:rPr>
                <w:rFonts w:ascii="宋体" w:hAnsi="宋体" w:eastAsia="等线" w:cs="宋体"/>
                <w:bCs/>
                <w:color w:val="000000"/>
                <w:kern w:val="0"/>
                <w:sz w:val="24"/>
                <w:szCs w:val="24"/>
              </w:rPr>
            </w:pPr>
          </w:p>
        </w:tc>
        <w:tc>
          <w:tcPr>
            <w:tcW w:w="2996"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总体目标完成情况</w:t>
            </w:r>
          </w:p>
        </w:tc>
        <w:tc>
          <w:tcPr>
            <w:tcW w:w="5007" w:type="dxa"/>
            <w:gridSpan w:val="4"/>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总体目标</w:t>
            </w:r>
          </w:p>
        </w:tc>
        <w:tc>
          <w:tcPr>
            <w:tcW w:w="4303" w:type="dxa"/>
            <w:gridSpan w:val="3"/>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5007" w:type="dxa"/>
            <w:gridSpan w:val="4"/>
            <w:shd w:val="clear" w:color="auto" w:fill="auto"/>
            <w:vAlign w:val="center"/>
          </w:tcPr>
          <w:p>
            <w:pPr>
              <w:widowControl/>
              <w:jc w:val="center"/>
              <w:rPr>
                <w:rFonts w:ascii="宋体" w:hAnsi="宋体" w:eastAsia="等线" w:cs="宋体"/>
                <w:bCs/>
                <w:color w:val="000000"/>
                <w:kern w:val="0"/>
                <w:sz w:val="24"/>
                <w:szCs w:val="24"/>
              </w:rPr>
            </w:pPr>
            <w:r>
              <w:rPr>
                <w:rFonts w:hint="eastAsia"/>
                <w:color w:val="000000"/>
                <w:sz w:val="20"/>
                <w:szCs w:val="20"/>
              </w:rPr>
              <w:t>政务服务事项入厅比例达到90%以上，审批事项网办率达到90%以上；全年市长公开电话、市长信箱、县长信箱办件量达到1000件以上，市长公开电话、县长信箱办结率达到95%以上，县政府值班电话回访满意率达到90%以上；县政府主要领导交办事项督察督办率达到100%；人大议案建议、政协提案办件量达到1000件以上；建议提案办理率达到100%，全年调研工作达到150人次以上，调研报告、信息篇数达到300篇以上，优秀建言建策比例达到50%以上；全年召开县</w:t>
            </w:r>
            <w:r>
              <w:rPr>
                <w:rFonts w:hint="eastAsia"/>
                <w:color w:val="000000"/>
                <w:sz w:val="20"/>
                <w:szCs w:val="20"/>
                <w:lang w:eastAsia="zh-CN"/>
              </w:rPr>
              <w:t>政府常务会议</w:t>
            </w:r>
            <w:r>
              <w:rPr>
                <w:rFonts w:hint="eastAsia"/>
                <w:color w:val="000000"/>
                <w:sz w:val="20"/>
                <w:szCs w:val="20"/>
              </w:rPr>
              <w:t>、县政府党组会、县政府全体会、县长办公会、工作会、专题会等重大工作会议次数达到200次以上；集体议事决策比例达到80%以上。</w:t>
            </w:r>
          </w:p>
        </w:tc>
        <w:tc>
          <w:tcPr>
            <w:tcW w:w="4303" w:type="dxa"/>
            <w:gridSpan w:val="3"/>
            <w:shd w:val="clear" w:color="auto" w:fill="auto"/>
            <w:vAlign w:val="center"/>
          </w:tcPr>
          <w:p>
            <w:pPr>
              <w:widowControl/>
              <w:jc w:val="center"/>
              <w:rPr>
                <w:rFonts w:ascii="宋体" w:hAnsi="宋体" w:eastAsia="等线" w:cs="宋体"/>
                <w:bCs/>
                <w:color w:val="000000"/>
                <w:kern w:val="0"/>
                <w:sz w:val="24"/>
                <w:szCs w:val="24"/>
              </w:rPr>
            </w:pPr>
            <w:r>
              <w:rPr>
                <w:rFonts w:hint="eastAsia"/>
                <w:color w:val="000000"/>
                <w:sz w:val="20"/>
                <w:szCs w:val="20"/>
              </w:rPr>
              <w:t>政务服务事项入厅比例达到90%，审批事项网办率达到96%；全年市长公开电话、市长信箱、县长信箱办件1143件，市长公开电话、县长信箱办结率达到100%，县政府值班电话回访满意率达到90%；县政府主要领导交办事项督察督办率达到100%；人大议案建议、政协提案办件量达到1000件以上；建议提案办理率达到100%，全年调研工作达到338人次，调研报告、信息篇数达到637篇以上，优秀建言建策比例达到50%以上；全年召开县</w:t>
            </w:r>
            <w:r>
              <w:rPr>
                <w:rFonts w:hint="eastAsia"/>
                <w:color w:val="000000"/>
                <w:sz w:val="20"/>
                <w:szCs w:val="20"/>
                <w:lang w:eastAsia="zh-CN"/>
              </w:rPr>
              <w:t>政府常务会议</w:t>
            </w:r>
            <w:r>
              <w:rPr>
                <w:rFonts w:hint="eastAsia"/>
                <w:color w:val="000000"/>
                <w:sz w:val="20"/>
                <w:szCs w:val="20"/>
              </w:rPr>
              <w:t>、县政府党组会、县政府全体会、县长办公会、工作会、专题会等重大工作会议次数达到200次以上；集体议事决策比例达到80%以上。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绩效指标</w:t>
            </w:r>
          </w:p>
        </w:tc>
        <w:tc>
          <w:tcPr>
            <w:tcW w:w="705"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一级指标</w:t>
            </w:r>
          </w:p>
        </w:tc>
        <w:tc>
          <w:tcPr>
            <w:tcW w:w="1157"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二级指标</w:t>
            </w: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三级指标</w:t>
            </w:r>
          </w:p>
        </w:tc>
        <w:tc>
          <w:tcPr>
            <w:tcW w:w="1437"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指标值</w:t>
            </w:r>
          </w:p>
        </w:tc>
        <w:tc>
          <w:tcPr>
            <w:tcW w:w="1559" w:type="dxa"/>
            <w:shd w:val="clear" w:color="auto" w:fill="auto"/>
            <w:vAlign w:val="center"/>
          </w:tcPr>
          <w:p>
            <w:pPr>
              <w:widowControl/>
              <w:jc w:val="center"/>
              <w:rPr>
                <w:rFonts w:ascii="宋体" w:hAnsi="宋体" w:eastAsia="等线" w:cs="宋体"/>
                <w:color w:val="000000"/>
                <w:kern w:val="0"/>
                <w:sz w:val="20"/>
                <w:szCs w:val="20"/>
              </w:rPr>
            </w:pPr>
            <w:r>
              <w:rPr>
                <w:rFonts w:hint="eastAsia" w:ascii="宋体" w:hAnsi="宋体" w:eastAsia="等线" w:cs="宋体"/>
                <w:color w:val="000000"/>
                <w:kern w:val="0"/>
                <w:sz w:val="20"/>
                <w:szCs w:val="20"/>
              </w:rPr>
              <w:t>全年实际</w:t>
            </w:r>
          </w:p>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完成值</w:t>
            </w:r>
          </w:p>
        </w:tc>
        <w:tc>
          <w:tcPr>
            <w:tcW w:w="1307" w:type="dxa"/>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未完成原因改进措施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产</w:t>
            </w:r>
            <w:r>
              <w:rPr>
                <w:rFonts w:hint="eastAsia" w:ascii="宋体" w:hAnsi="宋体" w:eastAsia="等线" w:cs="宋体"/>
                <w:kern w:val="0"/>
                <w:sz w:val="20"/>
                <w:szCs w:val="20"/>
              </w:rPr>
              <w:br w:type="textWrapping"/>
            </w:r>
            <w:r>
              <w:rPr>
                <w:rFonts w:hint="eastAsia" w:ascii="宋体" w:hAnsi="宋体" w:eastAsia="等线" w:cs="宋体"/>
                <w:kern w:val="0"/>
                <w:sz w:val="20"/>
                <w:szCs w:val="20"/>
              </w:rPr>
              <w:t>出</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指</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标</w:t>
            </w:r>
          </w:p>
        </w:tc>
        <w:tc>
          <w:tcPr>
            <w:tcW w:w="1157"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数量指标</w:t>
            </w:r>
          </w:p>
        </w:tc>
        <w:tc>
          <w:tcPr>
            <w:tcW w:w="3145" w:type="dxa"/>
            <w:gridSpan w:val="2"/>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政务服务事项入厅比例</w:t>
            </w:r>
          </w:p>
        </w:tc>
        <w:tc>
          <w:tcPr>
            <w:tcW w:w="1437"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≥90%</w:t>
            </w:r>
          </w:p>
        </w:tc>
        <w:tc>
          <w:tcPr>
            <w:tcW w:w="1559"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90%</w:t>
            </w: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审批事项网办率</w:t>
            </w:r>
          </w:p>
        </w:tc>
        <w:tc>
          <w:tcPr>
            <w:tcW w:w="1437"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≥90%</w:t>
            </w:r>
          </w:p>
        </w:tc>
        <w:tc>
          <w:tcPr>
            <w:tcW w:w="1559"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96%</w:t>
            </w: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市长公开电话、市长信箱、县长信箱办件量</w:t>
            </w:r>
          </w:p>
        </w:tc>
        <w:tc>
          <w:tcPr>
            <w:tcW w:w="1437"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≥1000件</w:t>
            </w:r>
          </w:p>
        </w:tc>
        <w:tc>
          <w:tcPr>
            <w:tcW w:w="1559"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1143件</w:t>
            </w: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市长公开电话、县长信箱办结率</w:t>
            </w:r>
          </w:p>
        </w:tc>
        <w:tc>
          <w:tcPr>
            <w:tcW w:w="1437"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≥95%</w:t>
            </w:r>
          </w:p>
        </w:tc>
        <w:tc>
          <w:tcPr>
            <w:tcW w:w="1559"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100%</w:t>
            </w: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办理人大议案建议、政协提案数量</w:t>
            </w:r>
          </w:p>
        </w:tc>
        <w:tc>
          <w:tcPr>
            <w:tcW w:w="1437"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≥1000件</w:t>
            </w:r>
          </w:p>
        </w:tc>
        <w:tc>
          <w:tcPr>
            <w:tcW w:w="1559"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417件</w:t>
            </w:r>
          </w:p>
        </w:tc>
        <w:tc>
          <w:tcPr>
            <w:tcW w:w="1307" w:type="dxa"/>
            <w:shd w:val="clear" w:color="auto" w:fill="auto"/>
            <w:vAlign w:val="center"/>
          </w:tcPr>
          <w:p>
            <w:pPr>
              <w:jc w:val="center"/>
              <w:rPr>
                <w:rFonts w:ascii="宋体" w:hAnsi="宋体" w:eastAsia="等线" w:cs="宋体"/>
                <w:bCs/>
                <w:color w:val="000000"/>
                <w:kern w:val="0"/>
                <w:sz w:val="24"/>
                <w:szCs w:val="24"/>
              </w:rPr>
            </w:pPr>
            <w:r>
              <w:rPr>
                <w:rFonts w:hint="eastAsia"/>
                <w:color w:val="000000"/>
                <w:sz w:val="20"/>
                <w:szCs w:val="20"/>
              </w:rPr>
              <w:t>实际收到件数与预计有出入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建议提案办理率</w:t>
            </w:r>
          </w:p>
        </w:tc>
        <w:tc>
          <w:tcPr>
            <w:tcW w:w="1437"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100%</w:t>
            </w:r>
          </w:p>
        </w:tc>
        <w:tc>
          <w:tcPr>
            <w:tcW w:w="1559"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100%</w:t>
            </w: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调研人次</w:t>
            </w:r>
          </w:p>
        </w:tc>
        <w:tc>
          <w:tcPr>
            <w:tcW w:w="1437"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≥150</w:t>
            </w:r>
          </w:p>
        </w:tc>
        <w:tc>
          <w:tcPr>
            <w:tcW w:w="1559"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338</w:t>
            </w: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调研报告、信息篇数</w:t>
            </w:r>
          </w:p>
        </w:tc>
        <w:tc>
          <w:tcPr>
            <w:tcW w:w="1437"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≥300</w:t>
            </w:r>
          </w:p>
        </w:tc>
        <w:tc>
          <w:tcPr>
            <w:tcW w:w="1559"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637</w:t>
            </w: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质量指标</w:t>
            </w:r>
          </w:p>
        </w:tc>
        <w:tc>
          <w:tcPr>
            <w:tcW w:w="3145" w:type="dxa"/>
            <w:gridSpan w:val="2"/>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县政府主要领导交办事项督察督办率</w:t>
            </w:r>
          </w:p>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100%</w:t>
            </w:r>
          </w:p>
        </w:tc>
        <w:tc>
          <w:tcPr>
            <w:tcW w:w="1559"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100%</w:t>
            </w: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时效指标</w:t>
            </w: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成本指标</w:t>
            </w: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效</w:t>
            </w:r>
            <w:r>
              <w:rPr>
                <w:rFonts w:hint="eastAsia" w:ascii="宋体" w:hAnsi="宋体" w:eastAsia="等线" w:cs="宋体"/>
                <w:kern w:val="0"/>
                <w:sz w:val="20"/>
                <w:szCs w:val="20"/>
              </w:rPr>
              <w:br w:type="textWrapping"/>
            </w:r>
            <w:r>
              <w:rPr>
                <w:rFonts w:hint="eastAsia" w:ascii="宋体" w:hAnsi="宋体" w:eastAsia="等线" w:cs="宋体"/>
                <w:kern w:val="0"/>
                <w:sz w:val="20"/>
                <w:szCs w:val="20"/>
              </w:rPr>
              <w:t>益</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指</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标</w:t>
            </w:r>
          </w:p>
        </w:tc>
        <w:tc>
          <w:tcPr>
            <w:tcW w:w="1157"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经济效益指标</w:t>
            </w: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社会效益指标</w:t>
            </w: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生态效益指标</w:t>
            </w: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可持续影响指标</w:t>
            </w: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满意度指标</w:t>
            </w:r>
          </w:p>
        </w:tc>
        <w:tc>
          <w:tcPr>
            <w:tcW w:w="1157" w:type="dxa"/>
            <w:vMerge w:val="restart"/>
            <w:shd w:val="clear" w:color="auto" w:fill="auto"/>
            <w:vAlign w:val="center"/>
          </w:tcPr>
          <w:p>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服务对象满意度指标</w:t>
            </w: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r>
              <w:rPr>
                <w:rFonts w:hint="eastAsia"/>
                <w:color w:val="000000"/>
                <w:sz w:val="20"/>
                <w:szCs w:val="20"/>
              </w:rPr>
              <w:t>县政府值班电话回访满意率</w:t>
            </w:r>
          </w:p>
        </w:tc>
        <w:tc>
          <w:tcPr>
            <w:tcW w:w="1437" w:type="dxa"/>
            <w:shd w:val="clear" w:color="auto" w:fill="auto"/>
            <w:vAlign w:val="center"/>
          </w:tcPr>
          <w:p>
            <w:pPr>
              <w:jc w:val="center"/>
              <w:rPr>
                <w:rFonts w:ascii="宋体" w:hAnsi="宋体" w:eastAsia="等线" w:cs="宋体"/>
                <w:bCs/>
                <w:color w:val="000000"/>
                <w:kern w:val="0"/>
                <w:sz w:val="24"/>
                <w:szCs w:val="24"/>
              </w:rPr>
            </w:pPr>
            <w:r>
              <w:rPr>
                <w:rFonts w:hint="eastAsia"/>
                <w:color w:val="000000"/>
                <w:sz w:val="20"/>
                <w:szCs w:val="20"/>
              </w:rPr>
              <w:t>≥90%</w:t>
            </w:r>
          </w:p>
        </w:tc>
        <w:tc>
          <w:tcPr>
            <w:tcW w:w="1559" w:type="dxa"/>
            <w:shd w:val="clear" w:color="auto" w:fill="auto"/>
            <w:vAlign w:val="center"/>
          </w:tcPr>
          <w:p>
            <w:pPr>
              <w:widowControl/>
              <w:jc w:val="center"/>
              <w:rPr>
                <w:rFonts w:ascii="宋体" w:hAnsi="宋体" w:eastAsia="等线" w:cs="宋体"/>
                <w:bCs/>
                <w:color w:val="000000"/>
                <w:kern w:val="0"/>
                <w:sz w:val="24"/>
                <w:szCs w:val="24"/>
              </w:rPr>
            </w:pPr>
            <w:r>
              <w:rPr>
                <w:rFonts w:hint="eastAsia"/>
                <w:color w:val="000000"/>
                <w:sz w:val="20"/>
                <w:szCs w:val="20"/>
              </w:rPr>
              <w:t>90%</w:t>
            </w: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pPr>
              <w:widowControl/>
              <w:jc w:val="center"/>
              <w:rPr>
                <w:rFonts w:ascii="宋体" w:hAnsi="宋体" w:eastAsia="等线" w:cs="宋体"/>
                <w:bCs/>
                <w:color w:val="000000"/>
                <w:kern w:val="0"/>
                <w:sz w:val="24"/>
                <w:szCs w:val="24"/>
              </w:rPr>
            </w:pPr>
          </w:p>
        </w:tc>
        <w:tc>
          <w:tcPr>
            <w:tcW w:w="1437" w:type="dxa"/>
            <w:shd w:val="clear" w:color="auto" w:fill="auto"/>
            <w:vAlign w:val="center"/>
          </w:tcPr>
          <w:p>
            <w:pPr>
              <w:widowControl/>
              <w:jc w:val="center"/>
              <w:rPr>
                <w:rFonts w:ascii="宋体" w:hAnsi="宋体" w:eastAsia="等线" w:cs="宋体"/>
                <w:bCs/>
                <w:color w:val="000000"/>
                <w:kern w:val="0"/>
                <w:sz w:val="24"/>
                <w:szCs w:val="24"/>
              </w:rPr>
            </w:pPr>
          </w:p>
        </w:tc>
        <w:tc>
          <w:tcPr>
            <w:tcW w:w="1559" w:type="dxa"/>
            <w:shd w:val="clear" w:color="auto" w:fill="auto"/>
            <w:vAlign w:val="center"/>
          </w:tcPr>
          <w:p>
            <w:pPr>
              <w:widowControl/>
              <w:jc w:val="center"/>
              <w:rPr>
                <w:rFonts w:ascii="宋体" w:hAnsi="宋体" w:eastAsia="等线" w:cs="宋体"/>
                <w:bCs/>
                <w:color w:val="000000"/>
                <w:kern w:val="0"/>
                <w:sz w:val="24"/>
                <w:szCs w:val="24"/>
              </w:rPr>
            </w:pPr>
          </w:p>
        </w:tc>
        <w:tc>
          <w:tcPr>
            <w:tcW w:w="1307" w:type="dxa"/>
            <w:shd w:val="clear" w:color="auto" w:fill="auto"/>
            <w:vAlign w:val="center"/>
          </w:tcPr>
          <w:p>
            <w:pPr>
              <w:widowControl/>
              <w:jc w:val="center"/>
              <w:rPr>
                <w:rFonts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说明</w:t>
            </w:r>
          </w:p>
        </w:tc>
        <w:tc>
          <w:tcPr>
            <w:tcW w:w="9310" w:type="dxa"/>
            <w:gridSpan w:val="7"/>
            <w:shd w:val="clear" w:color="auto" w:fill="auto"/>
            <w:vAlign w:val="center"/>
          </w:tcPr>
          <w:p>
            <w:pPr>
              <w:widowControl/>
              <w:jc w:val="center"/>
              <w:rPr>
                <w:rFonts w:ascii="宋体" w:hAnsi="宋体" w:eastAsia="等线" w:cs="宋体"/>
                <w:kern w:val="0"/>
                <w:sz w:val="20"/>
                <w:szCs w:val="20"/>
              </w:rPr>
            </w:pPr>
          </w:p>
        </w:tc>
      </w:tr>
    </w:tbl>
    <w:p>
      <w:pPr>
        <w:widowControl/>
        <w:spacing w:line="594" w:lineRule="exact"/>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rPr>
        <w:t>1</w:t>
      </w:r>
      <w:r>
        <w:rPr>
          <w:rFonts w:ascii="Times New Roman" w:hAnsi="Times New Roman" w:eastAsia="方正小标宋_GBK" w:cs="Times New Roman"/>
          <w:color w:val="000000"/>
          <w:kern w:val="0"/>
          <w:sz w:val="36"/>
          <w:szCs w:val="36"/>
        </w:rPr>
        <w:t>年度项目绩效自评表</w:t>
      </w:r>
    </w:p>
    <w:p>
      <w:pPr>
        <w:widowControl/>
        <w:spacing w:line="594" w:lineRule="exact"/>
        <w:jc w:val="center"/>
        <w:rPr>
          <w:rFonts w:ascii="Times New Roman" w:hAnsi="Times New Roman" w:eastAsia="方正小标宋_GBK" w:cs="Times New Roman"/>
          <w:color w:val="000000"/>
          <w:kern w:val="0"/>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0"/>
        <w:gridCol w:w="1300"/>
        <w:gridCol w:w="1300"/>
        <w:gridCol w:w="1300"/>
        <w:gridCol w:w="1300"/>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项目</w:t>
            </w:r>
            <w:r>
              <w:rPr>
                <w:rFonts w:hint="eastAsia" w:ascii="宋体" w:hAnsi="宋体" w:eastAsia="等线" w:cs="宋体"/>
                <w:kern w:val="0"/>
                <w:sz w:val="20"/>
                <w:szCs w:val="20"/>
              </w:rPr>
              <w:t>名称</w:t>
            </w:r>
          </w:p>
        </w:tc>
        <w:tc>
          <w:tcPr>
            <w:tcW w:w="5200" w:type="dxa"/>
            <w:gridSpan w:val="4"/>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公共服务项目</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自评总分</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主管部门</w:t>
            </w:r>
          </w:p>
        </w:tc>
        <w:tc>
          <w:tcPr>
            <w:tcW w:w="5200" w:type="dxa"/>
            <w:gridSpan w:val="4"/>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丰都县人民政府办公室</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实施单位</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丰都县行政服务中心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项目资金（万元）</w:t>
            </w: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年初预算数</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全年预算数</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全年执行数</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预算执行率（%）（全年执行数/全年预算数）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年度总金额</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56.6</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56.6</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56.6</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其中：财政拨款</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42.52</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42.52</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42.52</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上年结转结余</w:t>
            </w:r>
          </w:p>
        </w:tc>
        <w:tc>
          <w:tcPr>
            <w:tcW w:w="1300" w:type="dxa"/>
            <w:shd w:val="clear" w:color="auto" w:fill="auto"/>
            <w:vAlign w:val="center"/>
          </w:tcPr>
          <w:p>
            <w:pPr>
              <w:widowControl/>
              <w:jc w:val="center"/>
              <w:rPr>
                <w:rFonts w:ascii="宋体" w:hAnsi="宋体" w:eastAsia="等线" w:cs="宋体"/>
                <w:kern w:val="0"/>
                <w:sz w:val="20"/>
                <w:szCs w:val="20"/>
              </w:rPr>
            </w:pPr>
          </w:p>
        </w:tc>
        <w:tc>
          <w:tcPr>
            <w:tcW w:w="2600" w:type="dxa"/>
            <w:gridSpan w:val="2"/>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2225" w:type="dxa"/>
            <w:gridSpan w:val="2"/>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其他资金</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14.08</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14.08</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14.08</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年度总体目标</w:t>
            </w:r>
          </w:p>
        </w:tc>
        <w:tc>
          <w:tcPr>
            <w:tcW w:w="5200" w:type="dxa"/>
            <w:gridSpan w:val="4"/>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预期目标</w:t>
            </w:r>
          </w:p>
        </w:tc>
        <w:tc>
          <w:tcPr>
            <w:tcW w:w="3525" w:type="dxa"/>
            <w:gridSpan w:val="3"/>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widowControl/>
              <w:jc w:val="center"/>
              <w:rPr>
                <w:rFonts w:ascii="宋体" w:hAnsi="宋体" w:eastAsia="等线" w:cs="宋体"/>
                <w:kern w:val="0"/>
                <w:sz w:val="20"/>
                <w:szCs w:val="20"/>
              </w:rPr>
            </w:pPr>
          </w:p>
        </w:tc>
        <w:tc>
          <w:tcPr>
            <w:tcW w:w="5200" w:type="dxa"/>
            <w:gridSpan w:val="4"/>
            <w:shd w:val="clear" w:color="auto" w:fill="auto"/>
            <w:vAlign w:val="center"/>
          </w:tcPr>
          <w:p>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1.</w:t>
            </w:r>
            <w:r>
              <w:rPr>
                <w:rFonts w:ascii="等线" w:hAnsi="等线" w:eastAsia="微软雅黑" w:cs="宋体"/>
                <w:color w:val="000000"/>
                <w:kern w:val="0"/>
                <w:sz w:val="20"/>
                <w:szCs w:val="20"/>
              </w:rPr>
              <w:t>确保行政服务中心正常运转，做好入驻窗口单位工作人员和群众的服务工作；</w:t>
            </w:r>
            <w:r>
              <w:rPr>
                <w:rFonts w:hint="eastAsia" w:ascii="微软雅黑" w:hAnsi="微软雅黑" w:eastAsia="微软雅黑" w:cs="宋体"/>
                <w:color w:val="000000"/>
                <w:kern w:val="0"/>
                <w:sz w:val="20"/>
                <w:szCs w:val="20"/>
              </w:rPr>
              <w:t>2.</w:t>
            </w:r>
            <w:r>
              <w:rPr>
                <w:rFonts w:ascii="等线" w:hAnsi="等线" w:eastAsia="微软雅黑" w:cs="宋体"/>
                <w:color w:val="000000"/>
                <w:kern w:val="0"/>
                <w:sz w:val="20"/>
                <w:szCs w:val="20"/>
              </w:rPr>
              <w:t>推进“互联网</w:t>
            </w:r>
            <w:r>
              <w:rPr>
                <w:rFonts w:hint="eastAsia" w:ascii="微软雅黑" w:hAnsi="微软雅黑" w:eastAsia="微软雅黑" w:cs="宋体"/>
                <w:color w:val="000000"/>
                <w:kern w:val="0"/>
                <w:sz w:val="20"/>
                <w:szCs w:val="20"/>
              </w:rPr>
              <w:t>+</w:t>
            </w:r>
            <w:r>
              <w:rPr>
                <w:rFonts w:ascii="等线" w:hAnsi="等线" w:eastAsia="微软雅黑" w:cs="宋体"/>
                <w:color w:val="000000"/>
                <w:kern w:val="0"/>
                <w:sz w:val="20"/>
                <w:szCs w:val="20"/>
              </w:rPr>
              <w:t>政务服务”工作，规范政务服务事项网上运行。</w:t>
            </w:r>
          </w:p>
        </w:tc>
        <w:tc>
          <w:tcPr>
            <w:tcW w:w="3525" w:type="dxa"/>
            <w:gridSpan w:val="3"/>
            <w:shd w:val="clear" w:color="auto" w:fill="auto"/>
            <w:vAlign w:val="center"/>
          </w:tcPr>
          <w:p>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1.</w:t>
            </w:r>
            <w:r>
              <w:rPr>
                <w:rFonts w:ascii="等线" w:hAnsi="等线" w:eastAsia="微软雅黑" w:cs="宋体"/>
                <w:color w:val="000000"/>
                <w:kern w:val="0"/>
                <w:sz w:val="20"/>
                <w:szCs w:val="20"/>
              </w:rPr>
              <w:t>行政服务中心高效运转，日均接待</w:t>
            </w:r>
            <w:r>
              <w:rPr>
                <w:rFonts w:hint="eastAsia" w:ascii="微软雅黑" w:hAnsi="微软雅黑" w:eastAsia="微软雅黑" w:cs="宋体"/>
                <w:color w:val="000000"/>
                <w:kern w:val="0"/>
                <w:sz w:val="20"/>
                <w:szCs w:val="20"/>
              </w:rPr>
              <w:t>3000</w:t>
            </w:r>
            <w:r>
              <w:rPr>
                <w:rFonts w:ascii="等线" w:hAnsi="等线" w:eastAsia="微软雅黑" w:cs="宋体"/>
                <w:color w:val="000000"/>
                <w:kern w:val="0"/>
                <w:sz w:val="20"/>
                <w:szCs w:val="20"/>
              </w:rPr>
              <w:t>余名群众的咨询办事，入驻窗口单位工作人员和群众满意度高于</w:t>
            </w:r>
            <w:r>
              <w:rPr>
                <w:rFonts w:hint="eastAsia" w:ascii="微软雅黑" w:hAnsi="微软雅黑" w:eastAsia="微软雅黑" w:cs="宋体"/>
                <w:color w:val="000000"/>
                <w:kern w:val="0"/>
                <w:sz w:val="20"/>
                <w:szCs w:val="20"/>
              </w:rPr>
              <w:t>90%</w:t>
            </w:r>
            <w:r>
              <w:rPr>
                <w:rFonts w:ascii="等线" w:hAnsi="等线" w:eastAsia="微软雅黑" w:cs="宋体"/>
                <w:color w:val="000000"/>
                <w:kern w:val="0"/>
                <w:sz w:val="20"/>
                <w:szCs w:val="20"/>
              </w:rPr>
              <w:t>；</w:t>
            </w:r>
            <w:r>
              <w:rPr>
                <w:rFonts w:hint="eastAsia" w:ascii="微软雅黑" w:hAnsi="微软雅黑" w:eastAsia="微软雅黑" w:cs="宋体"/>
                <w:color w:val="000000"/>
                <w:kern w:val="0"/>
                <w:sz w:val="20"/>
                <w:szCs w:val="20"/>
              </w:rPr>
              <w:t>2.</w:t>
            </w:r>
            <w:r>
              <w:rPr>
                <w:rFonts w:ascii="等线" w:hAnsi="等线" w:eastAsia="微软雅黑" w:cs="宋体"/>
                <w:color w:val="000000"/>
                <w:kern w:val="0"/>
                <w:sz w:val="20"/>
                <w:szCs w:val="20"/>
              </w:rPr>
              <w:t>推进“互联网</w:t>
            </w:r>
            <w:r>
              <w:rPr>
                <w:rFonts w:hint="eastAsia" w:ascii="微软雅黑" w:hAnsi="微软雅黑" w:eastAsia="微软雅黑" w:cs="宋体"/>
                <w:color w:val="000000"/>
                <w:kern w:val="0"/>
                <w:sz w:val="20"/>
                <w:szCs w:val="20"/>
              </w:rPr>
              <w:t>+</w:t>
            </w:r>
            <w:r>
              <w:rPr>
                <w:rFonts w:ascii="等线" w:hAnsi="等线" w:eastAsia="微软雅黑" w:cs="宋体"/>
                <w:color w:val="000000"/>
                <w:kern w:val="0"/>
                <w:sz w:val="20"/>
                <w:szCs w:val="20"/>
              </w:rPr>
              <w:t>政务服务”工作，所有政务服务事项（涉密除外）均通过网审平台办理。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绩效指标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一级指标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二级指标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三级指标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年度指标值</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实际完成值</w:t>
            </w:r>
          </w:p>
        </w:tc>
        <w:tc>
          <w:tcPr>
            <w:tcW w:w="808"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分值</w:t>
            </w:r>
          </w:p>
        </w:tc>
        <w:tc>
          <w:tcPr>
            <w:tcW w:w="1417"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pPr>
              <w:widowControl/>
              <w:jc w:val="center"/>
              <w:rPr>
                <w:rFonts w:ascii="宋体" w:hAnsi="宋体" w:eastAsia="等线" w:cs="宋体"/>
                <w:kern w:val="0"/>
                <w:sz w:val="20"/>
                <w:szCs w:val="20"/>
              </w:rPr>
            </w:pPr>
          </w:p>
        </w:tc>
        <w:tc>
          <w:tcPr>
            <w:tcW w:w="1300" w:type="dxa"/>
            <w:vMerge w:val="restart"/>
            <w:shd w:val="clear" w:color="auto" w:fill="auto"/>
            <w:vAlign w:val="center"/>
          </w:tcPr>
          <w:p>
            <w:pPr>
              <w:widowControl/>
              <w:rPr>
                <w:rFonts w:ascii="宋体" w:hAnsi="宋体" w:eastAsia="等线" w:cs="宋体"/>
                <w:kern w:val="0"/>
                <w:sz w:val="20"/>
                <w:szCs w:val="20"/>
              </w:rPr>
            </w:pPr>
            <w:r>
              <w:rPr>
                <w:rFonts w:ascii="宋体" w:hAnsi="宋体" w:eastAsia="等线" w:cs="宋体"/>
                <w:kern w:val="0"/>
                <w:sz w:val="20"/>
                <w:szCs w:val="20"/>
              </w:rPr>
              <w:t>产出指标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数量指标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日均接待群众</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cs="宋体"/>
                <w:color w:val="000000"/>
                <w:kern w:val="0"/>
                <w:sz w:val="20"/>
                <w:szCs w:val="20"/>
              </w:rPr>
              <w:t>≥</w:t>
            </w:r>
            <w:r>
              <w:rPr>
                <w:rFonts w:hint="eastAsia" w:ascii="微软雅黑" w:hAnsi="微软雅黑" w:eastAsia="微软雅黑" w:cs="宋体"/>
                <w:color w:val="000000"/>
                <w:kern w:val="0"/>
                <w:sz w:val="20"/>
                <w:szCs w:val="20"/>
              </w:rPr>
              <w:t>3000</w:t>
            </w:r>
            <w:r>
              <w:rPr>
                <w:rFonts w:ascii="等线" w:hAnsi="等线" w:eastAsia="微软雅黑" w:cs="宋体"/>
                <w:color w:val="000000"/>
                <w:kern w:val="0"/>
                <w:sz w:val="20"/>
                <w:szCs w:val="20"/>
              </w:rPr>
              <w:t>人</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cs="宋体"/>
                <w:color w:val="000000"/>
                <w:kern w:val="0"/>
                <w:sz w:val="20"/>
                <w:szCs w:val="20"/>
              </w:rPr>
              <w:t>≥</w:t>
            </w:r>
            <w:r>
              <w:rPr>
                <w:rFonts w:hint="eastAsia" w:ascii="微软雅黑" w:hAnsi="微软雅黑" w:eastAsia="微软雅黑" w:cs="宋体"/>
                <w:color w:val="000000"/>
                <w:kern w:val="0"/>
                <w:sz w:val="20"/>
                <w:szCs w:val="20"/>
              </w:rPr>
              <w:t>3000</w:t>
            </w:r>
            <w:r>
              <w:rPr>
                <w:rFonts w:ascii="等线" w:hAnsi="等线" w:eastAsia="微软雅黑" w:cs="宋体"/>
                <w:color w:val="000000"/>
                <w:kern w:val="0"/>
                <w:sz w:val="20"/>
                <w:szCs w:val="20"/>
              </w:rPr>
              <w:t>人</w:t>
            </w:r>
          </w:p>
        </w:tc>
        <w:tc>
          <w:tcPr>
            <w:tcW w:w="808"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c>
          <w:tcPr>
            <w:tcW w:w="1417"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数量指标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年均办件量</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cs="宋体"/>
                <w:color w:val="000000"/>
                <w:kern w:val="0"/>
                <w:sz w:val="20"/>
                <w:szCs w:val="20"/>
              </w:rPr>
              <w:t>≥</w:t>
            </w:r>
            <w:r>
              <w:rPr>
                <w:rFonts w:hint="eastAsia" w:ascii="微软雅黑" w:hAnsi="微软雅黑" w:eastAsia="微软雅黑" w:cs="宋体"/>
                <w:color w:val="000000"/>
                <w:kern w:val="0"/>
                <w:sz w:val="20"/>
                <w:szCs w:val="20"/>
              </w:rPr>
              <w:t>60</w:t>
            </w:r>
            <w:r>
              <w:rPr>
                <w:rFonts w:ascii="等线" w:hAnsi="等线" w:eastAsia="微软雅黑" w:cs="宋体"/>
                <w:color w:val="000000"/>
                <w:kern w:val="0"/>
                <w:sz w:val="20"/>
                <w:szCs w:val="20"/>
              </w:rPr>
              <w:t>万件</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cs="宋体"/>
                <w:color w:val="000000"/>
                <w:kern w:val="0"/>
                <w:sz w:val="20"/>
                <w:szCs w:val="20"/>
              </w:rPr>
              <w:t>≥</w:t>
            </w:r>
            <w:r>
              <w:rPr>
                <w:rFonts w:hint="eastAsia" w:ascii="微软雅黑" w:hAnsi="微软雅黑" w:eastAsia="微软雅黑" w:cs="宋体"/>
                <w:color w:val="000000"/>
                <w:kern w:val="0"/>
                <w:sz w:val="20"/>
                <w:szCs w:val="20"/>
              </w:rPr>
              <w:t>60</w:t>
            </w:r>
            <w:r>
              <w:rPr>
                <w:rFonts w:ascii="等线" w:hAnsi="等线" w:eastAsia="微软雅黑" w:cs="宋体"/>
                <w:color w:val="000000"/>
                <w:kern w:val="0"/>
                <w:sz w:val="20"/>
                <w:szCs w:val="20"/>
              </w:rPr>
              <w:t>万件</w:t>
            </w:r>
          </w:p>
        </w:tc>
        <w:tc>
          <w:tcPr>
            <w:tcW w:w="808"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c>
          <w:tcPr>
            <w:tcW w:w="1417"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质量指标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一体化政务服务平台运行情况</w:t>
            </w: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规范</w:t>
            </w: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规范</w:t>
            </w:r>
          </w:p>
        </w:tc>
        <w:tc>
          <w:tcPr>
            <w:tcW w:w="808"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c>
          <w:tcPr>
            <w:tcW w:w="1417"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808" w:type="dxa"/>
            <w:shd w:val="clear" w:color="auto" w:fill="auto"/>
            <w:vAlign w:val="center"/>
          </w:tcPr>
          <w:p>
            <w:pPr>
              <w:widowControl/>
              <w:jc w:val="center"/>
              <w:rPr>
                <w:rFonts w:ascii="宋体" w:hAnsi="宋体" w:eastAsia="等线" w:cs="宋体"/>
                <w:kern w:val="0"/>
                <w:sz w:val="20"/>
                <w:szCs w:val="20"/>
              </w:rPr>
            </w:pPr>
          </w:p>
        </w:tc>
        <w:tc>
          <w:tcPr>
            <w:tcW w:w="1417" w:type="dxa"/>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808" w:type="dxa"/>
            <w:shd w:val="clear" w:color="auto" w:fill="auto"/>
            <w:vAlign w:val="center"/>
          </w:tcPr>
          <w:p>
            <w:pPr>
              <w:widowControl/>
              <w:jc w:val="center"/>
              <w:rPr>
                <w:rFonts w:ascii="宋体" w:hAnsi="宋体" w:eastAsia="等线" w:cs="宋体"/>
                <w:kern w:val="0"/>
                <w:sz w:val="20"/>
                <w:szCs w:val="20"/>
              </w:rPr>
            </w:pPr>
          </w:p>
        </w:tc>
        <w:tc>
          <w:tcPr>
            <w:tcW w:w="1417" w:type="dxa"/>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restart"/>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效益指标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经济效益指标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减轻服务对象负担标</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cs="宋体"/>
                <w:color w:val="000000"/>
                <w:kern w:val="0"/>
                <w:sz w:val="20"/>
                <w:szCs w:val="20"/>
              </w:rPr>
              <w:t>≥56.6万元</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cs="宋体"/>
                <w:color w:val="000000"/>
                <w:kern w:val="0"/>
                <w:sz w:val="20"/>
                <w:szCs w:val="20"/>
              </w:rPr>
              <w:t>≥56.6万元</w:t>
            </w:r>
          </w:p>
        </w:tc>
        <w:tc>
          <w:tcPr>
            <w:tcW w:w="808"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c>
          <w:tcPr>
            <w:tcW w:w="1417"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808" w:type="dxa"/>
            <w:shd w:val="clear" w:color="auto" w:fill="auto"/>
            <w:vAlign w:val="center"/>
          </w:tcPr>
          <w:p>
            <w:pPr>
              <w:widowControl/>
              <w:jc w:val="center"/>
              <w:rPr>
                <w:rFonts w:ascii="宋体" w:hAnsi="宋体" w:eastAsia="等线" w:cs="宋体"/>
                <w:kern w:val="0"/>
                <w:sz w:val="20"/>
                <w:szCs w:val="20"/>
              </w:rPr>
            </w:pPr>
          </w:p>
        </w:tc>
        <w:tc>
          <w:tcPr>
            <w:tcW w:w="1417" w:type="dxa"/>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restart"/>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满意度指标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服务对象满意度指标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服务对象满意度</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cs="宋体"/>
                <w:color w:val="000000"/>
                <w:kern w:val="0"/>
                <w:sz w:val="20"/>
                <w:szCs w:val="20"/>
              </w:rPr>
              <w:t>≥90%</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cs="宋体"/>
                <w:color w:val="000000"/>
                <w:kern w:val="0"/>
                <w:sz w:val="20"/>
                <w:szCs w:val="20"/>
              </w:rPr>
              <w:t>≥90%</w:t>
            </w:r>
          </w:p>
        </w:tc>
        <w:tc>
          <w:tcPr>
            <w:tcW w:w="808"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c>
          <w:tcPr>
            <w:tcW w:w="1417"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808" w:type="dxa"/>
            <w:shd w:val="clear" w:color="auto" w:fill="auto"/>
            <w:vAlign w:val="center"/>
          </w:tcPr>
          <w:p>
            <w:pPr>
              <w:widowControl/>
              <w:jc w:val="center"/>
              <w:rPr>
                <w:rFonts w:ascii="宋体" w:hAnsi="宋体" w:eastAsia="等线" w:cs="宋体"/>
                <w:kern w:val="0"/>
                <w:sz w:val="20"/>
                <w:szCs w:val="20"/>
              </w:rPr>
            </w:pPr>
          </w:p>
        </w:tc>
        <w:tc>
          <w:tcPr>
            <w:tcW w:w="1417" w:type="dxa"/>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808" w:type="dxa"/>
            <w:shd w:val="clear" w:color="auto" w:fill="auto"/>
            <w:vAlign w:val="center"/>
          </w:tcPr>
          <w:p>
            <w:pPr>
              <w:widowControl/>
              <w:jc w:val="center"/>
              <w:rPr>
                <w:rFonts w:ascii="宋体" w:hAnsi="宋体" w:eastAsia="等线" w:cs="宋体"/>
                <w:kern w:val="0"/>
                <w:sz w:val="20"/>
                <w:szCs w:val="20"/>
              </w:rPr>
            </w:pPr>
          </w:p>
        </w:tc>
        <w:tc>
          <w:tcPr>
            <w:tcW w:w="1417" w:type="dxa"/>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说明</w:t>
            </w:r>
          </w:p>
        </w:tc>
        <w:tc>
          <w:tcPr>
            <w:tcW w:w="8725" w:type="dxa"/>
            <w:gridSpan w:val="7"/>
            <w:shd w:val="clear" w:color="auto" w:fill="auto"/>
            <w:vAlign w:val="center"/>
          </w:tcPr>
          <w:p>
            <w:pPr>
              <w:widowControl/>
              <w:jc w:val="center"/>
              <w:rPr>
                <w:rFonts w:ascii="宋体" w:hAnsi="宋体" w:eastAsia="等线" w:cs="宋体"/>
                <w:kern w:val="0"/>
                <w:sz w:val="20"/>
                <w:szCs w:val="20"/>
              </w:rPr>
            </w:pPr>
          </w:p>
        </w:tc>
      </w:tr>
    </w:tbl>
    <w:p>
      <w:pPr>
        <w:ind w:firstLine="707" w:firstLineChars="221"/>
        <w:rPr>
          <w:rFonts w:ascii="方正仿宋_GBK" w:eastAsia="方正仿宋_GBK"/>
          <w:sz w:val="32"/>
          <w:szCs w:val="32"/>
        </w:rPr>
      </w:pPr>
      <w:r>
        <w:rPr>
          <w:rFonts w:hint="eastAsia" w:ascii="方正仿宋_GBK" w:eastAsia="方正仿宋_GBK"/>
          <w:sz w:val="32"/>
          <w:szCs w:val="32"/>
        </w:rPr>
        <w:t>2.绩效自评报告或案例。</w:t>
      </w:r>
    </w:p>
    <w:p>
      <w:pPr>
        <w:ind w:firstLine="707" w:firstLineChars="221"/>
        <w:rPr>
          <w:rFonts w:ascii="方正仿宋_GBK" w:eastAsia="方正仿宋_GBK"/>
          <w:sz w:val="32"/>
          <w:szCs w:val="32"/>
        </w:rPr>
      </w:pPr>
      <w:r>
        <w:rPr>
          <w:rFonts w:hint="eastAsia" w:ascii="方正仿宋_GBK" w:eastAsia="方正仿宋_GBK"/>
          <w:sz w:val="32"/>
          <w:szCs w:val="32"/>
        </w:rPr>
        <w:t>我部门未委托第三方开展绩效自评。</w:t>
      </w:r>
    </w:p>
    <w:p>
      <w:pPr>
        <w:ind w:firstLine="707" w:firstLineChars="221"/>
        <w:rPr>
          <w:rFonts w:ascii="方正仿宋_GBK" w:eastAsia="方正仿宋_GBK"/>
          <w:sz w:val="32"/>
          <w:szCs w:val="32"/>
        </w:rPr>
      </w:pPr>
      <w:r>
        <w:rPr>
          <w:rFonts w:hint="eastAsia" w:ascii="方正仿宋_GBK" w:eastAsia="方正仿宋_GBK"/>
          <w:sz w:val="32"/>
          <w:szCs w:val="32"/>
        </w:rPr>
        <w:t>3.关于绩效自评结果的说明。</w:t>
      </w:r>
    </w:p>
    <w:p>
      <w:pPr>
        <w:ind w:firstLine="707" w:firstLineChars="221"/>
        <w:rPr>
          <w:rFonts w:ascii="方正仿宋_GBK" w:eastAsia="方正仿宋_GBK"/>
          <w:sz w:val="32"/>
          <w:szCs w:val="32"/>
        </w:rPr>
      </w:pPr>
      <w:r>
        <w:rPr>
          <w:rFonts w:hint="eastAsia" w:ascii="方正仿宋_GBK" w:eastAsia="方正仿宋_GBK"/>
          <w:sz w:val="32"/>
          <w:szCs w:val="32"/>
        </w:rPr>
        <w:t>我部门绩效自评均已完成年度绩效目标。</w:t>
      </w:r>
    </w:p>
    <w:p>
      <w:pPr>
        <w:ind w:firstLine="707" w:firstLineChars="221"/>
        <w:rPr>
          <w:rFonts w:ascii="方正楷体_GBK" w:eastAsia="方正楷体_GBK"/>
          <w:sz w:val="32"/>
          <w:szCs w:val="32"/>
        </w:rPr>
      </w:pPr>
      <w:r>
        <w:rPr>
          <w:rFonts w:hint="eastAsia" w:ascii="方正楷体_GBK" w:eastAsia="方正楷体_GBK"/>
          <w:sz w:val="32"/>
          <w:szCs w:val="32"/>
        </w:rPr>
        <w:t>（三）重点绩效评价结果。</w:t>
      </w:r>
    </w:p>
    <w:p>
      <w:pPr>
        <w:ind w:firstLine="707" w:firstLineChars="221"/>
        <w:rPr>
          <w:rFonts w:ascii="方正仿宋_GBK" w:eastAsia="方正仿宋_GBK"/>
          <w:sz w:val="32"/>
          <w:szCs w:val="32"/>
        </w:rPr>
      </w:pPr>
      <w:r>
        <w:rPr>
          <w:rFonts w:hint="eastAsia" w:ascii="方正仿宋_GBK" w:eastAsia="方正仿宋_GBK"/>
          <w:sz w:val="32"/>
          <w:szCs w:val="32"/>
        </w:rPr>
        <w:t>我部门未委托第三方开展重点绩效评价。</w:t>
      </w:r>
    </w:p>
    <w:p>
      <w:pPr>
        <w:ind w:firstLine="707" w:firstLineChars="221"/>
        <w:rPr>
          <w:rFonts w:ascii="方正黑体_GBK" w:eastAsia="方正黑体_GBK"/>
          <w:sz w:val="32"/>
          <w:szCs w:val="32"/>
        </w:rPr>
      </w:pPr>
      <w:r>
        <w:rPr>
          <w:rFonts w:hint="eastAsia" w:ascii="方正黑体_GBK" w:eastAsia="方正黑体_GBK"/>
          <w:sz w:val="32"/>
          <w:szCs w:val="32"/>
        </w:rPr>
        <w:t>六、专业名词解释</w:t>
      </w:r>
    </w:p>
    <w:p>
      <w:pPr>
        <w:ind w:firstLine="707" w:firstLineChars="221"/>
        <w:rPr>
          <w:rFonts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ind w:firstLine="707" w:firstLineChars="221"/>
        <w:rPr>
          <w:rFonts w:ascii="方正仿宋_GBK" w:eastAsia="方正仿宋_GBK"/>
          <w:sz w:val="32"/>
          <w:szCs w:val="32"/>
        </w:rPr>
      </w:pPr>
      <w:r>
        <w:rPr>
          <w:rFonts w:hint="eastAsia" w:ascii="方正楷体_GBK" w:eastAsia="方正楷体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ind w:firstLine="707" w:firstLineChars="221"/>
        <w:rPr>
          <w:rFonts w:ascii="方正仿宋_GBK" w:eastAsia="方正仿宋_GBK"/>
          <w:sz w:val="32"/>
          <w:szCs w:val="32"/>
        </w:rPr>
      </w:pPr>
      <w:r>
        <w:rPr>
          <w:rFonts w:hint="eastAsia" w:ascii="方正楷体_GBK" w:eastAsia="方正楷体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ind w:firstLine="707" w:firstLineChars="221"/>
        <w:rPr>
          <w:rFonts w:ascii="方正仿宋_GBK" w:eastAsia="方正仿宋_GBK"/>
          <w:sz w:val="32"/>
          <w:szCs w:val="32"/>
        </w:rPr>
      </w:pPr>
      <w:r>
        <w:rPr>
          <w:rFonts w:hint="eastAsia" w:ascii="方正楷体_GBK" w:eastAsia="方正楷体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ind w:firstLine="707" w:firstLineChars="221"/>
        <w:rPr>
          <w:rFonts w:ascii="方正仿宋_GBK" w:eastAsia="方正仿宋_GBK"/>
          <w:sz w:val="32"/>
          <w:szCs w:val="32"/>
        </w:rPr>
      </w:pPr>
      <w:r>
        <w:rPr>
          <w:rFonts w:hint="eastAsia" w:ascii="方正楷体_GBK" w:eastAsia="方正楷体_GBK"/>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ind w:firstLine="707" w:firstLineChars="221"/>
        <w:rPr>
          <w:rFonts w:ascii="方正仿宋_GBK" w:eastAsia="方正仿宋_GBK"/>
          <w:sz w:val="32"/>
          <w:szCs w:val="32"/>
        </w:rPr>
      </w:pPr>
      <w:r>
        <w:rPr>
          <w:rFonts w:hint="eastAsia" w:ascii="方正楷体_GBK" w:eastAsia="方正楷体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ind w:firstLine="707" w:firstLineChars="221"/>
        <w:rPr>
          <w:rFonts w:ascii="方正仿宋_GBK" w:eastAsia="方正仿宋_GBK"/>
          <w:sz w:val="32"/>
          <w:szCs w:val="32"/>
        </w:rPr>
      </w:pPr>
      <w:r>
        <w:rPr>
          <w:rFonts w:hint="eastAsia" w:ascii="方正楷体_GBK" w:eastAsia="方正楷体_GBK"/>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ind w:firstLine="707" w:firstLineChars="221"/>
        <w:rPr>
          <w:rFonts w:ascii="方正仿宋_GBK" w:eastAsia="方正仿宋_GBK"/>
          <w:sz w:val="32"/>
          <w:szCs w:val="32"/>
        </w:rPr>
      </w:pPr>
      <w:r>
        <w:rPr>
          <w:rFonts w:hint="eastAsia" w:ascii="方正楷体_GBK" w:eastAsia="方正楷体_GBK"/>
          <w:sz w:val="32"/>
          <w:szCs w:val="32"/>
        </w:rPr>
        <w:t>（八）年末结转和结余：</w:t>
      </w:r>
      <w:r>
        <w:rPr>
          <w:rFonts w:hint="eastAsia" w:ascii="方正仿宋_GBK" w:eastAsia="方正仿宋_GBK"/>
          <w:sz w:val="32"/>
          <w:szCs w:val="32"/>
        </w:rPr>
        <w:t>指单位结转下年的基本支出结转、项目支出结转和结余、经营结余。</w:t>
      </w:r>
    </w:p>
    <w:p>
      <w:pPr>
        <w:ind w:firstLine="707" w:firstLineChars="221"/>
        <w:rPr>
          <w:rFonts w:ascii="方正仿宋_GBK" w:eastAsia="方正仿宋_GBK"/>
          <w:sz w:val="32"/>
          <w:szCs w:val="32"/>
        </w:rPr>
      </w:pPr>
      <w:r>
        <w:rPr>
          <w:rFonts w:hint="eastAsia" w:ascii="方正楷体_GBK" w:eastAsia="方正楷体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707" w:firstLineChars="221"/>
        <w:rPr>
          <w:rFonts w:ascii="方正仿宋_GBK" w:eastAsia="方正仿宋_GBK"/>
          <w:sz w:val="32"/>
          <w:szCs w:val="32"/>
        </w:rPr>
      </w:pPr>
      <w:r>
        <w:rPr>
          <w:rFonts w:hint="eastAsia" w:ascii="方正楷体_GBK" w:eastAsia="方正楷体_GBK"/>
          <w:sz w:val="32"/>
          <w:szCs w:val="32"/>
        </w:rPr>
        <w:t>（十）项目支出：</w:t>
      </w:r>
      <w:r>
        <w:rPr>
          <w:rFonts w:hint="eastAsia" w:ascii="方正仿宋_GBK" w:eastAsia="方正仿宋_GBK"/>
          <w:sz w:val="32"/>
          <w:szCs w:val="32"/>
        </w:rPr>
        <w:t>指在基本支出之外为完成特定行政任务和事业发展目标所发生的支出。</w:t>
      </w:r>
    </w:p>
    <w:p>
      <w:pPr>
        <w:ind w:firstLine="707" w:firstLineChars="221"/>
        <w:rPr>
          <w:rFonts w:ascii="方正仿宋_GBK" w:eastAsia="方正仿宋_GBK"/>
          <w:sz w:val="32"/>
          <w:szCs w:val="32"/>
        </w:rPr>
      </w:pPr>
      <w:r>
        <w:rPr>
          <w:rFonts w:hint="eastAsia" w:ascii="方正楷体_GBK" w:eastAsia="方正楷体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ind w:firstLine="707" w:firstLineChars="221"/>
        <w:rPr>
          <w:rFonts w:ascii="方正仿宋_GBK" w:eastAsia="方正仿宋_GBK"/>
          <w:sz w:val="32"/>
          <w:szCs w:val="32"/>
        </w:rPr>
      </w:pPr>
      <w:r>
        <w:rPr>
          <w:rFonts w:hint="eastAsia" w:ascii="方正楷体_GBK" w:eastAsia="方正楷体_GBK"/>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707" w:firstLineChars="221"/>
        <w:rPr>
          <w:rFonts w:ascii="方正仿宋_GBK" w:eastAsia="方正仿宋_GBK"/>
          <w:sz w:val="32"/>
          <w:szCs w:val="32"/>
        </w:rPr>
      </w:pPr>
      <w:r>
        <w:rPr>
          <w:rFonts w:hint="eastAsia" w:ascii="方正楷体_GBK" w:eastAsia="方正楷体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707" w:firstLineChars="221"/>
        <w:rPr>
          <w:rFonts w:ascii="方正仿宋_GBK" w:eastAsia="方正仿宋_GBK"/>
          <w:sz w:val="32"/>
          <w:szCs w:val="32"/>
        </w:rPr>
      </w:pPr>
      <w:r>
        <w:rPr>
          <w:rFonts w:hint="eastAsia" w:ascii="方正楷体_GBK" w:eastAsia="方正楷体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ind w:firstLine="707" w:firstLineChars="221"/>
        <w:rPr>
          <w:rFonts w:ascii="方正仿宋_GBK" w:eastAsia="方正仿宋_GBK"/>
          <w:sz w:val="32"/>
          <w:szCs w:val="32"/>
        </w:rPr>
      </w:pPr>
      <w:r>
        <w:rPr>
          <w:rFonts w:hint="eastAsia" w:ascii="方正楷体_GBK" w:eastAsia="方正楷体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ind w:firstLine="707" w:firstLineChars="221"/>
        <w:rPr>
          <w:rFonts w:ascii="方正仿宋_GBK" w:eastAsia="方正仿宋_GBK"/>
          <w:sz w:val="32"/>
          <w:szCs w:val="32"/>
        </w:rPr>
      </w:pPr>
      <w:r>
        <w:rPr>
          <w:rFonts w:hint="eastAsia" w:ascii="方正楷体_GBK" w:eastAsia="方正楷体_GBK"/>
          <w:sz w:val="32"/>
          <w:szCs w:val="32"/>
        </w:rPr>
        <w:t>（十六）对个人和家庭的补助（支出经济分类科目类级）：</w:t>
      </w:r>
      <w:r>
        <w:rPr>
          <w:rFonts w:hint="eastAsia" w:ascii="方正仿宋_GBK" w:eastAsia="方正仿宋_GBK"/>
          <w:sz w:val="32"/>
          <w:szCs w:val="32"/>
        </w:rPr>
        <w:t>反映用于对个人和家庭的补助支出。</w:t>
      </w:r>
    </w:p>
    <w:p>
      <w:pPr>
        <w:ind w:firstLine="707" w:firstLineChars="221"/>
        <w:rPr>
          <w:rFonts w:ascii="方正仿宋_GBK" w:eastAsia="方正仿宋_GBK"/>
          <w:sz w:val="32"/>
          <w:szCs w:val="32"/>
        </w:rPr>
      </w:pPr>
      <w:r>
        <w:rPr>
          <w:rFonts w:hint="eastAsia" w:ascii="方正楷体_GBK" w:eastAsia="方正楷体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ind w:firstLine="707" w:firstLineChars="221"/>
        <w:rPr>
          <w:rFonts w:ascii="方正黑体_GBK" w:eastAsia="方正黑体_GBK"/>
          <w:sz w:val="32"/>
          <w:szCs w:val="32"/>
        </w:rPr>
      </w:pPr>
      <w:r>
        <w:rPr>
          <w:rFonts w:hint="eastAsia" w:ascii="方正黑体_GBK" w:eastAsia="方正黑体_GBK"/>
          <w:sz w:val="32"/>
          <w:szCs w:val="32"/>
        </w:rPr>
        <w:t>七、决算公开联系方式及信息反馈渠道</w:t>
      </w:r>
    </w:p>
    <w:p>
      <w:pPr>
        <w:ind w:firstLine="707" w:firstLineChars="221"/>
        <w:rPr>
          <w:rFonts w:ascii="方正仿宋_GBK" w:eastAsia="方正仿宋_GBK"/>
          <w:sz w:val="32"/>
          <w:szCs w:val="32"/>
        </w:rPr>
      </w:pPr>
      <w:r>
        <w:rPr>
          <w:rFonts w:hint="eastAsia" w:ascii="方正仿宋_GBK" w:eastAsia="方正仿宋_GBK"/>
          <w:sz w:val="32"/>
          <w:szCs w:val="32"/>
        </w:rPr>
        <w:t>本部门决算公开信息反馈和联系方式： 023-70606018。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B93774"/>
    <w:rsid w:val="00052C03"/>
    <w:rsid w:val="00062212"/>
    <w:rsid w:val="000C0F59"/>
    <w:rsid w:val="00183140"/>
    <w:rsid w:val="002042D6"/>
    <w:rsid w:val="0021323B"/>
    <w:rsid w:val="00222E92"/>
    <w:rsid w:val="00233182"/>
    <w:rsid w:val="002E0085"/>
    <w:rsid w:val="00336D93"/>
    <w:rsid w:val="00342848"/>
    <w:rsid w:val="00461E1C"/>
    <w:rsid w:val="00537BC4"/>
    <w:rsid w:val="00566314"/>
    <w:rsid w:val="00581DFD"/>
    <w:rsid w:val="00605DE4"/>
    <w:rsid w:val="006F2398"/>
    <w:rsid w:val="007013F7"/>
    <w:rsid w:val="007D0404"/>
    <w:rsid w:val="007D3B0D"/>
    <w:rsid w:val="00806843"/>
    <w:rsid w:val="00875F1F"/>
    <w:rsid w:val="008F05CA"/>
    <w:rsid w:val="008F44DF"/>
    <w:rsid w:val="00982E58"/>
    <w:rsid w:val="00A241CB"/>
    <w:rsid w:val="00B60C80"/>
    <w:rsid w:val="00B93774"/>
    <w:rsid w:val="00BF05FE"/>
    <w:rsid w:val="00C0783B"/>
    <w:rsid w:val="00C64314"/>
    <w:rsid w:val="00C81E6D"/>
    <w:rsid w:val="00CC4246"/>
    <w:rsid w:val="00D77E60"/>
    <w:rsid w:val="00D9291C"/>
    <w:rsid w:val="00DA11AB"/>
    <w:rsid w:val="00DC0420"/>
    <w:rsid w:val="00E7566D"/>
    <w:rsid w:val="00F0060E"/>
    <w:rsid w:val="00F45DC6"/>
    <w:rsid w:val="00F85F0C"/>
    <w:rsid w:val="33F47209"/>
    <w:rsid w:val="64B9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7075</Words>
  <Characters>7881</Characters>
  <Lines>60</Lines>
  <Paragraphs>16</Paragraphs>
  <TotalTime>199</TotalTime>
  <ScaleCrop>false</ScaleCrop>
  <LinksUpToDate>false</LinksUpToDate>
  <CharactersWithSpaces>7914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2022-10-10T02:15:00Z</dcterms:created>
  <dc:creator>Administrator</dc:creator>
  <cp:lastModifiedBy>温星星</cp:lastModifiedBy>
  <cp:lastPrinted>2022-10-13T11:13:00Z</cp:lastPrinted>
  <dcterms:modified xsi:type="dcterms:W3CDTF">2024-01-09T00:58:28Z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1608938A60994E9FA3F61B939F8A2702_12</vt:lpwstr>
  </property>
</Properties>
</file>