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方正小标宋_GBK" w:eastAsia="方正小标宋_GBK"/>
          <w:sz w:val="44"/>
          <w:szCs w:val="44"/>
        </w:rPr>
      </w:pPr>
      <w:r>
        <w:rPr>
          <w:rFonts w:hint="eastAsia" w:ascii="方正小标宋_GBK" w:eastAsia="方正小标宋_GBK"/>
          <w:sz w:val="44"/>
          <w:szCs w:val="44"/>
        </w:rPr>
        <w:t>丰都县人民政府办公室（本级）</w:t>
      </w:r>
    </w:p>
    <w:p>
      <w:pPr>
        <w:pStyle w:val="4"/>
        <w:jc w:val="center"/>
        <w:rPr>
          <w:rFonts w:ascii="方正小标宋_GBK" w:eastAsia="方正小标宋_GBK"/>
          <w:sz w:val="44"/>
          <w:szCs w:val="44"/>
        </w:rPr>
      </w:pPr>
      <w:r>
        <w:rPr>
          <w:rFonts w:hint="eastAsia" w:ascii="方正小标宋_GBK" w:eastAsia="方正小标宋_GBK"/>
          <w:sz w:val="44"/>
          <w:szCs w:val="44"/>
        </w:rPr>
        <w:t>2022年度部门决算情况说明</w:t>
      </w:r>
    </w:p>
    <w:p>
      <w:pPr>
        <w:ind w:firstLine="707" w:firstLineChars="221"/>
        <w:rPr>
          <w:rFonts w:ascii="方正黑体_GBK" w:eastAsia="方正黑体_GBK"/>
          <w:sz w:val="32"/>
          <w:szCs w:val="32"/>
        </w:rPr>
      </w:pPr>
      <w:r>
        <w:rPr>
          <w:rFonts w:hint="eastAsia" w:ascii="方正黑体_GBK" w:eastAsia="方正黑体_GBK"/>
          <w:sz w:val="32"/>
          <w:szCs w:val="32"/>
        </w:rPr>
        <w:t>一、部门基本情况</w:t>
      </w:r>
    </w:p>
    <w:p>
      <w:pPr>
        <w:ind w:firstLine="707" w:firstLineChars="221"/>
        <w:rPr>
          <w:rFonts w:ascii="方正仿宋_GBK" w:eastAsia="方正仿宋_GBK"/>
          <w:sz w:val="32"/>
          <w:szCs w:val="32"/>
        </w:rPr>
      </w:pPr>
      <w:r>
        <w:rPr>
          <w:rFonts w:hint="eastAsia" w:ascii="方正楷体_GBK" w:eastAsia="方正楷体_GBK"/>
          <w:sz w:val="32"/>
          <w:szCs w:val="32"/>
        </w:rPr>
        <w:t>（一）职能职责。</w:t>
      </w:r>
      <w:r>
        <w:rPr>
          <w:rFonts w:hint="eastAsia" w:ascii="方正仿宋_GBK" w:eastAsia="方正仿宋_GBK"/>
          <w:sz w:val="32"/>
          <w:szCs w:val="32"/>
        </w:rPr>
        <w:t>丰都县人民政府办公室负责县政府</w:t>
      </w:r>
      <w:r>
        <w:rPr>
          <w:rFonts w:hint="eastAsia" w:ascii="方正仿宋_GBK" w:eastAsia="方正仿宋_GBK"/>
          <w:sz w:val="32"/>
          <w:szCs w:val="32"/>
          <w:lang w:eastAsia="zh-CN"/>
        </w:rPr>
        <w:t>全体会议</w:t>
      </w:r>
      <w:r>
        <w:rPr>
          <w:rFonts w:hint="eastAsia" w:ascii="方正仿宋_GBK" w:eastAsia="方正仿宋_GBK"/>
          <w:sz w:val="32"/>
          <w:szCs w:val="32"/>
        </w:rPr>
        <w:t>、县政府</w:t>
      </w:r>
      <w:r>
        <w:rPr>
          <w:rFonts w:hint="eastAsia" w:ascii="方正仿宋_GBK" w:eastAsia="方正仿宋_GBK"/>
          <w:sz w:val="32"/>
          <w:szCs w:val="32"/>
          <w:lang w:eastAsia="zh-CN"/>
        </w:rPr>
        <w:t>常务会议</w:t>
      </w:r>
      <w:r>
        <w:rPr>
          <w:rFonts w:hint="eastAsia" w:ascii="方正仿宋_GBK" w:eastAsia="方正仿宋_GBK"/>
          <w:sz w:val="32"/>
          <w:szCs w:val="32"/>
        </w:rPr>
        <w:t>、县长办公会及由县政府领导主持召开的各种议事会议的会务工作，协助县政府领导同志组织实施会议决定事项。负责组织起草、审核、编发以县政府、县政府办公室名义发布的文件、县政府重要会议报告、县政府领导讲话等材料。研究各乡镇人民政府（街道办事处）和县政府各部门请示县政府的事项，提出拟办意见，报县政府领导同志审批；受县政府领导委托协调处理有关政务事项。加强对各乡镇人民政府（街道办事处）、县政府各部门贯彻执行市政府、县政府的文件、会议决定事项及县政府出台重大政策、县政府领导交办事项的督查督办及报告工作。加强调查研究，向县政府领导同志提供反映政府工作以及全县经济社会发展中的重要情况，为县政府领导同志把握全局、科学决策提供及时、准确、全面的服务。负责全县政府系统政务信息工作的管理、指导，负责政务信息的上报、编发工作。加强对全县政务（政府信息）公开及电子政务工作的指导和监督。负责县政府政务值班、县长公开电话与公开电子信箱办理工作，及时报告重要情况，传达和督促落实县政府领导指示。负责督促、检查县政府有关部门（单位）办理人大代表建议、政协委员提案工作。负责组织、协调政府系统的全县性重大活动。负责组织、协调、指导、规范、监督本级政府部门、有关单位行政审批服务工作。负责县政府办公室的思想政治教育、人事管理、机关党建、纪检监察和后勤保障、车辆管理工作。牵头推进行政审批制度改革。负责外事工作。负责金融行政管理。负责商业保理、租赁、典当管理。负责机关事务行政管理。负责政府职能转变、“放管服”改革以及推进“互联网+政务服务”工作。贯彻执行国家有关口岸工作的法律法规、规章和方针政策，起草我县口岸工作的政府性规章，拟订口岸综合管理规范性文件并组织实施；牵头编制并组织实施口岸发展规划及年度计划；负责检查督促和参与组织口岸查验配套设施的规划、设计、投资、建设和改造工作；负责开放范围内新建码头等涉外作业区对外开通启用的审查报批工作。办理县政府和县政府领导同志交办的其他事项。</w:t>
      </w:r>
    </w:p>
    <w:p>
      <w:pPr>
        <w:ind w:firstLine="707" w:firstLineChars="221"/>
        <w:rPr>
          <w:rFonts w:ascii="方正仿宋_GBK" w:eastAsia="方正仿宋_GBK"/>
          <w:sz w:val="32"/>
          <w:szCs w:val="32"/>
        </w:rPr>
      </w:pPr>
      <w:r>
        <w:rPr>
          <w:rFonts w:hint="eastAsia" w:ascii="方正楷体_GBK" w:eastAsia="方正楷体_GBK"/>
          <w:sz w:val="32"/>
          <w:szCs w:val="32"/>
        </w:rPr>
        <w:t>（二）机构设置。</w:t>
      </w:r>
      <w:r>
        <w:rPr>
          <w:rFonts w:hint="eastAsia" w:ascii="方正仿宋_GBK" w:eastAsia="方正仿宋_GBK"/>
          <w:sz w:val="32"/>
          <w:szCs w:val="32"/>
        </w:rPr>
        <w:t>丰都县人民政府办公室（丰都县政府外事办公室、丰都县政务服务管理办公室）设13个内设机构：县政府值班室、综合科、信息科、秘书一科、秘书二科、秘书三科、督查科、政务服务管理科、金融管理科、口岸管理科（口岸管理办公室）、外事科、政工科和后勤服务科；管理2个未独立核算的事业单位：丰都县口岸发展服务中心和丰都县突发事件预警信息发布中心（县气象局代为管理）。</w:t>
      </w:r>
    </w:p>
    <w:p>
      <w:pPr>
        <w:ind w:firstLine="707" w:firstLineChars="221"/>
        <w:rPr>
          <w:rFonts w:ascii="方正仿宋_GBK" w:eastAsia="方正仿宋_GBK"/>
          <w:sz w:val="32"/>
          <w:szCs w:val="32"/>
        </w:rPr>
      </w:pPr>
      <w:r>
        <w:rPr>
          <w:rFonts w:hint="eastAsia" w:ascii="方正楷体_GBK" w:eastAsia="方正楷体_GBK"/>
          <w:sz w:val="32"/>
          <w:szCs w:val="32"/>
        </w:rPr>
        <w:t>（三）单位构成。</w:t>
      </w:r>
      <w:r>
        <w:rPr>
          <w:rFonts w:hint="eastAsia" w:ascii="方正仿宋_GBK" w:eastAsia="方正仿宋_GBK"/>
          <w:sz w:val="32"/>
          <w:szCs w:val="32"/>
        </w:rPr>
        <w:t>从单位构成看，无纳入本单位2022年度决算编制的下级预算单位。</w:t>
      </w:r>
    </w:p>
    <w:p>
      <w:pPr>
        <w:ind w:firstLine="707" w:firstLineChars="221"/>
        <w:rPr>
          <w:rFonts w:ascii="方正黑体_GBK" w:eastAsia="方正黑体_GBK"/>
          <w:sz w:val="32"/>
          <w:szCs w:val="32"/>
        </w:rPr>
      </w:pPr>
      <w:r>
        <w:rPr>
          <w:rFonts w:hint="eastAsia" w:ascii="方正黑体_GBK" w:eastAsia="方正黑体_GBK"/>
          <w:sz w:val="32"/>
          <w:szCs w:val="32"/>
        </w:rPr>
        <w:t>二、部门决算情况说明</w:t>
      </w:r>
    </w:p>
    <w:p>
      <w:pPr>
        <w:ind w:firstLine="707" w:firstLineChars="221"/>
        <w:rPr>
          <w:rFonts w:ascii="方正楷体_GBK" w:eastAsia="方正楷体_GBK"/>
          <w:sz w:val="32"/>
          <w:szCs w:val="32"/>
        </w:rPr>
      </w:pPr>
      <w:r>
        <w:rPr>
          <w:rFonts w:hint="eastAsia" w:ascii="方正楷体_GBK" w:eastAsia="方正楷体_GBK"/>
          <w:sz w:val="32"/>
          <w:szCs w:val="32"/>
        </w:rPr>
        <w:t>（一）收入支出决算总体情况说明。</w:t>
      </w:r>
    </w:p>
    <w:p>
      <w:pPr>
        <w:ind w:firstLine="707" w:firstLineChars="221"/>
        <w:rPr>
          <w:rFonts w:ascii="方正仿宋_GBK" w:eastAsia="方正仿宋_GBK"/>
          <w:sz w:val="32"/>
          <w:szCs w:val="32"/>
        </w:rPr>
      </w:pPr>
      <w:r>
        <w:rPr>
          <w:rFonts w:hint="eastAsia" w:ascii="方正仿宋_GBK" w:eastAsia="方正仿宋_GBK"/>
          <w:sz w:val="32"/>
          <w:szCs w:val="32"/>
        </w:rPr>
        <w:t>1.总体情况。2022年度收入总计</w:t>
      </w:r>
      <w:r>
        <w:rPr>
          <w:rFonts w:ascii="方正仿宋_GBK" w:eastAsia="方正仿宋_GBK"/>
          <w:sz w:val="32"/>
          <w:szCs w:val="32"/>
        </w:rPr>
        <w:t>1,310.48</w:t>
      </w:r>
      <w:r>
        <w:rPr>
          <w:rFonts w:hint="eastAsia" w:ascii="方正仿宋_GBK" w:eastAsia="方正仿宋_GBK"/>
          <w:sz w:val="32"/>
          <w:szCs w:val="32"/>
        </w:rPr>
        <w:t>万元，支出总计</w:t>
      </w:r>
      <w:r>
        <w:rPr>
          <w:rFonts w:ascii="方正仿宋_GBK" w:eastAsia="方正仿宋_GBK"/>
          <w:sz w:val="32"/>
          <w:szCs w:val="32"/>
        </w:rPr>
        <w:t>1,310.48</w:t>
      </w:r>
      <w:r>
        <w:rPr>
          <w:rFonts w:hint="eastAsia" w:ascii="方正仿宋_GBK" w:eastAsia="方正仿宋_GBK"/>
          <w:sz w:val="32"/>
          <w:szCs w:val="32"/>
        </w:rPr>
        <w:t>万元。收支较上年决算数减少</w:t>
      </w:r>
      <w:r>
        <w:rPr>
          <w:rFonts w:ascii="方正仿宋_GBK" w:eastAsia="方正仿宋_GBK"/>
          <w:sz w:val="32"/>
          <w:szCs w:val="32"/>
        </w:rPr>
        <w:t>82.56</w:t>
      </w:r>
      <w:r>
        <w:rPr>
          <w:rFonts w:hint="eastAsia" w:ascii="方正仿宋_GBK" w:eastAsia="方正仿宋_GBK"/>
          <w:sz w:val="32"/>
          <w:szCs w:val="32"/>
        </w:rPr>
        <w:t>万元、下降</w:t>
      </w:r>
      <w:r>
        <w:rPr>
          <w:rFonts w:ascii="方正仿宋_GBK" w:eastAsia="方正仿宋_GBK"/>
          <w:sz w:val="32"/>
          <w:szCs w:val="32"/>
        </w:rPr>
        <w:t>5.9%</w:t>
      </w:r>
      <w:r>
        <w:rPr>
          <w:rFonts w:hint="eastAsia" w:ascii="方正仿宋_GBK" w:eastAsia="方正仿宋_GBK"/>
          <w:sz w:val="32"/>
          <w:szCs w:val="32"/>
        </w:rPr>
        <w:t>，主要原因是专项经费减少。</w:t>
      </w:r>
    </w:p>
    <w:p>
      <w:pPr>
        <w:ind w:firstLine="707" w:firstLineChars="221"/>
        <w:rPr>
          <w:rFonts w:ascii="方正仿宋_GBK" w:eastAsia="方正仿宋_GBK"/>
          <w:sz w:val="32"/>
          <w:szCs w:val="32"/>
        </w:rPr>
      </w:pPr>
      <w:r>
        <w:rPr>
          <w:rFonts w:hint="eastAsia" w:ascii="方正仿宋_GBK" w:eastAsia="方正仿宋_GBK"/>
          <w:sz w:val="32"/>
          <w:szCs w:val="32"/>
        </w:rPr>
        <w:t>2.收入情况。2022年度收入合计</w:t>
      </w:r>
      <w:r>
        <w:rPr>
          <w:rFonts w:ascii="方正仿宋_GBK" w:eastAsia="方正仿宋_GBK"/>
          <w:sz w:val="32"/>
          <w:szCs w:val="32"/>
        </w:rPr>
        <w:t>1,275.20</w:t>
      </w:r>
      <w:r>
        <w:rPr>
          <w:rFonts w:hint="eastAsia" w:ascii="方正仿宋_GBK" w:eastAsia="方正仿宋_GBK"/>
          <w:sz w:val="32"/>
          <w:szCs w:val="32"/>
        </w:rPr>
        <w:t>万元（不含年初结转和结余35.28万元），较上年决算数减少</w:t>
      </w:r>
      <w:r>
        <w:rPr>
          <w:rFonts w:ascii="方正仿宋_GBK" w:eastAsia="方正仿宋_GBK"/>
          <w:sz w:val="32"/>
          <w:szCs w:val="32"/>
        </w:rPr>
        <w:t>94.29</w:t>
      </w:r>
      <w:r>
        <w:rPr>
          <w:rFonts w:hint="eastAsia" w:ascii="方正仿宋_GBK" w:eastAsia="方正仿宋_GBK"/>
          <w:sz w:val="32"/>
          <w:szCs w:val="32"/>
        </w:rPr>
        <w:t>万元，下降</w:t>
      </w:r>
      <w:r>
        <w:rPr>
          <w:rFonts w:ascii="方正仿宋_GBK" w:eastAsia="方正仿宋_GBK"/>
          <w:sz w:val="32"/>
          <w:szCs w:val="32"/>
        </w:rPr>
        <w:t>6.9</w:t>
      </w:r>
      <w:r>
        <w:rPr>
          <w:rFonts w:hint="eastAsia" w:ascii="方正仿宋_GBK" w:eastAsia="方正仿宋_GBK"/>
          <w:sz w:val="32"/>
          <w:szCs w:val="32"/>
        </w:rPr>
        <w:t>%，主要原因是专项经费减少。其中：财政拨款收入</w:t>
      </w:r>
      <w:r>
        <w:rPr>
          <w:rFonts w:ascii="方正仿宋_GBK" w:eastAsia="方正仿宋_GBK"/>
          <w:sz w:val="32"/>
          <w:szCs w:val="32"/>
        </w:rPr>
        <w:t>1,275.20</w:t>
      </w:r>
      <w:r>
        <w:rPr>
          <w:rFonts w:hint="eastAsia" w:ascii="方正仿宋_GBK" w:eastAsia="方正仿宋_GBK"/>
          <w:sz w:val="32"/>
          <w:szCs w:val="32"/>
        </w:rPr>
        <w:t>万元，占100%。此外，使用非财政拨款结余0.00万元，年初结转和结余35.28万元。</w:t>
      </w:r>
    </w:p>
    <w:p>
      <w:pPr>
        <w:ind w:firstLine="707" w:firstLineChars="221"/>
        <w:rPr>
          <w:rFonts w:ascii="方正仿宋_GBK" w:eastAsia="方正仿宋_GBK"/>
          <w:sz w:val="32"/>
          <w:szCs w:val="32"/>
        </w:rPr>
      </w:pPr>
      <w:r>
        <w:rPr>
          <w:rFonts w:hint="eastAsia" w:ascii="方正仿宋_GBK" w:eastAsia="方正仿宋_GBK"/>
          <w:sz w:val="32"/>
          <w:szCs w:val="32"/>
        </w:rPr>
        <w:t>3.支出情况。2022年度支出合计</w:t>
      </w:r>
      <w:r>
        <w:rPr>
          <w:rFonts w:ascii="方正仿宋_GBK" w:eastAsia="方正仿宋_GBK"/>
          <w:sz w:val="32"/>
          <w:szCs w:val="32"/>
        </w:rPr>
        <w:t>1,309.65</w:t>
      </w:r>
      <w:r>
        <w:rPr>
          <w:rFonts w:hint="eastAsia" w:ascii="方正仿宋_GBK" w:eastAsia="方正仿宋_GBK"/>
          <w:sz w:val="32"/>
          <w:szCs w:val="32"/>
        </w:rPr>
        <w:t>万元，较上年决算数减少</w:t>
      </w:r>
      <w:r>
        <w:rPr>
          <w:rFonts w:ascii="方正仿宋_GBK" w:eastAsia="方正仿宋_GBK"/>
          <w:sz w:val="32"/>
          <w:szCs w:val="32"/>
        </w:rPr>
        <w:t>56.87</w:t>
      </w:r>
      <w:r>
        <w:rPr>
          <w:rFonts w:hint="eastAsia" w:ascii="方正仿宋_GBK" w:eastAsia="方正仿宋_GBK"/>
          <w:sz w:val="32"/>
          <w:szCs w:val="32"/>
        </w:rPr>
        <w:t>万元，下降4.2%，主要原因是专项经费减少。其中：基本支出</w:t>
      </w:r>
      <w:r>
        <w:rPr>
          <w:rFonts w:ascii="方正仿宋_GBK" w:eastAsia="方正仿宋_GBK"/>
          <w:sz w:val="32"/>
          <w:szCs w:val="32"/>
        </w:rPr>
        <w:t>1,065.95</w:t>
      </w:r>
      <w:r>
        <w:rPr>
          <w:rFonts w:hint="eastAsia" w:ascii="方正仿宋_GBK" w:eastAsia="方正仿宋_GBK"/>
          <w:sz w:val="32"/>
          <w:szCs w:val="32"/>
        </w:rPr>
        <w:t>万元，占81.4%；项目支出</w:t>
      </w:r>
      <w:r>
        <w:rPr>
          <w:rFonts w:ascii="方正仿宋_GBK" w:eastAsia="方正仿宋_GBK"/>
          <w:sz w:val="32"/>
          <w:szCs w:val="32"/>
        </w:rPr>
        <w:t>243.70</w:t>
      </w:r>
      <w:r>
        <w:rPr>
          <w:rFonts w:hint="eastAsia" w:ascii="方正仿宋_GBK" w:eastAsia="方正仿宋_GBK"/>
          <w:sz w:val="32"/>
          <w:szCs w:val="32"/>
        </w:rPr>
        <w:t>万元，占18.6%。此外，结余分配0万元。</w:t>
      </w:r>
    </w:p>
    <w:p>
      <w:pPr>
        <w:ind w:firstLine="707" w:firstLineChars="221"/>
        <w:rPr>
          <w:rFonts w:ascii="方正仿宋_GBK" w:eastAsia="方正仿宋_GBK"/>
          <w:sz w:val="32"/>
          <w:szCs w:val="32"/>
        </w:rPr>
      </w:pPr>
      <w:r>
        <w:rPr>
          <w:rFonts w:hint="eastAsia" w:ascii="方正仿宋_GBK" w:eastAsia="方正仿宋_GBK"/>
          <w:sz w:val="32"/>
          <w:szCs w:val="32"/>
        </w:rPr>
        <w:t>4.结转结余情况。2022年度年末结转和结余0.83万元，较上年决算数减少25.69万元，下降96.9%，主要原因是结转结余资金上交县财政。</w:t>
      </w:r>
    </w:p>
    <w:p>
      <w:pPr>
        <w:ind w:firstLine="707" w:firstLineChars="221"/>
        <w:rPr>
          <w:rFonts w:ascii="方正楷体_GBK" w:eastAsia="方正楷体_GBK"/>
          <w:sz w:val="32"/>
          <w:szCs w:val="32"/>
        </w:rPr>
      </w:pPr>
      <w:r>
        <w:rPr>
          <w:rFonts w:hint="eastAsia" w:ascii="方正楷体_GBK" w:eastAsia="方正楷体_GBK"/>
          <w:sz w:val="32"/>
          <w:szCs w:val="32"/>
        </w:rPr>
        <w:t>（二）财政拨款收入支出决算总体情况说明。</w:t>
      </w:r>
    </w:p>
    <w:p>
      <w:pPr>
        <w:ind w:firstLine="707" w:firstLineChars="221"/>
        <w:rPr>
          <w:rFonts w:ascii="方正仿宋_GBK" w:eastAsia="方正仿宋_GBK"/>
          <w:sz w:val="32"/>
          <w:szCs w:val="32"/>
        </w:rPr>
      </w:pPr>
      <w:r>
        <w:rPr>
          <w:rFonts w:hint="eastAsia" w:ascii="方正仿宋_GBK" w:eastAsia="方正仿宋_GBK"/>
          <w:sz w:val="32"/>
          <w:szCs w:val="32"/>
        </w:rPr>
        <w:t>2022年度财政拨款收、支总计</w:t>
      </w:r>
      <w:r>
        <w:rPr>
          <w:rFonts w:ascii="方正仿宋_GBK" w:eastAsia="方正仿宋_GBK"/>
          <w:sz w:val="32"/>
          <w:szCs w:val="32"/>
        </w:rPr>
        <w:t>1,310.48</w:t>
      </w:r>
      <w:r>
        <w:rPr>
          <w:rFonts w:hint="eastAsia" w:ascii="方正仿宋_GBK" w:eastAsia="方正仿宋_GBK"/>
          <w:sz w:val="32"/>
          <w:szCs w:val="32"/>
        </w:rPr>
        <w:t>万元。与2021年相比，财政拨款收、支总计各减少</w:t>
      </w:r>
      <w:r>
        <w:rPr>
          <w:rFonts w:ascii="方正仿宋_GBK" w:eastAsia="方正仿宋_GBK"/>
          <w:sz w:val="32"/>
          <w:szCs w:val="32"/>
        </w:rPr>
        <w:t>82.56</w:t>
      </w:r>
      <w:r>
        <w:rPr>
          <w:rFonts w:hint="eastAsia" w:ascii="方正仿宋_GBK" w:eastAsia="方正仿宋_GBK"/>
          <w:sz w:val="32"/>
          <w:szCs w:val="32"/>
        </w:rPr>
        <w:t>万元，下降5.9%。主要原因是专项经费减少。</w:t>
      </w:r>
    </w:p>
    <w:p>
      <w:pPr>
        <w:ind w:firstLine="707" w:firstLineChars="221"/>
        <w:rPr>
          <w:rFonts w:ascii="方正楷体_GBK" w:eastAsia="方正楷体_GBK"/>
          <w:sz w:val="32"/>
          <w:szCs w:val="32"/>
        </w:rPr>
      </w:pPr>
      <w:r>
        <w:rPr>
          <w:rFonts w:hint="eastAsia" w:ascii="方正楷体_GBK" w:eastAsia="方正楷体_GBK"/>
          <w:sz w:val="32"/>
          <w:szCs w:val="32"/>
        </w:rPr>
        <w:t>（三）一般公共预算财政拨款收入支出决算情况说明。</w:t>
      </w:r>
    </w:p>
    <w:p>
      <w:pPr>
        <w:ind w:firstLine="707" w:firstLineChars="221"/>
        <w:rPr>
          <w:rFonts w:ascii="方正仿宋_GBK" w:eastAsia="方正仿宋_GBK"/>
          <w:sz w:val="32"/>
          <w:szCs w:val="32"/>
        </w:rPr>
      </w:pPr>
      <w:r>
        <w:rPr>
          <w:rFonts w:hint="eastAsia" w:ascii="方正仿宋_GBK" w:eastAsia="方正仿宋_GBK"/>
          <w:sz w:val="32"/>
          <w:szCs w:val="32"/>
        </w:rPr>
        <w:t>1.收入情况。2022年度一般公共预算财政拨款收入</w:t>
      </w:r>
      <w:r>
        <w:rPr>
          <w:rFonts w:ascii="方正仿宋_GBK" w:eastAsia="方正仿宋_GBK"/>
          <w:sz w:val="32"/>
          <w:szCs w:val="32"/>
        </w:rPr>
        <w:t>1,275.20</w:t>
      </w:r>
      <w:r>
        <w:rPr>
          <w:rFonts w:hint="eastAsia" w:ascii="方正仿宋_GBK" w:eastAsia="方正仿宋_GBK"/>
          <w:sz w:val="32"/>
          <w:szCs w:val="32"/>
        </w:rPr>
        <w:t>万元，较上年决算数减少</w:t>
      </w:r>
      <w:r>
        <w:rPr>
          <w:rFonts w:ascii="方正仿宋_GBK" w:eastAsia="方正仿宋_GBK"/>
          <w:sz w:val="32"/>
          <w:szCs w:val="32"/>
        </w:rPr>
        <w:t>94.29</w:t>
      </w:r>
      <w:r>
        <w:rPr>
          <w:rFonts w:hint="eastAsia" w:ascii="方正仿宋_GBK" w:eastAsia="方正仿宋_GBK"/>
          <w:sz w:val="32"/>
          <w:szCs w:val="32"/>
        </w:rPr>
        <w:t>万元，下降6.9%。主要原因是专项经费减少。较年初预算数增加</w:t>
      </w:r>
      <w:r>
        <w:rPr>
          <w:rFonts w:ascii="方正仿宋_GBK" w:eastAsia="方正仿宋_GBK"/>
          <w:sz w:val="32"/>
          <w:szCs w:val="32"/>
        </w:rPr>
        <w:t>141.21</w:t>
      </w:r>
      <w:r>
        <w:rPr>
          <w:rFonts w:hint="eastAsia" w:ascii="方正仿宋_GBK" w:eastAsia="方正仿宋_GBK"/>
          <w:sz w:val="32"/>
          <w:szCs w:val="32"/>
        </w:rPr>
        <w:t>万元，增长12.5%。主要原因是人员经费增加。此外，年初财政拨款结转和结余35.28万元。</w:t>
      </w:r>
    </w:p>
    <w:p>
      <w:pPr>
        <w:ind w:firstLine="707" w:firstLineChars="221"/>
        <w:rPr>
          <w:rFonts w:ascii="方正仿宋_GBK" w:eastAsia="方正仿宋_GBK"/>
          <w:sz w:val="32"/>
          <w:szCs w:val="32"/>
        </w:rPr>
      </w:pPr>
      <w:r>
        <w:rPr>
          <w:rFonts w:hint="eastAsia" w:ascii="方正仿宋_GBK" w:eastAsia="方正仿宋_GBK"/>
          <w:sz w:val="32"/>
          <w:szCs w:val="32"/>
        </w:rPr>
        <w:t>2.支出情况。2022年度一般公共预算财政拨款支出</w:t>
      </w:r>
      <w:r>
        <w:rPr>
          <w:rFonts w:ascii="方正仿宋_GBK" w:eastAsia="方正仿宋_GBK"/>
          <w:sz w:val="32"/>
          <w:szCs w:val="32"/>
        </w:rPr>
        <w:t>1,309.65</w:t>
      </w:r>
      <w:r>
        <w:rPr>
          <w:rFonts w:hint="eastAsia" w:ascii="方正仿宋_GBK" w:eastAsia="方正仿宋_GBK"/>
          <w:sz w:val="32"/>
          <w:szCs w:val="32"/>
        </w:rPr>
        <w:t>万元，较上年决算数减少</w:t>
      </w:r>
      <w:r>
        <w:rPr>
          <w:rFonts w:ascii="方正仿宋_GBK" w:eastAsia="方正仿宋_GBK"/>
          <w:sz w:val="32"/>
          <w:szCs w:val="32"/>
        </w:rPr>
        <w:t>56.87</w:t>
      </w:r>
      <w:r>
        <w:rPr>
          <w:rFonts w:hint="eastAsia" w:ascii="方正仿宋_GBK" w:eastAsia="方正仿宋_GBK"/>
          <w:sz w:val="32"/>
          <w:szCs w:val="32"/>
        </w:rPr>
        <w:t>万元，下降4.2%。主要原因是专项经费减少。较年初预算数增加175.66万元，增长15.5%。主要原因是绩效考核、健康休养、伤残抚恤等部分人员经费支出年初未预算。</w:t>
      </w:r>
    </w:p>
    <w:p>
      <w:pPr>
        <w:ind w:firstLine="707" w:firstLineChars="221"/>
        <w:rPr>
          <w:rFonts w:ascii="方正仿宋_GBK" w:eastAsia="方正仿宋_GBK"/>
          <w:sz w:val="32"/>
          <w:szCs w:val="32"/>
        </w:rPr>
      </w:pPr>
      <w:r>
        <w:rPr>
          <w:rFonts w:hint="eastAsia" w:ascii="方正仿宋_GBK" w:eastAsia="方正仿宋_GBK"/>
          <w:sz w:val="32"/>
          <w:szCs w:val="32"/>
        </w:rPr>
        <w:t>3.结转结余情况。2022年度年末一般公共预算财政拨款结转和结余0.83万元，较上年决算数减少</w:t>
      </w:r>
      <w:r>
        <w:rPr>
          <w:rFonts w:ascii="方正仿宋_GBK" w:eastAsia="方正仿宋_GBK"/>
          <w:sz w:val="32"/>
          <w:szCs w:val="32"/>
        </w:rPr>
        <w:t>25.69</w:t>
      </w:r>
      <w:r>
        <w:rPr>
          <w:rFonts w:hint="eastAsia" w:ascii="方正仿宋_GBK" w:eastAsia="方正仿宋_GBK"/>
          <w:sz w:val="32"/>
          <w:szCs w:val="32"/>
        </w:rPr>
        <w:t>万元，下降96.9%，主要原因是结转结余资金上交县财政。</w:t>
      </w:r>
    </w:p>
    <w:p>
      <w:pPr>
        <w:ind w:firstLine="707" w:firstLineChars="221"/>
        <w:rPr>
          <w:rFonts w:ascii="方正仿宋_GBK" w:eastAsia="方正仿宋_GBK"/>
          <w:sz w:val="32"/>
          <w:szCs w:val="32"/>
        </w:rPr>
      </w:pPr>
      <w:r>
        <w:rPr>
          <w:rFonts w:hint="eastAsia" w:ascii="方正仿宋_GBK" w:eastAsia="方正仿宋_GBK"/>
          <w:sz w:val="32"/>
          <w:szCs w:val="32"/>
        </w:rPr>
        <w:t>4.比较情况。本单位2022年度一般公共预算财政拨款支出主要用于以下几个方面：</w:t>
      </w:r>
    </w:p>
    <w:p>
      <w:pPr>
        <w:ind w:firstLine="707" w:firstLineChars="221"/>
        <w:rPr>
          <w:rFonts w:ascii="方正仿宋_GBK" w:eastAsia="方正仿宋_GBK"/>
          <w:sz w:val="32"/>
          <w:szCs w:val="32"/>
        </w:rPr>
      </w:pPr>
      <w:r>
        <w:rPr>
          <w:rFonts w:hint="eastAsia" w:ascii="方正仿宋_GBK" w:eastAsia="方正仿宋_GBK"/>
          <w:sz w:val="32"/>
          <w:szCs w:val="32"/>
        </w:rPr>
        <w:t>（1）一般公共服务支出</w:t>
      </w:r>
      <w:r>
        <w:rPr>
          <w:rFonts w:ascii="方正仿宋_GBK" w:eastAsia="方正仿宋_GBK"/>
          <w:sz w:val="32"/>
          <w:szCs w:val="32"/>
        </w:rPr>
        <w:t>979.61</w:t>
      </w:r>
      <w:r>
        <w:rPr>
          <w:rFonts w:hint="eastAsia" w:ascii="方正仿宋_GBK" w:eastAsia="方正仿宋_GBK"/>
          <w:sz w:val="32"/>
          <w:szCs w:val="32"/>
        </w:rPr>
        <w:t>万元，占74.8%，较年初预算数增加137.37万元，增长16.3%，主要原因是绩效考核等部分人员经费支出年初未预算。</w:t>
      </w:r>
    </w:p>
    <w:p>
      <w:pPr>
        <w:ind w:firstLine="707" w:firstLineChars="221"/>
        <w:rPr>
          <w:rFonts w:ascii="方正仿宋_GBK" w:eastAsia="方正仿宋_GBK"/>
          <w:sz w:val="32"/>
          <w:szCs w:val="32"/>
        </w:rPr>
      </w:pPr>
      <w:r>
        <w:rPr>
          <w:rFonts w:hint="eastAsia" w:ascii="方正仿宋_GBK" w:eastAsia="方正仿宋_GBK"/>
          <w:sz w:val="32"/>
          <w:szCs w:val="32"/>
        </w:rPr>
        <w:t>（2）社会保障与就业支出229.20万元，占17.5%，较年初预算数增加25.64万元，增长12.6%，主要原因是健康休养费标准提高。</w:t>
      </w:r>
    </w:p>
    <w:p>
      <w:pPr>
        <w:ind w:firstLine="707" w:firstLineChars="221"/>
        <w:rPr>
          <w:rFonts w:ascii="方正仿宋_GBK" w:eastAsia="方正仿宋_GBK"/>
          <w:sz w:val="32"/>
          <w:szCs w:val="32"/>
        </w:rPr>
      </w:pPr>
      <w:r>
        <w:rPr>
          <w:rFonts w:hint="eastAsia" w:ascii="方正仿宋_GBK" w:eastAsia="方正仿宋_GBK"/>
          <w:sz w:val="32"/>
          <w:szCs w:val="32"/>
        </w:rPr>
        <w:t>（3）卫生健康支出63.53万元，占4.9%，较年初预算数增加12.99万元，增长25.7%，主要原因是缴费基数标准调整。</w:t>
      </w:r>
    </w:p>
    <w:p>
      <w:pPr>
        <w:ind w:firstLine="707" w:firstLineChars="221"/>
        <w:rPr>
          <w:rFonts w:ascii="方正仿宋_GBK" w:eastAsia="方正仿宋_GBK"/>
          <w:sz w:val="32"/>
          <w:szCs w:val="32"/>
        </w:rPr>
      </w:pPr>
      <w:r>
        <w:rPr>
          <w:rFonts w:hint="eastAsia" w:ascii="方正仿宋_GBK" w:eastAsia="方正仿宋_GBK"/>
          <w:sz w:val="32"/>
          <w:szCs w:val="32"/>
        </w:rPr>
        <w:t>（4）住房保障支出37.31万元，占2.8%，较年初预算下降0.9%，主要原因是人员调动。</w:t>
      </w:r>
    </w:p>
    <w:p>
      <w:pPr>
        <w:ind w:firstLine="707" w:firstLineChars="221"/>
        <w:rPr>
          <w:rFonts w:ascii="方正楷体_GBK" w:eastAsia="方正楷体_GBK"/>
          <w:sz w:val="32"/>
          <w:szCs w:val="32"/>
        </w:rPr>
      </w:pPr>
      <w:r>
        <w:rPr>
          <w:rFonts w:hint="eastAsia" w:ascii="方正楷体_GBK" w:eastAsia="方正楷体_GBK"/>
          <w:sz w:val="32"/>
          <w:szCs w:val="32"/>
        </w:rPr>
        <w:t>（四）一般公共预算财政拨款基本支出决算情况说明。</w:t>
      </w:r>
    </w:p>
    <w:p>
      <w:pPr>
        <w:ind w:firstLine="707" w:firstLineChars="221"/>
        <w:rPr>
          <w:rFonts w:ascii="方正仿宋_GBK" w:eastAsia="方正仿宋_GBK"/>
          <w:sz w:val="32"/>
          <w:szCs w:val="32"/>
        </w:rPr>
      </w:pPr>
      <w:r>
        <w:rPr>
          <w:rFonts w:hint="eastAsia" w:ascii="方正仿宋_GBK" w:eastAsia="方正仿宋_GBK"/>
          <w:sz w:val="32"/>
          <w:szCs w:val="32"/>
        </w:rPr>
        <w:t>2022年度一般公共财政拨款基本支出</w:t>
      </w:r>
      <w:r>
        <w:rPr>
          <w:rFonts w:ascii="方正仿宋_GBK" w:eastAsia="方正仿宋_GBK"/>
          <w:sz w:val="32"/>
          <w:szCs w:val="32"/>
        </w:rPr>
        <w:t>1,065.95</w:t>
      </w:r>
      <w:r>
        <w:rPr>
          <w:rFonts w:hint="eastAsia" w:ascii="方正仿宋_GBK" w:eastAsia="方正仿宋_GBK"/>
          <w:sz w:val="32"/>
          <w:szCs w:val="32"/>
        </w:rPr>
        <w:t>万元。其中：人员经费</w:t>
      </w:r>
      <w:r>
        <w:rPr>
          <w:rFonts w:ascii="方正仿宋_GBK" w:eastAsia="方正仿宋_GBK"/>
          <w:sz w:val="32"/>
          <w:szCs w:val="32"/>
        </w:rPr>
        <w:t>917.83</w:t>
      </w:r>
      <w:r>
        <w:rPr>
          <w:rFonts w:hint="eastAsia" w:ascii="方正仿宋_GBK" w:eastAsia="方正仿宋_GBK"/>
          <w:sz w:val="32"/>
          <w:szCs w:val="32"/>
        </w:rPr>
        <w:t>万元，较上年决算数减少</w:t>
      </w:r>
      <w:r>
        <w:rPr>
          <w:rFonts w:ascii="方正仿宋_GBK" w:eastAsia="方正仿宋_GBK"/>
          <w:sz w:val="32"/>
          <w:szCs w:val="32"/>
        </w:rPr>
        <w:t>44.81</w:t>
      </w:r>
      <w:r>
        <w:rPr>
          <w:rFonts w:hint="eastAsia" w:ascii="方正仿宋_GBK" w:eastAsia="方正仿宋_GBK"/>
          <w:sz w:val="32"/>
          <w:szCs w:val="32"/>
        </w:rPr>
        <w:t>万元，下降4.7%，主要原因是人员调动，人员经费减少。人员经费用途主要包括基本工资、津贴补贴、奖金、社会保障缴费等支出。公用经费</w:t>
      </w:r>
      <w:r>
        <w:rPr>
          <w:rFonts w:ascii="方正仿宋_GBK" w:eastAsia="方正仿宋_GBK"/>
          <w:sz w:val="32"/>
          <w:szCs w:val="32"/>
        </w:rPr>
        <w:t>148.13</w:t>
      </w:r>
      <w:r>
        <w:rPr>
          <w:rFonts w:hint="eastAsia" w:ascii="方正仿宋_GBK" w:eastAsia="方正仿宋_GBK"/>
          <w:sz w:val="32"/>
          <w:szCs w:val="32"/>
        </w:rPr>
        <w:t>万元，较上年决算数增加</w:t>
      </w:r>
      <w:r>
        <w:rPr>
          <w:rFonts w:ascii="方正仿宋_GBK" w:eastAsia="方正仿宋_GBK"/>
          <w:sz w:val="32"/>
          <w:szCs w:val="32"/>
        </w:rPr>
        <w:t>59.18</w:t>
      </w:r>
      <w:r>
        <w:rPr>
          <w:rFonts w:hint="eastAsia" w:ascii="方正仿宋_GBK" w:eastAsia="方正仿宋_GBK"/>
          <w:sz w:val="32"/>
          <w:szCs w:val="32"/>
        </w:rPr>
        <w:t>万元，增长66.5%，主要原因是公用支出得到充分保障。公用经费用途主要包括办公费、印刷费、水电费、邮电费、差旅费、公务用车运行维护费、工会经费等支出。</w:t>
      </w:r>
    </w:p>
    <w:p>
      <w:pPr>
        <w:ind w:firstLine="707" w:firstLineChars="221"/>
        <w:rPr>
          <w:rFonts w:ascii="方正楷体_GBK" w:eastAsia="方正楷体_GBK"/>
          <w:sz w:val="32"/>
          <w:szCs w:val="32"/>
        </w:rPr>
      </w:pPr>
      <w:r>
        <w:rPr>
          <w:rFonts w:hint="eastAsia" w:ascii="方正楷体_GBK" w:eastAsia="方正楷体_GBK"/>
          <w:sz w:val="32"/>
          <w:szCs w:val="32"/>
        </w:rPr>
        <w:t>（五）政府性基金预算收支决算情况说明。</w:t>
      </w:r>
    </w:p>
    <w:p>
      <w:pPr>
        <w:ind w:firstLine="707" w:firstLineChars="221"/>
        <w:rPr>
          <w:rFonts w:ascii="方正仿宋_GBK" w:eastAsia="方正仿宋_GBK"/>
          <w:sz w:val="32"/>
          <w:szCs w:val="32"/>
        </w:rPr>
      </w:pPr>
      <w:r>
        <w:rPr>
          <w:rFonts w:hint="eastAsia" w:ascii="方正仿宋_GBK" w:eastAsia="方正仿宋_GBK"/>
          <w:sz w:val="32"/>
          <w:szCs w:val="32"/>
        </w:rPr>
        <w:t>本单位2022年度无政府性基金预算财政拨款收支。</w:t>
      </w:r>
    </w:p>
    <w:p>
      <w:pPr>
        <w:ind w:firstLine="707" w:firstLineChars="221"/>
        <w:rPr>
          <w:rFonts w:ascii="方正楷体_GBK" w:eastAsia="方正楷体_GBK"/>
          <w:sz w:val="32"/>
          <w:szCs w:val="32"/>
        </w:rPr>
      </w:pPr>
      <w:r>
        <w:rPr>
          <w:rFonts w:hint="eastAsia" w:ascii="方正楷体_GBK" w:eastAsia="方正楷体_GBK"/>
          <w:sz w:val="32"/>
          <w:szCs w:val="32"/>
        </w:rPr>
        <w:t>（六）国有资本经营预算财政拨款支出决算情况说明。</w:t>
      </w:r>
    </w:p>
    <w:p>
      <w:pPr>
        <w:ind w:firstLine="707" w:firstLineChars="221"/>
        <w:rPr>
          <w:rFonts w:ascii="方正仿宋_GBK" w:eastAsia="方正仿宋_GBK"/>
          <w:sz w:val="32"/>
          <w:szCs w:val="32"/>
        </w:rPr>
      </w:pPr>
      <w:r>
        <w:rPr>
          <w:rFonts w:hint="eastAsia" w:ascii="方正仿宋_GBK" w:eastAsia="方正仿宋_GBK"/>
          <w:sz w:val="32"/>
          <w:szCs w:val="32"/>
        </w:rPr>
        <w:t>本单位2022年度无国有资本经营预算</w:t>
      </w:r>
      <w:r>
        <w:rPr>
          <w:rFonts w:hint="eastAsia" w:ascii="方正仿宋_GBK" w:eastAsia="方正仿宋_GBK"/>
          <w:sz w:val="32"/>
          <w:szCs w:val="32"/>
          <w:lang w:eastAsia="zh-CN"/>
        </w:rPr>
        <w:t>财政拨款</w:t>
      </w:r>
      <w:r>
        <w:rPr>
          <w:rFonts w:hint="eastAsia" w:ascii="方正仿宋_GBK" w:eastAsia="方正仿宋_GBK"/>
          <w:sz w:val="32"/>
          <w:szCs w:val="32"/>
        </w:rPr>
        <w:t>支出。</w:t>
      </w:r>
    </w:p>
    <w:p>
      <w:pPr>
        <w:ind w:firstLine="707" w:firstLineChars="221"/>
        <w:rPr>
          <w:rFonts w:ascii="方正黑体_GBK" w:eastAsia="方正黑体_GBK"/>
          <w:sz w:val="32"/>
          <w:szCs w:val="32"/>
        </w:rPr>
      </w:pPr>
      <w:r>
        <w:rPr>
          <w:rFonts w:hint="eastAsia" w:ascii="方正黑体_GBK" w:eastAsia="方正黑体_GBK"/>
          <w:sz w:val="32"/>
          <w:szCs w:val="32"/>
        </w:rPr>
        <w:t>三、“三公”经费情况说明</w:t>
      </w:r>
    </w:p>
    <w:p>
      <w:pPr>
        <w:ind w:firstLine="707" w:firstLineChars="221"/>
        <w:rPr>
          <w:rFonts w:ascii="方正楷体_GBK" w:eastAsia="方正楷体_GBK"/>
          <w:sz w:val="32"/>
          <w:szCs w:val="32"/>
        </w:rPr>
      </w:pPr>
      <w:r>
        <w:rPr>
          <w:rFonts w:hint="eastAsia" w:ascii="方正楷体_GBK" w:eastAsia="方正楷体_GBK"/>
          <w:sz w:val="32"/>
          <w:szCs w:val="32"/>
        </w:rPr>
        <w:t>（一）“三公”经费支出总体情况说明。</w:t>
      </w:r>
    </w:p>
    <w:p>
      <w:pPr>
        <w:ind w:firstLine="707" w:firstLineChars="221"/>
        <w:rPr>
          <w:rFonts w:ascii="方正仿宋_GBK" w:eastAsia="方正仿宋_GBK"/>
          <w:sz w:val="32"/>
          <w:szCs w:val="32"/>
        </w:rPr>
      </w:pPr>
      <w:r>
        <w:rPr>
          <w:rFonts w:hint="eastAsia" w:ascii="方正仿宋_GBK" w:eastAsia="方正仿宋_GBK"/>
          <w:sz w:val="32"/>
          <w:szCs w:val="32"/>
        </w:rPr>
        <w:t>2022年度“三公”经费支出共计29.16万元，较年初预算数减少19.44万元，下降41.3%，主要原因是节约开支。较上年支出数减少20.54万元，主要原因是上年</w:t>
      </w:r>
      <w:r>
        <w:rPr>
          <w:rFonts w:hint="eastAsia" w:ascii="方正仿宋_GBK" w:eastAsia="方正仿宋_GBK"/>
          <w:sz w:val="32"/>
          <w:szCs w:val="32"/>
          <w:lang w:eastAsia="zh-CN"/>
        </w:rPr>
        <w:t>购置</w:t>
      </w:r>
      <w:r>
        <w:rPr>
          <w:rFonts w:hint="eastAsia" w:ascii="方正仿宋_GBK" w:eastAsia="方正仿宋_GBK"/>
          <w:sz w:val="32"/>
          <w:szCs w:val="32"/>
        </w:rPr>
        <w:t>公务用车1辆，本年无公务车购置费支出。</w:t>
      </w:r>
    </w:p>
    <w:p>
      <w:pPr>
        <w:ind w:firstLine="707" w:firstLineChars="221"/>
        <w:rPr>
          <w:rFonts w:ascii="方正楷体_GBK" w:eastAsia="方正楷体_GBK"/>
          <w:sz w:val="32"/>
          <w:szCs w:val="32"/>
        </w:rPr>
      </w:pPr>
      <w:r>
        <w:rPr>
          <w:rFonts w:hint="eastAsia" w:ascii="方正楷体_GBK" w:eastAsia="方正楷体_GBK"/>
          <w:sz w:val="32"/>
          <w:szCs w:val="32"/>
        </w:rPr>
        <w:t>（二）“三公”经费分项支出情况。</w:t>
      </w:r>
    </w:p>
    <w:p>
      <w:pPr>
        <w:ind w:firstLine="707" w:firstLineChars="221"/>
        <w:rPr>
          <w:rFonts w:ascii="方正仿宋_GBK" w:eastAsia="方正仿宋_GBK"/>
          <w:sz w:val="32"/>
          <w:szCs w:val="32"/>
        </w:rPr>
      </w:pPr>
      <w:r>
        <w:rPr>
          <w:rFonts w:hint="eastAsia" w:ascii="方正仿宋_GBK" w:eastAsia="方正仿宋_GBK"/>
          <w:sz w:val="32"/>
          <w:szCs w:val="32"/>
        </w:rPr>
        <w:t>本单位2022年度未发生因公出国（境）费用。</w:t>
      </w:r>
    </w:p>
    <w:p>
      <w:pPr>
        <w:ind w:firstLine="707" w:firstLineChars="221"/>
        <w:rPr>
          <w:rFonts w:ascii="方正仿宋_GBK" w:eastAsia="方正仿宋_GBK"/>
          <w:sz w:val="32"/>
          <w:szCs w:val="32"/>
        </w:rPr>
      </w:pPr>
      <w:r>
        <w:rPr>
          <w:rFonts w:hint="eastAsia" w:ascii="方正仿宋_GBK" w:eastAsia="方正仿宋_GBK"/>
          <w:sz w:val="32"/>
          <w:szCs w:val="32"/>
        </w:rPr>
        <w:t>公务车购置费0万元。费用支出较年初预算数增加0万元，增长0%，主要原因是公务车购置费年初不预算。较上年支出数减少17.46万元，下降100%，主要原因是上年</w:t>
      </w:r>
      <w:r>
        <w:rPr>
          <w:rFonts w:hint="eastAsia" w:ascii="方正仿宋_GBK" w:eastAsia="方正仿宋_GBK"/>
          <w:sz w:val="32"/>
          <w:szCs w:val="32"/>
          <w:lang w:eastAsia="zh-CN"/>
        </w:rPr>
        <w:t>购置</w:t>
      </w:r>
      <w:r>
        <w:rPr>
          <w:rFonts w:hint="eastAsia" w:ascii="方正仿宋_GBK" w:eastAsia="方正仿宋_GBK"/>
          <w:sz w:val="32"/>
          <w:szCs w:val="32"/>
        </w:rPr>
        <w:t>公务用车1辆，本年无公务车购置费支出。</w:t>
      </w:r>
    </w:p>
    <w:p>
      <w:pPr>
        <w:ind w:firstLine="707" w:firstLineChars="221"/>
        <w:rPr>
          <w:rFonts w:ascii="方正仿宋_GBK" w:eastAsia="方正仿宋_GBK"/>
          <w:sz w:val="32"/>
          <w:szCs w:val="32"/>
        </w:rPr>
      </w:pPr>
      <w:r>
        <w:rPr>
          <w:rFonts w:hint="eastAsia" w:ascii="方正仿宋_GBK" w:eastAsia="方正仿宋_GBK"/>
          <w:sz w:val="32"/>
          <w:szCs w:val="32"/>
        </w:rPr>
        <w:t>公务车运行维护费</w:t>
      </w:r>
      <w:r>
        <w:rPr>
          <w:rFonts w:ascii="方正仿宋_GBK" w:eastAsia="方正仿宋_GBK"/>
          <w:sz w:val="32"/>
          <w:szCs w:val="32"/>
        </w:rPr>
        <w:t>25.99</w:t>
      </w:r>
      <w:r>
        <w:rPr>
          <w:rFonts w:hint="eastAsia" w:ascii="方正仿宋_GBK" w:eastAsia="方正仿宋_GBK"/>
          <w:sz w:val="32"/>
          <w:szCs w:val="32"/>
        </w:rPr>
        <w:t>万元，主要用于机要文件交换、市内因公出行等工作所需车辆的燃料费、维修费、过桥过路费、保险费等。费用支出较年初预算数减少10.01万元，下降27.8%，主要原因是用车紧张时经常在县机关事务中心</w:t>
      </w:r>
      <w:r>
        <w:rPr>
          <w:rFonts w:hint="eastAsia" w:ascii="方正仿宋_GBK" w:eastAsia="方正仿宋_GBK"/>
          <w:sz w:val="32"/>
          <w:szCs w:val="32"/>
          <w:lang w:eastAsia="zh-CN"/>
        </w:rPr>
        <w:t>调派</w:t>
      </w:r>
      <w:r>
        <w:rPr>
          <w:rFonts w:hint="eastAsia" w:ascii="方正仿宋_GBK" w:eastAsia="方正仿宋_GBK"/>
          <w:sz w:val="32"/>
          <w:szCs w:val="32"/>
        </w:rPr>
        <w:t>公务车辆，费用由县机关事务中心承担了一部分。较上年支出数</w:t>
      </w:r>
      <w:r>
        <w:rPr>
          <w:rFonts w:ascii="方正仿宋_GBK" w:eastAsia="方正仿宋_GBK"/>
          <w:sz w:val="32"/>
          <w:szCs w:val="32"/>
        </w:rPr>
        <w:t>减少0.02</w:t>
      </w:r>
      <w:r>
        <w:rPr>
          <w:rFonts w:hint="eastAsia" w:ascii="方正仿宋_GBK" w:eastAsia="方正仿宋_GBK"/>
          <w:sz w:val="32"/>
          <w:szCs w:val="32"/>
        </w:rPr>
        <w:t>万元，</w:t>
      </w:r>
      <w:r>
        <w:rPr>
          <w:rFonts w:ascii="方正仿宋_GBK" w:eastAsia="方正仿宋_GBK"/>
          <w:sz w:val="32"/>
          <w:szCs w:val="32"/>
        </w:rPr>
        <w:t>下降0.1</w:t>
      </w:r>
      <w:r>
        <w:rPr>
          <w:rFonts w:hint="eastAsia" w:ascii="方正仿宋_GBK" w:eastAsia="方正仿宋_GBK"/>
          <w:sz w:val="32"/>
          <w:szCs w:val="32"/>
        </w:rPr>
        <w:t>%，主要原因是用车紧张时经常在县机关事务中心</w:t>
      </w:r>
      <w:r>
        <w:rPr>
          <w:rFonts w:hint="eastAsia" w:ascii="方正仿宋_GBK" w:eastAsia="方正仿宋_GBK"/>
          <w:sz w:val="32"/>
          <w:szCs w:val="32"/>
          <w:lang w:eastAsia="zh-CN"/>
        </w:rPr>
        <w:t>调派</w:t>
      </w:r>
      <w:r>
        <w:rPr>
          <w:rFonts w:hint="eastAsia" w:ascii="方正仿宋_GBK" w:eastAsia="方正仿宋_GBK"/>
          <w:sz w:val="32"/>
          <w:szCs w:val="32"/>
        </w:rPr>
        <w:t>公务车辆，费用由县机关事务中心承担了一部分。</w:t>
      </w:r>
    </w:p>
    <w:p>
      <w:pPr>
        <w:ind w:firstLine="707" w:firstLineChars="221"/>
        <w:rPr>
          <w:rFonts w:ascii="方正仿宋_GBK" w:eastAsia="方正仿宋_GBK"/>
          <w:sz w:val="32"/>
          <w:szCs w:val="32"/>
        </w:rPr>
      </w:pPr>
      <w:r>
        <w:rPr>
          <w:rFonts w:hint="eastAsia" w:ascii="方正仿宋_GBK" w:eastAsia="方正仿宋_GBK"/>
          <w:sz w:val="32"/>
          <w:szCs w:val="32"/>
        </w:rPr>
        <w:t>公务接待费3.17万元，主要用于接待国内各省市及区县到我县学习调研、接受相关部门检查指导工作、接待来丰考察客商发生的接待支出。费用支出较年初预算数减少9.43万元，下降74.8%，主要原因是公务接待活动较年初预计的少。较上年支出数减少3.06万元，下降49.1%，主要原因是公务接待活动较上年少。</w:t>
      </w:r>
    </w:p>
    <w:p>
      <w:pPr>
        <w:ind w:firstLine="707" w:firstLineChars="221"/>
        <w:rPr>
          <w:rFonts w:ascii="方正楷体_GBK" w:eastAsia="方正楷体_GBK"/>
          <w:sz w:val="32"/>
          <w:szCs w:val="32"/>
        </w:rPr>
      </w:pPr>
      <w:r>
        <w:rPr>
          <w:rFonts w:hint="eastAsia" w:ascii="方正楷体_GBK" w:eastAsia="方正楷体_GBK"/>
          <w:sz w:val="32"/>
          <w:szCs w:val="32"/>
        </w:rPr>
        <w:t>（三）“三公”经费实物量情况。</w:t>
      </w:r>
    </w:p>
    <w:p>
      <w:pPr>
        <w:ind w:firstLine="707" w:firstLineChars="221"/>
        <w:rPr>
          <w:rFonts w:ascii="方正仿宋_GBK" w:eastAsia="方正仿宋_GBK"/>
          <w:sz w:val="32"/>
          <w:szCs w:val="32"/>
        </w:rPr>
      </w:pPr>
      <w:r>
        <w:rPr>
          <w:rFonts w:hint="eastAsia" w:ascii="方正仿宋_GBK" w:eastAsia="方正仿宋_GBK"/>
          <w:sz w:val="32"/>
          <w:szCs w:val="32"/>
        </w:rPr>
        <w:t>2022年度本单位因公出国（境）共计0个团组，0人；公务用车购置0辆，公务车保有量为6辆；国内公务接待34批次329人，其中：国内外事接待0批次，0人；国（境）外公务接待0批次，0人。2022年本单位人均接待费96.21元，车均购置费0万元，车均维护费4.33万元。</w:t>
      </w:r>
    </w:p>
    <w:p>
      <w:pPr>
        <w:ind w:firstLine="707" w:firstLineChars="221"/>
        <w:rPr>
          <w:rFonts w:ascii="方正黑体_GBK" w:eastAsia="方正黑体_GBK"/>
          <w:sz w:val="32"/>
          <w:szCs w:val="32"/>
        </w:rPr>
      </w:pPr>
      <w:r>
        <w:rPr>
          <w:rFonts w:hint="eastAsia" w:ascii="方正黑体_GBK" w:eastAsia="方正黑体_GBK"/>
          <w:sz w:val="32"/>
          <w:szCs w:val="32"/>
        </w:rPr>
        <w:t>四、其他需要说明的事项</w:t>
      </w:r>
    </w:p>
    <w:p>
      <w:pPr>
        <w:ind w:firstLine="707" w:firstLineChars="221"/>
        <w:rPr>
          <w:rFonts w:ascii="方正楷体_GBK" w:eastAsia="方正楷体_GBK"/>
          <w:sz w:val="32"/>
          <w:szCs w:val="32"/>
        </w:rPr>
      </w:pPr>
      <w:r>
        <w:rPr>
          <w:rFonts w:hint="eastAsia" w:ascii="方正楷体_GBK" w:eastAsia="方正楷体_GBK"/>
          <w:sz w:val="32"/>
          <w:szCs w:val="32"/>
        </w:rPr>
        <w:t>（一）一般公共预算财政拨款会议费和培训费情况说明。</w:t>
      </w:r>
    </w:p>
    <w:p>
      <w:pPr>
        <w:ind w:firstLine="707" w:firstLineChars="221"/>
        <w:rPr>
          <w:rFonts w:ascii="方正仿宋_GBK" w:eastAsia="方正仿宋_GBK"/>
          <w:sz w:val="32"/>
          <w:szCs w:val="32"/>
        </w:rPr>
      </w:pPr>
      <w:r>
        <w:rPr>
          <w:rFonts w:hint="eastAsia" w:ascii="方正仿宋_GBK" w:eastAsia="方正仿宋_GBK"/>
          <w:sz w:val="32"/>
          <w:szCs w:val="32"/>
        </w:rPr>
        <w:t>本年度会议费支出43.42万元，较上年决算数增加2.22万元，增长5.4%，主要原因是会议资料费用增加。本年度培训费支出12.29万元，较上年决算数增加4.65万元，增长60.9%，主要原因是支付以前年度欠县党校培训费。</w:t>
      </w:r>
    </w:p>
    <w:p>
      <w:pPr>
        <w:ind w:firstLine="707" w:firstLineChars="221"/>
        <w:rPr>
          <w:rFonts w:ascii="方正楷体_GBK" w:eastAsia="方正楷体_GBK"/>
          <w:sz w:val="32"/>
          <w:szCs w:val="32"/>
        </w:rPr>
      </w:pPr>
      <w:r>
        <w:rPr>
          <w:rFonts w:hint="eastAsia" w:ascii="方正楷体_GBK" w:eastAsia="方正楷体_GBK"/>
          <w:sz w:val="32"/>
          <w:szCs w:val="32"/>
        </w:rPr>
        <w:t>（二）机关运行经费情况说明。</w:t>
      </w:r>
    </w:p>
    <w:p>
      <w:pPr>
        <w:ind w:firstLine="707" w:firstLineChars="221"/>
        <w:rPr>
          <w:rFonts w:ascii="方正仿宋_GBK" w:eastAsia="方正仿宋_GBK"/>
          <w:sz w:val="32"/>
          <w:szCs w:val="32"/>
        </w:rPr>
      </w:pPr>
      <w:r>
        <w:rPr>
          <w:rFonts w:hint="eastAsia" w:ascii="方正仿宋_GBK" w:eastAsia="方正仿宋_GBK"/>
          <w:sz w:val="32"/>
          <w:szCs w:val="32"/>
        </w:rPr>
        <w:t>2022年度本单位机关运行经费支出148.13万元，机关运行经费主要用于开支办公费、印刷费、水电费、邮电费、差旅费、公务接待费、公务</w:t>
      </w:r>
      <w:r>
        <w:rPr>
          <w:rFonts w:hint="eastAsia" w:ascii="方正仿宋_GBK" w:eastAsia="方正仿宋_GBK"/>
          <w:sz w:val="32"/>
          <w:szCs w:val="32"/>
          <w:lang w:eastAsia="zh-CN"/>
        </w:rPr>
        <w:t>用车</w:t>
      </w:r>
      <w:r>
        <w:rPr>
          <w:rFonts w:hint="eastAsia" w:ascii="方正仿宋_GBK" w:eastAsia="方正仿宋_GBK"/>
          <w:sz w:val="32"/>
          <w:szCs w:val="32"/>
        </w:rPr>
        <w:t>运行维护费等维持部门正常运转经费。机关运行经费较上年决算数增加59.18万元，增长66.5%，主要原因是公用支出得到充分保障。</w:t>
      </w:r>
    </w:p>
    <w:p>
      <w:pPr>
        <w:ind w:firstLine="707" w:firstLineChars="221"/>
        <w:rPr>
          <w:rFonts w:ascii="方正楷体_GBK" w:eastAsia="方正楷体_GBK"/>
          <w:sz w:val="32"/>
          <w:szCs w:val="32"/>
        </w:rPr>
      </w:pPr>
      <w:r>
        <w:rPr>
          <w:rFonts w:hint="eastAsia" w:ascii="方正楷体_GBK" w:eastAsia="方正楷体_GBK"/>
          <w:sz w:val="32"/>
          <w:szCs w:val="32"/>
        </w:rPr>
        <w:t>（三）国有资产占用情况说明。</w:t>
      </w:r>
    </w:p>
    <w:p>
      <w:pPr>
        <w:ind w:firstLine="707" w:firstLineChars="221"/>
        <w:rPr>
          <w:rFonts w:ascii="方正仿宋_GBK" w:eastAsia="方正仿宋_GBK"/>
          <w:sz w:val="32"/>
          <w:szCs w:val="32"/>
        </w:rPr>
      </w:pPr>
      <w:r>
        <w:rPr>
          <w:rFonts w:hint="eastAsia" w:ascii="方正仿宋_GBK" w:eastAsia="方正仿宋_GBK"/>
          <w:sz w:val="32"/>
          <w:szCs w:val="32"/>
        </w:rPr>
        <w:t>截至2022年12月31日，本单位共有车辆6辆，其中，副部（省）级及以上领导用车0辆、主要领导干部用车1辆、机要通信用车0辆、应急保障用车5辆、执法执勤用车0辆，特种专业技术用车0辆，离退休干部用车0辆，其他用车0辆。单价50万元（含）以上通用设备0台（套），单价100万元（含）以上专用设备0台（套）</w:t>
      </w:r>
      <w:bookmarkStart w:id="0" w:name="_GoBack"/>
      <w:bookmarkEnd w:id="0"/>
      <w:r>
        <w:rPr>
          <w:rFonts w:hint="eastAsia" w:ascii="方正仿宋_GBK" w:eastAsia="方正仿宋_GBK"/>
          <w:sz w:val="32"/>
          <w:szCs w:val="32"/>
        </w:rPr>
        <w:t>。</w:t>
      </w:r>
    </w:p>
    <w:p>
      <w:pPr>
        <w:ind w:firstLine="707" w:firstLineChars="221"/>
        <w:rPr>
          <w:rFonts w:ascii="方正楷体_GBK" w:eastAsia="方正楷体_GBK"/>
          <w:sz w:val="32"/>
          <w:szCs w:val="32"/>
        </w:rPr>
      </w:pPr>
      <w:r>
        <w:rPr>
          <w:rFonts w:hint="eastAsia" w:ascii="方正楷体_GBK" w:eastAsia="方正楷体_GBK"/>
          <w:sz w:val="32"/>
          <w:szCs w:val="32"/>
        </w:rPr>
        <w:t>（四）政府采购支出情况说明。</w:t>
      </w:r>
    </w:p>
    <w:p>
      <w:pPr>
        <w:ind w:firstLine="707" w:firstLineChars="221"/>
        <w:rPr>
          <w:rFonts w:ascii="方正仿宋_GBK" w:eastAsia="方正仿宋_GBK"/>
          <w:sz w:val="32"/>
          <w:szCs w:val="32"/>
        </w:rPr>
      </w:pPr>
      <w:r>
        <w:rPr>
          <w:rFonts w:hint="eastAsia" w:ascii="方正仿宋_GBK" w:eastAsia="方正仿宋_GBK"/>
          <w:sz w:val="32"/>
          <w:szCs w:val="32"/>
        </w:rPr>
        <w:t>2022年度我单位未发生政府采购事项，无相关经费支出。</w:t>
      </w:r>
    </w:p>
    <w:p>
      <w:pPr>
        <w:ind w:firstLine="707" w:firstLineChars="221"/>
        <w:rPr>
          <w:rFonts w:ascii="方正黑体_GBK" w:eastAsia="方正黑体_GBK"/>
          <w:sz w:val="32"/>
          <w:szCs w:val="32"/>
        </w:rPr>
      </w:pPr>
      <w:r>
        <w:rPr>
          <w:rFonts w:hint="eastAsia" w:ascii="方正黑体_GBK" w:eastAsia="方正黑体_GBK"/>
          <w:sz w:val="32"/>
          <w:szCs w:val="32"/>
        </w:rPr>
        <w:t>五、预算绩效管理情况说明</w:t>
      </w:r>
    </w:p>
    <w:p>
      <w:pPr>
        <w:ind w:firstLine="707" w:firstLineChars="221"/>
        <w:rPr>
          <w:rFonts w:ascii="方正楷体_GBK" w:eastAsia="方正楷体_GBK"/>
          <w:sz w:val="32"/>
          <w:szCs w:val="32"/>
        </w:rPr>
      </w:pPr>
      <w:r>
        <w:rPr>
          <w:rFonts w:hint="eastAsia" w:ascii="方正楷体_GBK" w:eastAsia="方正楷体_GBK"/>
          <w:sz w:val="32"/>
          <w:szCs w:val="32"/>
        </w:rPr>
        <w:t>（一）预算绩效管理工作开展情况。</w:t>
      </w:r>
    </w:p>
    <w:p>
      <w:pPr>
        <w:ind w:firstLine="707" w:firstLineChars="221"/>
        <w:rPr>
          <w:rFonts w:ascii="方正仿宋_GBK" w:eastAsia="方正仿宋_GBK"/>
          <w:sz w:val="32"/>
          <w:szCs w:val="32"/>
        </w:rPr>
      </w:pPr>
      <w:r>
        <w:rPr>
          <w:rFonts w:hint="eastAsia" w:ascii="方正仿宋_GBK" w:eastAsia="方正仿宋_GBK"/>
          <w:sz w:val="32"/>
          <w:szCs w:val="32"/>
        </w:rPr>
        <w:t>根据预算绩效管理要求，我单位对11个项目开展了绩效自评，其中，以填报自评表形式开展自评11项，涉及资金292.85万元。从评价情况来看，绩效目标明确，预算编制合理，管理科学规范，资金到位及时，总体完成情况较好，提高了财政资金使用绩效和科学精细化管理水平，项目基本达到了预期绩效目标。</w:t>
      </w:r>
    </w:p>
    <w:p>
      <w:pPr>
        <w:ind w:firstLine="707" w:firstLineChars="221"/>
        <w:rPr>
          <w:rFonts w:ascii="方正楷体_GBK" w:eastAsia="方正楷体_GBK"/>
          <w:sz w:val="32"/>
          <w:szCs w:val="32"/>
        </w:rPr>
      </w:pPr>
      <w:r>
        <w:rPr>
          <w:rFonts w:hint="eastAsia" w:ascii="方正楷体_GBK" w:eastAsia="方正楷体_GBK"/>
          <w:sz w:val="32"/>
          <w:szCs w:val="32"/>
        </w:rPr>
        <w:t>（二）绩效自评结果。</w:t>
      </w:r>
    </w:p>
    <w:p>
      <w:pPr>
        <w:ind w:firstLine="707" w:firstLineChars="221"/>
        <w:rPr>
          <w:rFonts w:ascii="方正仿宋_GBK" w:eastAsia="方正仿宋_GBK"/>
          <w:sz w:val="32"/>
          <w:szCs w:val="32"/>
        </w:rPr>
      </w:pPr>
      <w:r>
        <w:rPr>
          <w:rFonts w:hint="eastAsia" w:ascii="方正仿宋_GBK" w:eastAsia="方正仿宋_GBK"/>
          <w:sz w:val="32"/>
          <w:szCs w:val="32"/>
        </w:rPr>
        <w:t>1.绩效目标自评表。</w:t>
      </w:r>
    </w:p>
    <w:tbl>
      <w:tblPr>
        <w:tblStyle w:val="5"/>
        <w:tblW w:w="11019" w:type="dxa"/>
        <w:jc w:val="center"/>
        <w:tblLayout w:type="autofit"/>
        <w:tblCellMar>
          <w:top w:w="0" w:type="dxa"/>
          <w:left w:w="108" w:type="dxa"/>
          <w:bottom w:w="0" w:type="dxa"/>
          <w:right w:w="108" w:type="dxa"/>
        </w:tblCellMar>
      </w:tblPr>
      <w:tblGrid>
        <w:gridCol w:w="1277"/>
        <w:gridCol w:w="586"/>
        <w:gridCol w:w="850"/>
        <w:gridCol w:w="992"/>
        <w:gridCol w:w="1039"/>
        <w:gridCol w:w="866"/>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2022年度项目绩效自评表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考察调研经费</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50023022T000000146164</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100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b/>
                <w:bCs/>
                <w:color w:val="000000"/>
                <w:kern w:val="0"/>
                <w:sz w:val="16"/>
                <w:szCs w:val="16"/>
              </w:rPr>
            </w:pPr>
          </w:p>
        </w:tc>
        <w:tc>
          <w:tcPr>
            <w:tcW w:w="1894"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109-丰都县人民政府办公室</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001-行政政法科</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240" w:lineRule="atLeast"/>
              <w:ind w:right="483"/>
              <w:jc w:val="center"/>
              <w:rPr>
                <w:rFonts w:ascii="宋体" w:hAnsi="宋体" w:cs="宋体"/>
                <w:b/>
                <w:bCs/>
                <w:color w:val="000000"/>
                <w:kern w:val="0"/>
                <w:sz w:val="16"/>
                <w:szCs w:val="16"/>
              </w:rPr>
            </w:pPr>
            <w:r>
              <w:rPr>
                <w:rFonts w:hint="eastAsia" w:ascii="宋体" w:hAnsi="宋体" w:cs="宋体"/>
                <w:b/>
                <w:bCs/>
                <w:color w:val="000000"/>
                <w:kern w:val="0"/>
                <w:sz w:val="16"/>
                <w:szCs w:val="16"/>
              </w:rPr>
              <w:t>部门</w:t>
            </w:r>
          </w:p>
          <w:p>
            <w:pPr>
              <w:widowControl/>
              <w:spacing w:line="240" w:lineRule="atLeast"/>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范恒瑞</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联系</w:t>
            </w:r>
          </w:p>
          <w:p>
            <w:pPr>
              <w:widowControl/>
              <w:spacing w:line="240" w:lineRule="atLeas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023-70606018</w:t>
            </w:r>
          </w:p>
        </w:tc>
      </w:tr>
      <w:tr>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500000　</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471000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471000　</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　</w:t>
            </w:r>
          </w:p>
        </w:tc>
        <w:tc>
          <w:tcPr>
            <w:tcW w:w="90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500000　</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471000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471000　</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　</w:t>
            </w:r>
          </w:p>
        </w:tc>
        <w:tc>
          <w:tcPr>
            <w:tcW w:w="90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考察学习借鉴先进经验方法、通过调研，谋划全县发展。</w:t>
            </w:r>
          </w:p>
        </w:tc>
        <w:tc>
          <w:tcPr>
            <w:tcW w:w="3648" w:type="dxa"/>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685" w:type="dxa"/>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通过考察学习借鉴先进经验方法、通过调研，谋划全县发展。</w:t>
            </w: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调研报告、信息篇数</w:t>
            </w:r>
          </w:p>
        </w:tc>
        <w:tc>
          <w:tcPr>
            <w:tcW w:w="567"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篇</w:t>
            </w:r>
          </w:p>
        </w:tc>
        <w:tc>
          <w:tcPr>
            <w:tcW w:w="850"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300</w:t>
            </w:r>
          </w:p>
        </w:tc>
        <w:tc>
          <w:tcPr>
            <w:tcW w:w="1034"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365</w:t>
            </w:r>
          </w:p>
        </w:tc>
        <w:tc>
          <w:tcPr>
            <w:tcW w:w="86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调研人次</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人次</w:t>
            </w:r>
          </w:p>
        </w:tc>
        <w:tc>
          <w:tcPr>
            <w:tcW w:w="850"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150</w:t>
            </w:r>
          </w:p>
        </w:tc>
        <w:tc>
          <w:tcPr>
            <w:tcW w:w="1034"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181</w:t>
            </w:r>
          </w:p>
        </w:tc>
        <w:tc>
          <w:tcPr>
            <w:tcW w:w="86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考察人次</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人次</w:t>
            </w:r>
          </w:p>
        </w:tc>
        <w:tc>
          <w:tcPr>
            <w:tcW w:w="850"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034"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51</w:t>
            </w:r>
          </w:p>
        </w:tc>
        <w:tc>
          <w:tcPr>
            <w:tcW w:w="86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通过调研、考察，促进发展</w:t>
            </w:r>
          </w:p>
        </w:tc>
        <w:tc>
          <w:tcPr>
            <w:tcW w:w="567" w:type="dxa"/>
            <w:tcBorders>
              <w:top w:val="nil"/>
              <w:left w:val="nil"/>
              <w:bottom w:val="single" w:color="auto" w:sz="4" w:space="0"/>
              <w:right w:val="single" w:color="auto" w:sz="4" w:space="0"/>
            </w:tcBorders>
            <w:shd w:val="clear" w:color="auto" w:fill="auto"/>
            <w:noWrap/>
            <w:vAlign w:val="center"/>
          </w:tcPr>
          <w:p>
            <w:pPr>
              <w:widowControl/>
              <w:ind w:firstLine="220" w:firstLineChars="100"/>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好</w:t>
            </w:r>
          </w:p>
        </w:tc>
        <w:tc>
          <w:tcPr>
            <w:tcW w:w="1034"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及时性</w:t>
            </w:r>
          </w:p>
        </w:tc>
        <w:tc>
          <w:tcPr>
            <w:tcW w:w="567" w:type="dxa"/>
            <w:tcBorders>
              <w:top w:val="nil"/>
              <w:left w:val="nil"/>
              <w:bottom w:val="single" w:color="auto" w:sz="4" w:space="0"/>
              <w:right w:val="single" w:color="auto" w:sz="4" w:space="0"/>
            </w:tcBorders>
            <w:shd w:val="clear" w:color="auto" w:fill="auto"/>
            <w:noWrap/>
            <w:vAlign w:val="center"/>
          </w:tcPr>
          <w:p>
            <w:pPr>
              <w:widowControl/>
              <w:ind w:firstLine="220" w:firstLineChars="100"/>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及时报备</w:t>
            </w:r>
          </w:p>
        </w:tc>
        <w:tc>
          <w:tcPr>
            <w:tcW w:w="1034"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bl>
    <w:p>
      <w:pPr>
        <w:rPr>
          <w:rStyle w:val="7"/>
          <w:rFonts w:ascii="方正仿宋_GBK" w:eastAsia="方正仿宋_GBK"/>
          <w:sz w:val="32"/>
          <w:szCs w:val="32"/>
        </w:rPr>
      </w:pPr>
    </w:p>
    <w:p>
      <w:pPr>
        <w:ind w:firstLine="707" w:firstLineChars="221"/>
        <w:rPr>
          <w:rFonts w:ascii="方正仿宋_GBK" w:eastAsia="方正仿宋_GBK"/>
          <w:sz w:val="32"/>
          <w:szCs w:val="32"/>
        </w:rPr>
      </w:pPr>
      <w:r>
        <w:rPr>
          <w:rFonts w:hint="eastAsia" w:ascii="方正仿宋_GBK" w:eastAsia="方正仿宋_GBK"/>
          <w:sz w:val="32"/>
          <w:szCs w:val="32"/>
        </w:rPr>
        <w:t>2.绩效自评报告或案例。</w:t>
      </w:r>
    </w:p>
    <w:p>
      <w:pPr>
        <w:ind w:firstLine="707" w:firstLineChars="221"/>
        <w:rPr>
          <w:rFonts w:ascii="方正仿宋_GBK" w:eastAsia="方正仿宋_GBK"/>
          <w:sz w:val="32"/>
          <w:szCs w:val="32"/>
        </w:rPr>
      </w:pPr>
      <w:r>
        <w:rPr>
          <w:rFonts w:hint="eastAsia" w:ascii="方正仿宋_GBK" w:eastAsia="方正仿宋_GBK"/>
          <w:sz w:val="32"/>
          <w:szCs w:val="32"/>
        </w:rPr>
        <w:t>我单位未委托第三方开展绩效自评。</w:t>
      </w:r>
    </w:p>
    <w:p>
      <w:pPr>
        <w:ind w:firstLine="707" w:firstLineChars="221"/>
        <w:rPr>
          <w:rFonts w:ascii="方正仿宋_GBK" w:eastAsia="方正仿宋_GBK"/>
          <w:sz w:val="32"/>
          <w:szCs w:val="32"/>
        </w:rPr>
      </w:pPr>
      <w:r>
        <w:rPr>
          <w:rFonts w:hint="eastAsia" w:ascii="方正仿宋_GBK" w:eastAsia="方正仿宋_GBK"/>
          <w:sz w:val="32"/>
          <w:szCs w:val="32"/>
        </w:rPr>
        <w:t>3.关于绩效自评结果的说明。</w:t>
      </w:r>
    </w:p>
    <w:p>
      <w:pPr>
        <w:ind w:firstLine="707" w:firstLineChars="221"/>
        <w:rPr>
          <w:rFonts w:ascii="方正仿宋_GBK" w:eastAsia="方正仿宋_GBK"/>
          <w:sz w:val="32"/>
          <w:szCs w:val="32"/>
        </w:rPr>
      </w:pPr>
      <w:r>
        <w:rPr>
          <w:rFonts w:hint="eastAsia" w:ascii="方正仿宋_GBK" w:eastAsia="方正仿宋_GBK"/>
          <w:sz w:val="32"/>
          <w:szCs w:val="32"/>
        </w:rPr>
        <w:t>我单位绩效自评均已完成年度绩效目标。</w:t>
      </w:r>
    </w:p>
    <w:p>
      <w:pPr>
        <w:ind w:firstLine="707" w:firstLineChars="221"/>
        <w:rPr>
          <w:rFonts w:ascii="方正楷体_GBK" w:eastAsia="方正楷体_GBK"/>
          <w:sz w:val="32"/>
          <w:szCs w:val="32"/>
        </w:rPr>
      </w:pPr>
      <w:r>
        <w:rPr>
          <w:rFonts w:hint="eastAsia" w:ascii="方正楷体_GBK" w:eastAsia="方正楷体_GBK"/>
          <w:sz w:val="32"/>
          <w:szCs w:val="32"/>
        </w:rPr>
        <w:t>（三）重点绩效评价结果。</w:t>
      </w:r>
    </w:p>
    <w:p>
      <w:pPr>
        <w:ind w:firstLine="707" w:firstLineChars="221"/>
        <w:rPr>
          <w:rFonts w:ascii="方正仿宋_GBK" w:eastAsia="方正仿宋_GBK"/>
          <w:sz w:val="32"/>
          <w:szCs w:val="32"/>
        </w:rPr>
      </w:pPr>
      <w:r>
        <w:rPr>
          <w:rFonts w:hint="eastAsia" w:ascii="方正仿宋_GBK" w:eastAsia="方正仿宋_GBK"/>
          <w:sz w:val="32"/>
          <w:szCs w:val="32"/>
        </w:rPr>
        <w:t>我单位未委托第三方开展重点绩效评价。</w:t>
      </w:r>
    </w:p>
    <w:p>
      <w:pPr>
        <w:ind w:firstLine="707" w:firstLineChars="221"/>
        <w:rPr>
          <w:rFonts w:ascii="方正黑体_GBK" w:eastAsia="方正黑体_GBK"/>
          <w:sz w:val="32"/>
          <w:szCs w:val="32"/>
        </w:rPr>
      </w:pPr>
      <w:r>
        <w:rPr>
          <w:rFonts w:hint="eastAsia" w:ascii="方正黑体_GBK" w:eastAsia="方正黑体_GBK"/>
          <w:sz w:val="32"/>
          <w:szCs w:val="32"/>
        </w:rPr>
        <w:t>六、专业名词解释</w:t>
      </w:r>
    </w:p>
    <w:p>
      <w:pPr>
        <w:ind w:firstLine="707" w:firstLineChars="221"/>
        <w:rPr>
          <w:rFonts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ind w:firstLine="707" w:firstLineChars="221"/>
        <w:rPr>
          <w:rFonts w:ascii="方正仿宋_GBK" w:eastAsia="方正仿宋_GBK"/>
          <w:sz w:val="32"/>
          <w:szCs w:val="32"/>
        </w:rPr>
      </w:pPr>
      <w:r>
        <w:rPr>
          <w:rFonts w:hint="eastAsia" w:ascii="方正楷体_GBK" w:eastAsia="方正楷体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ind w:firstLine="707" w:firstLineChars="221"/>
        <w:rPr>
          <w:rFonts w:ascii="方正仿宋_GBK" w:eastAsia="方正仿宋_GBK"/>
          <w:sz w:val="32"/>
          <w:szCs w:val="32"/>
        </w:rPr>
      </w:pPr>
      <w:r>
        <w:rPr>
          <w:rFonts w:hint="eastAsia" w:ascii="方正楷体_GBK" w:eastAsia="方正楷体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ind w:firstLine="707" w:firstLineChars="221"/>
        <w:rPr>
          <w:rFonts w:ascii="方正仿宋_GBK" w:eastAsia="方正仿宋_GBK"/>
          <w:sz w:val="32"/>
          <w:szCs w:val="32"/>
        </w:rPr>
      </w:pPr>
      <w:r>
        <w:rPr>
          <w:rFonts w:hint="eastAsia" w:ascii="方正楷体_GBK" w:eastAsia="方正楷体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ind w:firstLine="707" w:firstLineChars="221"/>
        <w:rPr>
          <w:rFonts w:ascii="方正仿宋_GBK" w:eastAsia="方正仿宋_GBK"/>
          <w:sz w:val="32"/>
          <w:szCs w:val="32"/>
        </w:rPr>
      </w:pPr>
      <w:r>
        <w:rPr>
          <w:rFonts w:hint="eastAsia" w:ascii="方正楷体_GBK" w:eastAsia="方正楷体_GBK"/>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ind w:firstLine="707" w:firstLineChars="221"/>
        <w:rPr>
          <w:rFonts w:ascii="方正仿宋_GBK" w:eastAsia="方正仿宋_GBK"/>
          <w:sz w:val="32"/>
          <w:szCs w:val="32"/>
        </w:rPr>
      </w:pPr>
      <w:r>
        <w:rPr>
          <w:rFonts w:hint="eastAsia" w:ascii="方正楷体_GBK" w:eastAsia="方正楷体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ind w:firstLine="707" w:firstLineChars="221"/>
        <w:rPr>
          <w:rFonts w:ascii="方正仿宋_GBK" w:eastAsia="方正仿宋_GBK"/>
          <w:sz w:val="32"/>
          <w:szCs w:val="32"/>
        </w:rPr>
      </w:pPr>
      <w:r>
        <w:rPr>
          <w:rFonts w:hint="eastAsia" w:ascii="方正楷体_GBK" w:eastAsia="方正楷体_GBK"/>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ind w:firstLine="707" w:firstLineChars="221"/>
        <w:rPr>
          <w:rFonts w:ascii="方正仿宋_GBK" w:eastAsia="方正仿宋_GBK"/>
          <w:sz w:val="32"/>
          <w:szCs w:val="32"/>
        </w:rPr>
      </w:pPr>
      <w:r>
        <w:rPr>
          <w:rFonts w:hint="eastAsia" w:ascii="方正楷体_GBK" w:eastAsia="方正楷体_GBK"/>
          <w:sz w:val="32"/>
          <w:szCs w:val="32"/>
        </w:rPr>
        <w:t>（八）年末结转和结余：</w:t>
      </w:r>
      <w:r>
        <w:rPr>
          <w:rFonts w:hint="eastAsia" w:ascii="方正仿宋_GBK" w:eastAsia="方正仿宋_GBK"/>
          <w:sz w:val="32"/>
          <w:szCs w:val="32"/>
        </w:rPr>
        <w:t>指单位结转下年的基本支出结转、项目支出结转和结余、经营结余。</w:t>
      </w:r>
    </w:p>
    <w:p>
      <w:pPr>
        <w:ind w:firstLine="707" w:firstLineChars="221"/>
        <w:rPr>
          <w:rFonts w:ascii="方正仿宋_GBK" w:eastAsia="方正仿宋_GBK"/>
          <w:sz w:val="32"/>
          <w:szCs w:val="32"/>
        </w:rPr>
      </w:pPr>
      <w:r>
        <w:rPr>
          <w:rFonts w:hint="eastAsia" w:ascii="方正楷体_GBK" w:eastAsia="方正楷体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707" w:firstLineChars="221"/>
        <w:rPr>
          <w:rFonts w:ascii="方正仿宋_GBK" w:eastAsia="方正仿宋_GBK"/>
          <w:sz w:val="32"/>
          <w:szCs w:val="32"/>
        </w:rPr>
      </w:pPr>
      <w:r>
        <w:rPr>
          <w:rFonts w:hint="eastAsia" w:ascii="方正楷体_GBK" w:eastAsia="方正楷体_GBK"/>
          <w:sz w:val="32"/>
          <w:szCs w:val="32"/>
        </w:rPr>
        <w:t>（十）项目支出：</w:t>
      </w:r>
      <w:r>
        <w:rPr>
          <w:rFonts w:hint="eastAsia" w:ascii="方正仿宋_GBK" w:eastAsia="方正仿宋_GBK"/>
          <w:sz w:val="32"/>
          <w:szCs w:val="32"/>
        </w:rPr>
        <w:t>指在基本支出之外为完成特定行政任务和事业发展目标所发生的支出。</w:t>
      </w:r>
    </w:p>
    <w:p>
      <w:pPr>
        <w:ind w:firstLine="707" w:firstLineChars="221"/>
        <w:rPr>
          <w:rFonts w:ascii="方正仿宋_GBK" w:eastAsia="方正仿宋_GBK"/>
          <w:sz w:val="32"/>
          <w:szCs w:val="32"/>
        </w:rPr>
      </w:pPr>
      <w:r>
        <w:rPr>
          <w:rFonts w:hint="eastAsia" w:ascii="方正楷体_GBK" w:eastAsia="方正楷体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ind w:firstLine="707" w:firstLineChars="221"/>
        <w:rPr>
          <w:rFonts w:ascii="方正仿宋_GBK" w:eastAsia="方正仿宋_GBK"/>
          <w:sz w:val="32"/>
          <w:szCs w:val="32"/>
        </w:rPr>
      </w:pPr>
      <w:r>
        <w:rPr>
          <w:rFonts w:hint="eastAsia" w:ascii="方正楷体_GBK" w:eastAsia="方正楷体_GBK"/>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707" w:firstLineChars="221"/>
        <w:rPr>
          <w:rFonts w:ascii="方正仿宋_GBK" w:eastAsia="方正仿宋_GBK"/>
          <w:sz w:val="32"/>
          <w:szCs w:val="32"/>
        </w:rPr>
      </w:pPr>
      <w:r>
        <w:rPr>
          <w:rFonts w:hint="eastAsia" w:ascii="方正楷体_GBK" w:eastAsia="方正楷体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707" w:firstLineChars="221"/>
        <w:rPr>
          <w:rFonts w:ascii="方正仿宋_GBK" w:eastAsia="方正仿宋_GBK"/>
          <w:sz w:val="32"/>
          <w:szCs w:val="32"/>
        </w:rPr>
      </w:pPr>
      <w:r>
        <w:rPr>
          <w:rFonts w:hint="eastAsia" w:ascii="方正楷体_GBK" w:eastAsia="方正楷体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ind w:firstLine="707" w:firstLineChars="221"/>
        <w:rPr>
          <w:rFonts w:ascii="方正仿宋_GBK" w:eastAsia="方正仿宋_GBK"/>
          <w:sz w:val="32"/>
          <w:szCs w:val="32"/>
        </w:rPr>
      </w:pPr>
      <w:r>
        <w:rPr>
          <w:rFonts w:hint="eastAsia" w:ascii="方正楷体_GBK" w:eastAsia="方正楷体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ind w:firstLine="707" w:firstLineChars="221"/>
        <w:rPr>
          <w:rFonts w:ascii="方正仿宋_GBK" w:eastAsia="方正仿宋_GBK"/>
          <w:sz w:val="32"/>
          <w:szCs w:val="32"/>
        </w:rPr>
      </w:pPr>
      <w:r>
        <w:rPr>
          <w:rFonts w:hint="eastAsia" w:ascii="方正楷体_GBK" w:eastAsia="方正楷体_GBK"/>
          <w:sz w:val="32"/>
          <w:szCs w:val="32"/>
        </w:rPr>
        <w:t>（十六）对个人和家庭的补助（支出经济分类科目类级）：</w:t>
      </w:r>
      <w:r>
        <w:rPr>
          <w:rFonts w:hint="eastAsia" w:ascii="方正仿宋_GBK" w:eastAsia="方正仿宋_GBK"/>
          <w:sz w:val="32"/>
          <w:szCs w:val="32"/>
        </w:rPr>
        <w:t>反映用于对个人和家庭的补助支出。</w:t>
      </w:r>
    </w:p>
    <w:p>
      <w:pPr>
        <w:ind w:firstLine="707" w:firstLineChars="221"/>
        <w:rPr>
          <w:rFonts w:ascii="方正仿宋_GBK" w:eastAsia="方正仿宋_GBK"/>
          <w:sz w:val="32"/>
          <w:szCs w:val="32"/>
        </w:rPr>
      </w:pPr>
      <w:r>
        <w:rPr>
          <w:rFonts w:hint="eastAsia" w:ascii="方正楷体_GBK" w:eastAsia="方正楷体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ind w:firstLine="707" w:firstLineChars="221"/>
        <w:rPr>
          <w:rFonts w:ascii="方正黑体_GBK" w:eastAsia="方正黑体_GBK"/>
          <w:sz w:val="32"/>
          <w:szCs w:val="32"/>
        </w:rPr>
      </w:pPr>
      <w:r>
        <w:rPr>
          <w:rFonts w:hint="eastAsia" w:ascii="方正黑体_GBK" w:eastAsia="方正黑体_GBK"/>
          <w:sz w:val="32"/>
          <w:szCs w:val="32"/>
        </w:rPr>
        <w:t>七、决算公开联系方式及信息反馈渠道</w:t>
      </w:r>
    </w:p>
    <w:p>
      <w:pPr>
        <w:ind w:firstLine="707" w:firstLineChars="221"/>
        <w:rPr>
          <w:rFonts w:ascii="方正仿宋_GBK" w:eastAsia="方正仿宋_GBK"/>
          <w:sz w:val="32"/>
          <w:szCs w:val="32"/>
        </w:rPr>
      </w:pPr>
      <w:r>
        <w:rPr>
          <w:rFonts w:hint="eastAsia" w:ascii="方正仿宋_GBK" w:eastAsia="方正仿宋_GBK"/>
          <w:sz w:val="32"/>
          <w:szCs w:val="32"/>
        </w:rPr>
        <w:t>本单位决算公开信息反馈和联系方式：</w:t>
      </w:r>
    </w:p>
    <w:p>
      <w:pPr>
        <w:ind w:firstLine="707" w:firstLineChars="221"/>
      </w:pPr>
      <w:r>
        <w:rPr>
          <w:rFonts w:hint="eastAsia" w:ascii="方正仿宋_GBK" w:eastAsia="方正仿宋_GBK"/>
          <w:sz w:val="32"/>
          <w:szCs w:val="32"/>
        </w:rPr>
        <w:t>张林芳  023-70606018。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iM2YxN2ZhYzczOTU4ODhkYzliNTM0YzFlZTIzY2QifQ=="/>
  </w:docVars>
  <w:rsids>
    <w:rsidRoot w:val="00C64CA4"/>
    <w:rsid w:val="00011D3C"/>
    <w:rsid w:val="00026A7F"/>
    <w:rsid w:val="00045A6A"/>
    <w:rsid w:val="00086FFB"/>
    <w:rsid w:val="00093150"/>
    <w:rsid w:val="000A66B8"/>
    <w:rsid w:val="00142CA7"/>
    <w:rsid w:val="001500DA"/>
    <w:rsid w:val="001B4D7D"/>
    <w:rsid w:val="001C4844"/>
    <w:rsid w:val="001D31B1"/>
    <w:rsid w:val="001E3288"/>
    <w:rsid w:val="0020638F"/>
    <w:rsid w:val="0023565A"/>
    <w:rsid w:val="002711BE"/>
    <w:rsid w:val="00275CDA"/>
    <w:rsid w:val="00291AAE"/>
    <w:rsid w:val="002A19F4"/>
    <w:rsid w:val="00300775"/>
    <w:rsid w:val="00333CB7"/>
    <w:rsid w:val="00353441"/>
    <w:rsid w:val="00365B03"/>
    <w:rsid w:val="003C34BB"/>
    <w:rsid w:val="00445089"/>
    <w:rsid w:val="004E6620"/>
    <w:rsid w:val="0050233E"/>
    <w:rsid w:val="005A6E9E"/>
    <w:rsid w:val="005E262E"/>
    <w:rsid w:val="00632CC6"/>
    <w:rsid w:val="00644A51"/>
    <w:rsid w:val="006500F5"/>
    <w:rsid w:val="006B08B1"/>
    <w:rsid w:val="006E1A24"/>
    <w:rsid w:val="007130CA"/>
    <w:rsid w:val="00722439"/>
    <w:rsid w:val="00733EBA"/>
    <w:rsid w:val="00766E9A"/>
    <w:rsid w:val="00797311"/>
    <w:rsid w:val="007B36CD"/>
    <w:rsid w:val="007E0A6D"/>
    <w:rsid w:val="0082509A"/>
    <w:rsid w:val="008807E1"/>
    <w:rsid w:val="008E3BEB"/>
    <w:rsid w:val="008F0C02"/>
    <w:rsid w:val="008F28E5"/>
    <w:rsid w:val="00906CD6"/>
    <w:rsid w:val="0098669B"/>
    <w:rsid w:val="009A3D68"/>
    <w:rsid w:val="009A4D12"/>
    <w:rsid w:val="009B578C"/>
    <w:rsid w:val="00A148C9"/>
    <w:rsid w:val="00A3236E"/>
    <w:rsid w:val="00A66055"/>
    <w:rsid w:val="00AA5BB0"/>
    <w:rsid w:val="00AC47F4"/>
    <w:rsid w:val="00B86292"/>
    <w:rsid w:val="00BC5820"/>
    <w:rsid w:val="00BF22F9"/>
    <w:rsid w:val="00BF343B"/>
    <w:rsid w:val="00C42A82"/>
    <w:rsid w:val="00C55D12"/>
    <w:rsid w:val="00C64CA4"/>
    <w:rsid w:val="00C72F26"/>
    <w:rsid w:val="00CC6B61"/>
    <w:rsid w:val="00CD598A"/>
    <w:rsid w:val="00CF5B06"/>
    <w:rsid w:val="00CF6DD9"/>
    <w:rsid w:val="00D05D3E"/>
    <w:rsid w:val="00D32CE0"/>
    <w:rsid w:val="00D5053E"/>
    <w:rsid w:val="00D71020"/>
    <w:rsid w:val="00D9504D"/>
    <w:rsid w:val="00DD6184"/>
    <w:rsid w:val="00DE6021"/>
    <w:rsid w:val="00E1003E"/>
    <w:rsid w:val="00E15661"/>
    <w:rsid w:val="00E562DE"/>
    <w:rsid w:val="00E72319"/>
    <w:rsid w:val="00E84870"/>
    <w:rsid w:val="00E858D6"/>
    <w:rsid w:val="00E906F1"/>
    <w:rsid w:val="00EB6802"/>
    <w:rsid w:val="00EC63EA"/>
    <w:rsid w:val="00ED193E"/>
    <w:rsid w:val="00F10348"/>
    <w:rsid w:val="00F15454"/>
    <w:rsid w:val="00F160BC"/>
    <w:rsid w:val="00F40896"/>
    <w:rsid w:val="00F40D85"/>
    <w:rsid w:val="00F558E0"/>
    <w:rsid w:val="00F6100B"/>
    <w:rsid w:val="00F913D1"/>
    <w:rsid w:val="00F97B2C"/>
    <w:rsid w:val="00FA31FB"/>
    <w:rsid w:val="265F7933"/>
    <w:rsid w:val="77A7D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952</Words>
  <Characters>5430</Characters>
  <Lines>45</Lines>
  <Paragraphs>12</Paragraphs>
  <TotalTime>649</TotalTime>
  <ScaleCrop>false</ScaleCrop>
  <LinksUpToDate>false</LinksUpToDate>
  <CharactersWithSpaces>6370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2022-10-09T11:18:00Z</dcterms:created>
  <dc:creator>Administrator</dc:creator>
  <cp:lastModifiedBy>fengdu</cp:lastModifiedBy>
  <cp:lastPrinted>2022-10-12T20:39:00Z</cp:lastPrinted>
  <dcterms:modified xsi:type="dcterms:W3CDTF">2023-09-19T17:34:31Z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E633D9E562284F3786A39C0A97349512_12</vt:lpwstr>
  </property>
</Properties>
</file>