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F291E">
      <w:pPr>
        <w:pStyle w:val="2"/>
        <w:bidi w:val="0"/>
        <w:rPr>
          <w:rFonts w:hint="default"/>
        </w:rPr>
      </w:pPr>
      <w:r>
        <w:t>丰都县旅游开发建设管理委员会（本级）</w:t>
      </w:r>
    </w:p>
    <w:p w14:paraId="19743C44">
      <w:pPr>
        <w:pStyle w:val="2"/>
        <w:bidi w:val="0"/>
        <w:rPr>
          <w:rFonts w:hint="default"/>
        </w:rPr>
      </w:pPr>
      <w:r>
        <w:t>2023年度决算公开说明</w:t>
      </w:r>
    </w:p>
    <w:p w14:paraId="7803917A">
      <w:pPr>
        <w:pStyle w:val="3"/>
        <w:bidi w:val="0"/>
        <w:rPr>
          <w:rFonts w:hint="default"/>
        </w:rPr>
      </w:pPr>
      <w:r>
        <w:t>一、单位基本情况</w:t>
      </w:r>
    </w:p>
    <w:p w14:paraId="6C9FEF75">
      <w:pPr>
        <w:bidi w:val="0"/>
        <w:rPr>
          <w:rFonts w:hint="eastAsia" w:eastAsia="方正仿宋_GBK"/>
          <w:lang w:eastAsia="zh-CN"/>
        </w:rPr>
      </w:pPr>
      <w:r>
        <w:t>丰都县旅游开发建设管理委员会（正科级），为县政府的派出机构。对南天湖旅游区范围实行</w:t>
      </w:r>
      <w:r>
        <w:rPr>
          <w:rFonts w:hint="eastAsia"/>
          <w:lang w:eastAsia="zh-CN"/>
        </w:rPr>
        <w:t>“</w:t>
      </w:r>
      <w:r>
        <w:t>统一规划、统一建设、统一管理、统一保护</w:t>
      </w:r>
      <w:r>
        <w:rPr>
          <w:rFonts w:hint="eastAsia"/>
          <w:lang w:eastAsia="zh-CN"/>
        </w:rPr>
        <w:t>”。</w:t>
      </w:r>
    </w:p>
    <w:p w14:paraId="4C7EA93B">
      <w:pPr>
        <w:pStyle w:val="3"/>
        <w:bidi w:val="0"/>
        <w:rPr>
          <w:rFonts w:hint="default"/>
        </w:rPr>
      </w:pPr>
      <w:r>
        <w:t>（一）职能职责</w:t>
      </w:r>
    </w:p>
    <w:p w14:paraId="545A9DC6">
      <w:pPr>
        <w:rPr>
          <w:rFonts w:hint="default"/>
        </w:rPr>
      </w:pPr>
      <w:r>
        <w:t>1.主要职能。</w:t>
      </w:r>
    </w:p>
    <w:p w14:paraId="0CDA64BC">
      <w:pPr>
        <w:rPr>
          <w:rFonts w:hint="default"/>
        </w:rPr>
      </w:pPr>
      <w:r>
        <w:t>负责南天湖旅游区旅游开发建设管理的工作职责。</w:t>
      </w:r>
    </w:p>
    <w:p w14:paraId="54C0F09A">
      <w:pPr>
        <w:rPr>
          <w:rFonts w:hint="default"/>
        </w:rPr>
      </w:pPr>
      <w:r>
        <w:t>（1）负责在南天湖旅游区（以下简称旅游区）内宣传贯彻执行国家有关法律、法规和政策，执行县委、县政府有关决定、部署；研究制订旅游区相关行政管理制度并组织实施。</w:t>
      </w:r>
    </w:p>
    <w:p w14:paraId="4B589024">
      <w:pPr>
        <w:rPr>
          <w:rFonts w:hint="default"/>
        </w:rPr>
      </w:pPr>
      <w:r>
        <w:t>（2）负责编制旅游区发展规划、旅游区建设总体规划、控制性详细规划、专项规划等，对旅游区内规划实施监督管理。</w:t>
      </w:r>
    </w:p>
    <w:p w14:paraId="3753E6DF">
      <w:pPr>
        <w:rPr>
          <w:rFonts w:hint="default"/>
        </w:rPr>
      </w:pPr>
      <w:r>
        <w:t>（3）旅游区的行政管理采取县级相关行政部门授权、半授权和派驻方式实施。</w:t>
      </w:r>
    </w:p>
    <w:p w14:paraId="3A9E23B8">
      <w:pPr>
        <w:rPr>
          <w:rFonts w:hint="default"/>
        </w:rPr>
      </w:pPr>
      <w:r>
        <w:t>（4）负责对旅游区内旅游资源和旅游设施进行开发、利用和保护。</w:t>
      </w:r>
    </w:p>
    <w:p w14:paraId="238FBE31">
      <w:pPr>
        <w:rPr>
          <w:rFonts w:hint="default"/>
        </w:rPr>
      </w:pPr>
      <w:r>
        <w:t>（5）负责初审旅游区的投资项目，协助办理入区项目的有关手续。</w:t>
      </w:r>
    </w:p>
    <w:p w14:paraId="4118139D">
      <w:pPr>
        <w:rPr>
          <w:rFonts w:hint="default"/>
        </w:rPr>
      </w:pPr>
      <w:r>
        <w:t>（6）协助做好旅游区的征地拆迁、农户安置等工作。</w:t>
      </w:r>
    </w:p>
    <w:p w14:paraId="54FE7AA1">
      <w:pPr>
        <w:rPr>
          <w:rFonts w:hint="default"/>
        </w:rPr>
      </w:pPr>
      <w:r>
        <w:t>（7）负责旅游区财务管理及各类政府性投资项目、资金的监督管理；负责旅游区内的投融资管理工作。</w:t>
      </w:r>
    </w:p>
    <w:p w14:paraId="0C9780FE">
      <w:pPr>
        <w:rPr>
          <w:rFonts w:hint="default"/>
        </w:rPr>
      </w:pPr>
      <w:r>
        <w:t>（8）负责旅游区内县级部门派驻单位和人员的日常管理和考核。</w:t>
      </w:r>
    </w:p>
    <w:p w14:paraId="2AB7B112">
      <w:pPr>
        <w:rPr>
          <w:rFonts w:hint="default"/>
        </w:rPr>
      </w:pPr>
      <w:r>
        <w:t>（9）负责旅管委及所属单位的安全生产和信访稳定工作。</w:t>
      </w:r>
    </w:p>
    <w:p w14:paraId="23DDFE25">
      <w:pPr>
        <w:rPr>
          <w:rFonts w:hint="default"/>
        </w:rPr>
      </w:pPr>
      <w:r>
        <w:t>（10）承办县政府交办的其它工作。</w:t>
      </w:r>
    </w:p>
    <w:p w14:paraId="3F045EF8">
      <w:pPr>
        <w:pStyle w:val="4"/>
        <w:bidi w:val="0"/>
        <w:rPr>
          <w:rFonts w:hint="default"/>
        </w:rPr>
      </w:pPr>
      <w:r>
        <w:t>（二）机构设置</w:t>
      </w:r>
    </w:p>
    <w:p w14:paraId="3F286586">
      <w:pPr>
        <w:rPr>
          <w:rFonts w:hint="default"/>
        </w:rPr>
      </w:pPr>
      <w:r>
        <w:t>丰都县旅游开发建设管理委员会设3个内设机构。</w:t>
      </w:r>
    </w:p>
    <w:p w14:paraId="058B40F2">
      <w:pPr>
        <w:rPr>
          <w:rFonts w:hint="default"/>
        </w:rPr>
      </w:pPr>
      <w:r>
        <w:t>（1）办公室。负责综合性文稿的起草；负责公文处理、政务信息、档案管理、机要保密；参与研究和制定旅游区有关政策和制度；负责人事编制、教育培训工作；负责党建、党风廉政、对内宣传、精神文明建设及计生等工作；负责旅游区效能督查及各项重点工作的督查督办；负责管委会的后勤保障等工作。负责管委会财务收支、编制部门预算和决算，统筹安排各项政府资金；负责旅游区财务检查、开发建设项目的监督管理和内部审计工作；负责旅游区内的投融资管理工作。</w:t>
      </w:r>
    </w:p>
    <w:p w14:paraId="3C4EE9C1">
      <w:pPr>
        <w:rPr>
          <w:rFonts w:hint="default"/>
        </w:rPr>
      </w:pPr>
      <w:r>
        <w:t>（2）规划建设管理科。负责做好旅游区内旅游资源调查、开发利用和保护工作；负责编制南天湖旅游区发展总体规划、分区规划、控制性详细规划、修建性详细规划等；负责旅游区旅游项目专项规划的编制与管理工作；编制工程建设项目年度工作计划；负责对旅游区内规划实施监督管理；负责项目立项、设计方案、土地林地报批等工程前期技术准备工作及建设手续的申办；依法审查进旅游区的投资项目，协助办理入区项目的有关手续。负责旅游区内旅游项目的开发、建设管理；负责旅游区内基础设施和市政公共设施的维修维护工作；负责监督管理旅游区的内征地拆迁安置、安全生产和信访稳定工作。</w:t>
      </w:r>
    </w:p>
    <w:p w14:paraId="2731E6EC">
      <w:pPr>
        <w:rPr>
          <w:rFonts w:hint="default"/>
        </w:rPr>
      </w:pPr>
      <w:r>
        <w:t>（3）行政审批服务科。负责旅游区内县级部门派驻单位和人员的日常管理和考核；协助入区企业办理属县级部门需办理的各项行政审批手续；跟踪各企业的项目审批情况，督促企业办理各种审批事项、合法开展建设，受理企业投诉，协调解决有关纠纷。</w:t>
      </w:r>
    </w:p>
    <w:p w14:paraId="05E0C455">
      <w:pPr>
        <w:pStyle w:val="3"/>
        <w:bidi w:val="0"/>
        <w:rPr>
          <w:rFonts w:hint="default"/>
        </w:rPr>
      </w:pPr>
      <w:r>
        <w:t>二、单位决算情况说明</w:t>
      </w:r>
    </w:p>
    <w:p w14:paraId="009DEA21">
      <w:pPr>
        <w:pStyle w:val="4"/>
        <w:bidi w:val="0"/>
      </w:pPr>
      <w:r>
        <w:rPr>
          <w:rFonts w:hint="eastAsia"/>
        </w:rPr>
        <w:t>（一）收入支出决算总体情况说明。</w:t>
      </w:r>
    </w:p>
    <w:p w14:paraId="4FA3A69B">
      <w:pPr>
        <w:rPr>
          <w:rFonts w:hint="default"/>
        </w:rPr>
      </w:pPr>
      <w:r>
        <w:t>1.总体情况。2023年度收入总计9667.25万元，支出总计9667.25万元。收支较上年决算数增加9244.21万元，增长2185.19%，主要原因是增加项目资金，主要包括以下项目：结算厢坝组团5宗土地出让收入返还；南天湖景观工程、旅游扶贫项目、厢坝旅游集镇易地扶贫项目、中行融资租赁、ABC线、厢坝市政道路项目；丰都县仙女湖镇11人制社会足球场项目，基本支出去年315.11万元，今年 217.44万元，减少97.66万元，（下属事业单位分账）。</w:t>
      </w:r>
    </w:p>
    <w:p w14:paraId="72AA2E09">
      <w:pPr>
        <w:rPr>
          <w:rFonts w:hint="default"/>
        </w:rPr>
      </w:pPr>
      <w:r>
        <w:t>2.收入情况。2023年度收入合计9563.63万元，较上年决算数增加9146.59万元，增长2193.22%，主要原因是增加项目资金，主要包括以下项目：结算厢坝组团5宗土地出让收入返还；南天湖景观工程、旅游扶贫项目、厢坝旅游集镇易地扶贫项目、中行融资租赁、ABC线、厢坝市政道路项目；丰都县仙女湖镇11人制社会足球场项目，基本支出去年315.11万元，今年 217.44万元，减少97.66万元，（下属事业单位分账）。其中：财政拨款收入9563.63万元，占100.00%；事业收入0.00万元，占0.00%；经营收入0.00万元，占0.00%；其他收入0.00万元，占0.00%。此外，使用非财政拨款结余和专用结余0.00万元，年初结转和结余103.62万元。</w:t>
      </w:r>
    </w:p>
    <w:p w14:paraId="649C6F15">
      <w:pPr>
        <w:rPr>
          <w:rFonts w:hint="default"/>
        </w:rPr>
      </w:pPr>
      <w:r>
        <w:t>3.支出情况。2023年度支出合计9667.25万元，较上年决算数增加9244.21万元，增长2185.19%，主要原因是增加项目资金，主要包括以下项目：结算厢坝组团5宗土地出让收入返还；南天湖景观工程、旅游扶贫项目、厢坝旅游集镇易地扶贫项目、中行融资租赁、ABC线、厢坝市政道路项目；丰都县仙女湖镇11人制社会足球场项目，基本支出减少97.66万元（2022年包含下属事业单位数据，2023年分账，独立核算，形成减少。）。其中：基本支出217.44万元，占2.25%；项目支出9449.81万元，占97.75%；经营支出0.00万元，占0.00%。此外，结余分配0.00万元。</w:t>
      </w:r>
    </w:p>
    <w:p w14:paraId="6F40FB53">
      <w:pPr>
        <w:rPr>
          <w:rFonts w:hint="default"/>
        </w:rPr>
      </w:pPr>
      <w:r>
        <w:t>4.结转结余情况。2023年度年末结转和结余0.00万元，与上年决算数持平。</w:t>
      </w:r>
    </w:p>
    <w:p w14:paraId="3B26E31C">
      <w:pPr>
        <w:pStyle w:val="4"/>
        <w:bidi w:val="0"/>
      </w:pPr>
      <w:r>
        <w:rPr>
          <w:rFonts w:hint="eastAsia"/>
        </w:rPr>
        <w:t>（二）财政拨款收入支出决算总体情况说明</w:t>
      </w:r>
    </w:p>
    <w:p w14:paraId="4873B211">
      <w:pPr>
        <w:bidi w:val="0"/>
        <w:rPr>
          <w:rFonts w:hint="default"/>
        </w:rPr>
      </w:pPr>
      <w:r>
        <w:t>2023年度财政拨款收、支总计9667.25万元。与2022年相比，财政拨款收、支总计各增加9244.21万元，增长2185.19%。主要原因是增加项目资金，主要包括以下项目：结算厢坝组团5宗土地出让收入返还；南天湖景观工程、旅游扶贫项目、厢坝旅游集镇易地扶贫项目、中行融资租赁、ABC线、厢坝市政道路项目；丰都县仙女湖镇11人制社会足球场项目、基本支出减少97.66万元（下属事业单位分账）。</w:t>
      </w:r>
    </w:p>
    <w:p w14:paraId="49E87D99">
      <w:pPr>
        <w:pStyle w:val="4"/>
        <w:bidi w:val="0"/>
      </w:pPr>
      <w:r>
        <w:rPr>
          <w:rFonts w:hint="eastAsia"/>
        </w:rPr>
        <w:t>（三）一般公共预算财政拨款收入支出决算情况说明</w:t>
      </w:r>
    </w:p>
    <w:p w14:paraId="363D27F7">
      <w:pPr>
        <w:rPr>
          <w:rFonts w:hint="default"/>
        </w:rPr>
      </w:pPr>
      <w:r>
        <w:t>1.收入情况。2023年度一般公共预算财政拨款收入8694.27万元，较上年决算数增加8300.16万元，增长2106.05%。主要原因是增加项目资金，主要包括以下项目：结算厢坝组团5宗土地出让收入返还；南天湖景观工程、旅游扶贫项目、厢坝旅游集镇易地扶贫项目、中行融资租赁、ABC线、厢坝市政道路项目；丰都县仙女湖镇11人制社会足球场项目。此外，年初财政拨款结转和结余103.62万元。</w:t>
      </w:r>
    </w:p>
    <w:p w14:paraId="02BDD405">
      <w:pPr>
        <w:rPr>
          <w:rFonts w:hint="default"/>
        </w:rPr>
      </w:pPr>
      <w:r>
        <w:t>2.支出情况。2023年度一般公共预算财政拨款支出8797.90万元，较上年决算数增加8397.79万元，增长2098.87%。主要原因是增加项目资金，主要包括以下项目：结算厢坝组团5宗土地出让收入返还；南天湖景观工程、旅游扶贫项目、厢坝旅游集镇易地扶贫项目、中行融资租赁、ABC线、厢坝市政道路项目；丰都县仙女湖镇11人制社会足球场项目。较年初预算数增加8585.99万元，增长4051.72%。主要原因是增加项目资金，主要包括以下项目：结算厢坝组团5宗土地出让收入返还；南天湖景观工程、旅游扶贫项目、厢坝旅游集镇易地扶贫项目、中行融资租赁、ABC线、厢坝市政道路项目；丰都县仙女湖镇11人制社会足球场项目。</w:t>
      </w:r>
    </w:p>
    <w:p w14:paraId="04DA8152">
      <w:pPr>
        <w:rPr>
          <w:rFonts w:hint="default"/>
        </w:rPr>
      </w:pPr>
      <w:r>
        <w:t>3.结转结余情况。2023年度年末一般公共预算财政拨款结转和结余与上年决算数持平。</w:t>
      </w:r>
    </w:p>
    <w:p w14:paraId="1A626C31">
      <w:pPr>
        <w:rPr>
          <w:rFonts w:hint="default"/>
        </w:rPr>
      </w:pPr>
      <w:r>
        <w:t xml:space="preserve"> 4.比较情况。本单位2023年度一般公共预算财政拨款支出主要用于以下几个方面：</w:t>
      </w:r>
    </w:p>
    <w:p w14:paraId="7F2032C7">
      <w:pPr>
        <w:rPr>
          <w:rFonts w:hint="default"/>
        </w:rPr>
      </w:pPr>
      <w:r>
        <w:t>（1）文化旅游体育与传媒支出2025.25万元，占23.02%，较年初预算数增加1868.87万元，增长1195.08%，主要原因是增加南天湖景观工程、旅游扶贫项目、厢坝旅游集镇易地扶贫项目、中行融资租赁、ABC线、厢坝市政道路项目；丰都县仙女湖镇11人制社会足球场项目。</w:t>
      </w:r>
    </w:p>
    <w:p w14:paraId="235C4476">
      <w:pPr>
        <w:rPr>
          <w:rFonts w:hint="default"/>
        </w:rPr>
      </w:pPr>
      <w:r>
        <w:t>（2）社会保障与就业支出40.95万元，占0.47%，较年初预算数增加9.66万元，增长30.87%，主要原因是2022年养老保险和职业年金预算追加；追加职业年金做实部分。</w:t>
      </w:r>
    </w:p>
    <w:p w14:paraId="7DDD8CAE">
      <w:pPr>
        <w:rPr>
          <w:rFonts w:hint="default"/>
        </w:rPr>
      </w:pPr>
      <w:r>
        <w:t>（3）卫生健康支出9.33万元，占0.11%，与年初预算数持平。</w:t>
      </w:r>
    </w:p>
    <w:p w14:paraId="2E4D2940">
      <w:pPr>
        <w:rPr>
          <w:rFonts w:hint="default"/>
        </w:rPr>
      </w:pPr>
      <w:r>
        <w:t>（4）城乡社区支出6713.98万元，占76.31%，较年初预算数增加6713.98万元，增长100.00%，主要原因是增加厢坝组团5宗土地出让收入返还；南天湖景观工程、旅游扶贫项目、厢坝旅游集镇易地扶贫项目、中行融资租赁、ABC线、厢坝市政道路项目。</w:t>
      </w:r>
    </w:p>
    <w:p w14:paraId="643B0F3C">
      <w:pPr>
        <w:rPr>
          <w:rFonts w:hint="default"/>
        </w:rPr>
      </w:pPr>
      <w:r>
        <w:t>（5）住房保障支出8.39万元，占0.10%，较年初预算数减少6.52万元，下降43.73%，主要原因清退2021-2023年单位职工住房公积金多交部分，财政扣减该项经费导致。</w:t>
      </w:r>
    </w:p>
    <w:p w14:paraId="14B8190A">
      <w:pPr>
        <w:pStyle w:val="4"/>
        <w:bidi w:val="0"/>
      </w:pPr>
      <w:r>
        <w:rPr>
          <w:rFonts w:hint="eastAsia"/>
        </w:rPr>
        <w:t>（四）一般公共预算财政拨款基本支出决算情况说明</w:t>
      </w:r>
    </w:p>
    <w:p w14:paraId="2ADA9D80">
      <w:pPr>
        <w:rPr>
          <w:rFonts w:hint="default"/>
        </w:rPr>
      </w:pPr>
      <w:r>
        <w:t>2023年度一般公共财政拨款基本支出217.44万元。其中：人员经费197.13万元，较上年决算数减少84.01万元，下降29.88%，主要原因是下属事业单位丰都县南天湖旅游区综合执法队单独决算。人员经费用途主要包括基本工资、津贴补贴、绩效工资、奖金、社会保障缴费、机关事业单位基本养老保险、职业年金缴费、住房公积金等。公用经费20.31万元，较上年决算数减少13.66万元，下降40.21%，主要原因是下属事业单位丰都县南天湖旅游区综合执法队单独决算。公用经费用途主要包括办公费、印刷费、咨询费、手续费、邮电费、差旅费、其他交通费用等支出。</w:t>
      </w:r>
    </w:p>
    <w:p w14:paraId="7A196D65">
      <w:pPr>
        <w:pStyle w:val="4"/>
        <w:bidi w:val="0"/>
      </w:pPr>
      <w:r>
        <w:rPr>
          <w:rFonts w:hint="eastAsia"/>
        </w:rPr>
        <w:t>（五）政府性基金预算收支决算情况说明</w:t>
      </w:r>
    </w:p>
    <w:p w14:paraId="5C6052BB">
      <w:pPr>
        <w:rPr>
          <w:rFonts w:hint="default"/>
        </w:rPr>
      </w:pPr>
      <w:r>
        <w:t>2023年度政府性基金预算财政拨款年初结转结余0.00万元，年末结转结余0.00万元。本年收入869.35万元，较上年决算数增加846.42万元，增长3691.32%，主要原因是增加结算厢坝组团5宗土地出让收入返还、南天湖景观工程、旅游扶贫项目、厢坝旅游集镇易地扶贫项目、中行融资租赁、ABC线、厢坝市政道路项目。</w:t>
      </w:r>
    </w:p>
    <w:p w14:paraId="1F20FE94">
      <w:pPr>
        <w:pStyle w:val="4"/>
        <w:bidi w:val="0"/>
      </w:pPr>
      <w:r>
        <w:rPr>
          <w:rFonts w:hint="eastAsia"/>
        </w:rPr>
        <w:t>（六）国有资本经营预算财政拨款支出决算情况说明</w:t>
      </w:r>
    </w:p>
    <w:p w14:paraId="3D4EB297">
      <w:pPr>
        <w:rPr>
          <w:rFonts w:hint="default"/>
        </w:rPr>
      </w:pPr>
      <w:r>
        <w:t>本单位2023年度无国有资本经营预算财政拨款支出。</w:t>
      </w:r>
    </w:p>
    <w:p w14:paraId="419D34DB">
      <w:pPr>
        <w:pStyle w:val="3"/>
        <w:bidi w:val="0"/>
        <w:rPr>
          <w:rFonts w:hint="default"/>
        </w:rPr>
      </w:pPr>
      <w:r>
        <w:t>三、</w:t>
      </w:r>
      <w:r>
        <w:rPr>
          <w:rFonts w:hint="eastAsia"/>
          <w:lang w:eastAsia="zh-CN"/>
        </w:rPr>
        <w:t>“</w:t>
      </w:r>
      <w:r>
        <w:t>三公</w:t>
      </w:r>
      <w:bookmarkStart w:id="0" w:name="_GoBack"/>
      <w:bookmarkEnd w:id="0"/>
      <w:r>
        <w:rPr>
          <w:rFonts w:hint="eastAsia"/>
          <w:lang w:eastAsia="zh-CN"/>
        </w:rPr>
        <w:t>”</w:t>
      </w:r>
      <w:r>
        <w:t>经费情况说明</w:t>
      </w:r>
    </w:p>
    <w:p w14:paraId="526D747F">
      <w:pPr>
        <w:pStyle w:val="4"/>
        <w:bidi w:val="0"/>
      </w:pPr>
      <w:r>
        <w:rPr>
          <w:rFonts w:hint="eastAsia"/>
        </w:rPr>
        <w:t>（一）</w:t>
      </w:r>
      <w:r>
        <w:rPr>
          <w:rFonts w:hint="eastAsia"/>
          <w:lang w:eastAsia="zh-CN"/>
        </w:rPr>
        <w:t>“</w:t>
      </w:r>
      <w:r>
        <w:rPr>
          <w:rFonts w:hint="eastAsia"/>
        </w:rPr>
        <w:t>三公</w:t>
      </w:r>
      <w:r>
        <w:rPr>
          <w:rFonts w:hint="eastAsia"/>
          <w:lang w:eastAsia="zh-CN"/>
        </w:rPr>
        <w:t>”</w:t>
      </w:r>
      <w:r>
        <w:rPr>
          <w:rFonts w:hint="eastAsia"/>
        </w:rPr>
        <w:t>经费支出总体情况说明</w:t>
      </w:r>
    </w:p>
    <w:p w14:paraId="72710439">
      <w:pPr>
        <w:rPr>
          <w:rFonts w:hint="default"/>
        </w:rPr>
      </w:pPr>
      <w:r>
        <w:t>2023年度</w:t>
      </w:r>
      <w:r>
        <w:rPr>
          <w:rFonts w:hint="eastAsia"/>
          <w:lang w:eastAsia="zh-CN"/>
        </w:rPr>
        <w:t>“</w:t>
      </w:r>
      <w:r>
        <w:t>三公</w:t>
      </w:r>
      <w:r>
        <w:rPr>
          <w:rFonts w:hint="eastAsia"/>
          <w:lang w:eastAsia="zh-CN"/>
        </w:rPr>
        <w:t>”</w:t>
      </w:r>
      <w:r>
        <w:t>经费支出共计0.00万元，较年初预算数无增减，主要原因：一是认真贯彻落实中央八项规定精神，按照只减不增的要求从严控制</w:t>
      </w:r>
      <w:r>
        <w:rPr>
          <w:rFonts w:hint="eastAsia"/>
          <w:lang w:eastAsia="zh-CN"/>
        </w:rPr>
        <w:t>“</w:t>
      </w:r>
      <w:r>
        <w:t>三公</w:t>
      </w:r>
      <w:r>
        <w:rPr>
          <w:rFonts w:hint="eastAsia"/>
          <w:lang w:eastAsia="zh-CN"/>
        </w:rPr>
        <w:t>”</w:t>
      </w:r>
      <w:r>
        <w:t>经费。二是强化公务接待支出管理，严格遵守公务接待开支范围和开支标准，严格控制陪餐人数，对应由接待对象承担的费用一律由接待对象自行支付。 与上年支出数相比持平。</w:t>
      </w:r>
    </w:p>
    <w:p w14:paraId="3FFCE9E5">
      <w:pPr>
        <w:pStyle w:val="4"/>
        <w:bidi w:val="0"/>
      </w:pPr>
      <w:r>
        <w:rPr>
          <w:rFonts w:hint="eastAsia"/>
        </w:rPr>
        <w:t>（二）</w:t>
      </w:r>
      <w:r>
        <w:rPr>
          <w:rFonts w:hint="eastAsia"/>
          <w:lang w:eastAsia="zh-CN"/>
        </w:rPr>
        <w:t>“</w:t>
      </w:r>
      <w:r>
        <w:rPr>
          <w:rFonts w:hint="eastAsia"/>
        </w:rPr>
        <w:t>三公</w:t>
      </w:r>
      <w:r>
        <w:rPr>
          <w:rFonts w:hint="eastAsia"/>
          <w:lang w:eastAsia="zh-CN"/>
        </w:rPr>
        <w:t>”</w:t>
      </w:r>
      <w:r>
        <w:rPr>
          <w:rFonts w:hint="eastAsia"/>
        </w:rPr>
        <w:t>经费分项支出情况</w:t>
      </w:r>
    </w:p>
    <w:p w14:paraId="4C2FD9E8">
      <w:pPr>
        <w:rPr>
          <w:rFonts w:hint="default"/>
        </w:rPr>
      </w:pPr>
      <w:r>
        <w:t>2023年度本单位无因公出国（境）费用0.00万元，与上年持平。</w:t>
      </w:r>
    </w:p>
    <w:p w14:paraId="77D36589">
      <w:pPr>
        <w:rPr>
          <w:rFonts w:hint="default"/>
        </w:rPr>
      </w:pPr>
      <w:r>
        <w:t>公务车购置费0.00万元，与上年持平。</w:t>
      </w:r>
    </w:p>
    <w:p w14:paraId="0D091943">
      <w:pPr>
        <w:rPr>
          <w:rFonts w:hint="default"/>
        </w:rPr>
      </w:pPr>
      <w:r>
        <w:t>公务车运行维护费0.00万元，与上年持平。</w:t>
      </w:r>
    </w:p>
    <w:p w14:paraId="0BE46F93">
      <w:pPr>
        <w:rPr>
          <w:rFonts w:hint="default"/>
        </w:rPr>
      </w:pPr>
      <w:r>
        <w:t>公务接待费0.00万元，与上年持平。</w:t>
      </w:r>
    </w:p>
    <w:p w14:paraId="51D5EB18">
      <w:pPr>
        <w:pStyle w:val="4"/>
        <w:bidi w:val="0"/>
      </w:pPr>
      <w:r>
        <w:rPr>
          <w:rFonts w:hint="eastAsia"/>
        </w:rPr>
        <w:t>（三）</w:t>
      </w:r>
      <w:r>
        <w:rPr>
          <w:rFonts w:hint="eastAsia"/>
          <w:lang w:eastAsia="zh-CN"/>
        </w:rPr>
        <w:t>“</w:t>
      </w:r>
      <w:r>
        <w:rPr>
          <w:rFonts w:hint="eastAsia"/>
        </w:rPr>
        <w:t>三公</w:t>
      </w:r>
      <w:r>
        <w:rPr>
          <w:rFonts w:hint="eastAsia"/>
          <w:lang w:eastAsia="zh-CN"/>
        </w:rPr>
        <w:t>”</w:t>
      </w:r>
      <w:r>
        <w:rPr>
          <w:rFonts w:hint="eastAsia"/>
        </w:rPr>
        <w:t>经费实物量情况</w:t>
      </w:r>
    </w:p>
    <w:p w14:paraId="15849117">
      <w:pPr>
        <w:rPr>
          <w:rFonts w:hint="default"/>
        </w:rPr>
      </w:pPr>
      <w: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6D618553">
      <w:pPr>
        <w:pStyle w:val="3"/>
        <w:bidi w:val="0"/>
        <w:rPr>
          <w:rFonts w:hint="default"/>
        </w:rPr>
      </w:pPr>
      <w:r>
        <w:t>四、其他需要说明的事项</w:t>
      </w:r>
    </w:p>
    <w:p w14:paraId="447986EB">
      <w:pPr>
        <w:pStyle w:val="4"/>
        <w:bidi w:val="0"/>
      </w:pPr>
      <w:r>
        <w:rPr>
          <w:rFonts w:hint="eastAsia"/>
        </w:rPr>
        <w:t>（一）财政拨款会议费和培训费情况说明</w:t>
      </w:r>
    </w:p>
    <w:p w14:paraId="12C1840E">
      <w:pPr>
        <w:rPr>
          <w:rFonts w:hint="default"/>
        </w:rPr>
      </w:pPr>
      <w:r>
        <w:t>本年度会议费支出0.00万元，与上年决算数持平。本年度培训费支出0.10万元，较上年决算数减少0.12万元，下降54.55%，主要原因是下属事业单位专技人员继续教育培训费独立核算。</w:t>
      </w:r>
    </w:p>
    <w:p w14:paraId="4CC888C5">
      <w:pPr>
        <w:pStyle w:val="4"/>
        <w:bidi w:val="0"/>
      </w:pPr>
      <w:r>
        <w:rPr>
          <w:rFonts w:hint="eastAsia"/>
        </w:rPr>
        <w:t>（二）机关运行经费情况说明</w:t>
      </w:r>
    </w:p>
    <w:p w14:paraId="4C8EF4AD">
      <w:pPr>
        <w:rPr>
          <w:rFonts w:hint="default"/>
        </w:rPr>
      </w:pPr>
      <w:r>
        <w:t>2023年度本单位机关运行经费支出20.31万元，机关运行经费主要用于开支办公费2.34万元、咨询费0.05万元、邮电费1.36万元、差旅费6.79万元、培训费：0.10万元、工会经费0.89万元、福利费1.97万元、其他交通费用6.78万元、其他商品和服务支出0.03万元等维持单位运转经费支出。机关运行经费较上年支出数减少13.66万元，下降40.21%，主要原因是人员调出，人员减少。</w:t>
      </w:r>
    </w:p>
    <w:p w14:paraId="48F1D476">
      <w:pPr>
        <w:pStyle w:val="4"/>
        <w:bidi w:val="0"/>
      </w:pPr>
      <w:r>
        <w:rPr>
          <w:rFonts w:hint="eastAsia"/>
        </w:rPr>
        <w:t>（三）国有资产占用情况说明</w:t>
      </w:r>
    </w:p>
    <w:p w14:paraId="37592A58">
      <w:pPr>
        <w:rPr>
          <w:rFonts w:hint="default"/>
        </w:rPr>
      </w:pPr>
      <w:r>
        <w:t>截至2023年12月31日，本单位共有车辆0辆，其中，副部（省）级及以上领导用车0辆、主要领导干部用车0辆、机要通信用车0辆、应急保障用车0辆、执法执勤用车0辆，特种专业技术用车0辆，离退休干部用车0辆。单价100万元（含）以上专用设备0台（套）。</w:t>
      </w:r>
    </w:p>
    <w:p w14:paraId="31414178">
      <w:pPr>
        <w:pStyle w:val="4"/>
        <w:bidi w:val="0"/>
      </w:pPr>
      <w:r>
        <w:rPr>
          <w:rFonts w:hint="eastAsia"/>
        </w:rPr>
        <w:t>（四）政府采购支出情况说明</w:t>
      </w:r>
    </w:p>
    <w:p w14:paraId="76562CDF">
      <w:pPr>
        <w:rPr>
          <w:rFonts w:hint="default"/>
        </w:rPr>
      </w:pPr>
      <w:r>
        <w:t>2023年度本单位未发生政府采购事项，无相关经费支出。</w:t>
      </w:r>
    </w:p>
    <w:p w14:paraId="0CAF9FFB">
      <w:pPr>
        <w:pStyle w:val="3"/>
        <w:bidi w:val="0"/>
        <w:rPr>
          <w:rFonts w:hint="default"/>
        </w:rPr>
      </w:pPr>
      <w:r>
        <w:rPr>
          <w:rFonts w:hint="eastAsia"/>
          <w:lang w:val="en-US" w:eastAsia="zh-CN"/>
        </w:rPr>
        <w:t>五、</w:t>
      </w:r>
      <w:r>
        <w:t>预算绩效管理情况说明</w:t>
      </w:r>
    </w:p>
    <w:p w14:paraId="426F92E6">
      <w:pPr>
        <w:pStyle w:val="4"/>
        <w:bidi w:val="0"/>
      </w:pPr>
      <w:r>
        <w:rPr>
          <w:rFonts w:hint="eastAsia"/>
        </w:rPr>
        <w:t>（一）单位自评情况</w:t>
      </w:r>
    </w:p>
    <w:p w14:paraId="7E3E5D6E">
      <w:pPr>
        <w:bidi w:val="0"/>
      </w:pPr>
      <w:r>
        <w:rPr>
          <w:rFonts w:hint="eastAsia"/>
        </w:rPr>
        <w:t>根据预算绩效管理要求，我单位对3个二级项目开展了绩效自评，涉及财政拨款项目支出资金9449.81万元。</w:t>
      </w:r>
    </w:p>
    <w:tbl>
      <w:tblPr>
        <w:tblStyle w:val="12"/>
        <w:tblW w:w="9048" w:type="dxa"/>
        <w:tblInd w:w="93" w:type="dxa"/>
        <w:tblLayout w:type="fixed"/>
        <w:tblCellMar>
          <w:top w:w="0" w:type="dxa"/>
          <w:left w:w="108" w:type="dxa"/>
          <w:bottom w:w="0" w:type="dxa"/>
          <w:right w:w="108" w:type="dxa"/>
        </w:tblCellMar>
      </w:tblPr>
      <w:tblGrid>
        <w:gridCol w:w="1004"/>
        <w:gridCol w:w="729"/>
        <w:gridCol w:w="728"/>
        <w:gridCol w:w="728"/>
        <w:gridCol w:w="728"/>
        <w:gridCol w:w="729"/>
        <w:gridCol w:w="728"/>
        <w:gridCol w:w="729"/>
        <w:gridCol w:w="728"/>
        <w:gridCol w:w="728"/>
        <w:gridCol w:w="1489"/>
      </w:tblGrid>
      <w:tr w14:paraId="0495B64C">
        <w:tblPrEx>
          <w:tblCellMar>
            <w:top w:w="0" w:type="dxa"/>
            <w:left w:w="108" w:type="dxa"/>
            <w:bottom w:w="0" w:type="dxa"/>
            <w:right w:w="108" w:type="dxa"/>
          </w:tblCellMar>
        </w:tblPrEx>
        <w:trPr>
          <w:trHeight w:val="925" w:hRule="atLeast"/>
        </w:trPr>
        <w:tc>
          <w:tcPr>
            <w:tcW w:w="9048" w:type="dxa"/>
            <w:gridSpan w:val="11"/>
            <w:tcBorders>
              <w:top w:val="nil"/>
              <w:left w:val="nil"/>
              <w:bottom w:val="nil"/>
              <w:right w:val="nil"/>
            </w:tcBorders>
            <w:shd w:val="clear" w:color="auto" w:fill="auto"/>
            <w:noWrap/>
            <w:vAlign w:val="center"/>
          </w:tcPr>
          <w:p w14:paraId="6CDE46F8">
            <w:pPr>
              <w:pStyle w:val="2"/>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rPr>
            </w:pPr>
            <w:r>
              <w:t>2023年度二级项目绩效自评表</w:t>
            </w:r>
          </w:p>
        </w:tc>
      </w:tr>
      <w:tr w14:paraId="19124D51">
        <w:tblPrEx>
          <w:tblCellMar>
            <w:top w:w="0" w:type="dxa"/>
            <w:left w:w="108" w:type="dxa"/>
            <w:bottom w:w="0" w:type="dxa"/>
            <w:right w:w="108" w:type="dxa"/>
          </w:tblCellMar>
        </w:tblPrEx>
        <w:trPr>
          <w:trHeight w:val="497" w:hRule="atLeast"/>
        </w:trPr>
        <w:tc>
          <w:tcPr>
            <w:tcW w:w="9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4F63">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000000"/>
                <w:sz w:val="18"/>
                <w:szCs w:val="18"/>
              </w:rPr>
            </w:pPr>
          </w:p>
        </w:tc>
      </w:tr>
      <w:tr w14:paraId="13A13ACA">
        <w:tblPrEx>
          <w:tblCellMar>
            <w:top w:w="0" w:type="dxa"/>
            <w:left w:w="108" w:type="dxa"/>
            <w:bottom w:w="0" w:type="dxa"/>
            <w:right w:w="108" w:type="dxa"/>
          </w:tblCellMar>
        </w:tblPrEx>
        <w:trPr>
          <w:trHeight w:val="93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E34D">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cs="宋体"/>
                <w:b/>
                <w:bCs/>
                <w:color w:val="000000"/>
                <w:sz w:val="18"/>
                <w:szCs w:val="18"/>
                <w:lang w:bidi="ar"/>
              </w:rPr>
            </w:pPr>
            <w:r>
              <w:rPr>
                <w:rFonts w:cs="宋体"/>
                <w:b/>
                <w:bCs/>
                <w:color w:val="000000"/>
                <w:sz w:val="18"/>
                <w:szCs w:val="18"/>
                <w:lang w:bidi="ar"/>
              </w:rPr>
              <w:t>项目</w:t>
            </w:r>
          </w:p>
          <w:p w14:paraId="6FBB5E6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名称：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186E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丰都县仙女湖镇11人制社会足球场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612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182A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50023022T000002182775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55B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自评总分：</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D19D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71EA">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b/>
                <w:bCs/>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B2D4">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r>
      <w:tr w14:paraId="5F64979B">
        <w:tblPrEx>
          <w:tblCellMar>
            <w:top w:w="0" w:type="dxa"/>
            <w:left w:w="108" w:type="dxa"/>
            <w:bottom w:w="0" w:type="dxa"/>
            <w:right w:w="108" w:type="dxa"/>
          </w:tblCellMar>
        </w:tblPrEx>
        <w:trPr>
          <w:trHeight w:val="93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BBA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cs="宋体"/>
                <w:b/>
                <w:bCs/>
                <w:color w:val="000000"/>
                <w:sz w:val="18"/>
                <w:szCs w:val="18"/>
                <w:lang w:bidi="ar"/>
              </w:rPr>
            </w:pPr>
            <w:r>
              <w:rPr>
                <w:rFonts w:cs="宋体"/>
                <w:b/>
                <w:bCs/>
                <w:color w:val="000000"/>
                <w:sz w:val="18"/>
                <w:szCs w:val="18"/>
                <w:lang w:bidi="ar"/>
              </w:rPr>
              <w:t>项目</w:t>
            </w:r>
          </w:p>
          <w:p w14:paraId="2DC2D51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cs="宋体"/>
                <w:b/>
                <w:bCs/>
                <w:color w:val="000000"/>
                <w:sz w:val="18"/>
                <w:szCs w:val="18"/>
                <w:lang w:bidi="ar"/>
              </w:rPr>
            </w:pPr>
            <w:r>
              <w:rPr>
                <w:rFonts w:cs="宋体"/>
                <w:b/>
                <w:bCs/>
                <w:color w:val="000000"/>
                <w:sz w:val="18"/>
                <w:szCs w:val="18"/>
                <w:lang w:bidi="ar"/>
              </w:rPr>
              <w:t>主管</w:t>
            </w:r>
          </w:p>
          <w:p w14:paraId="73FE217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部门：</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55F0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135-丰都县旅游开发建设管理委员会</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BBD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C501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005-产业发展科</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019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部门联系人：</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57D66">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周作奎</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95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联系电话：</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15A9">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177</w:t>
            </w:r>
            <w:r>
              <w:rPr>
                <w:rFonts w:hint="default" w:cs="宋体"/>
                <w:color w:val="000000"/>
                <w:sz w:val="18"/>
                <w:szCs w:val="18"/>
                <w:lang w:bidi="ar"/>
              </w:rPr>
              <w:t>*******</w:t>
            </w:r>
            <w:r>
              <w:rPr>
                <w:rFonts w:cs="宋体"/>
                <w:color w:val="000000"/>
                <w:sz w:val="18"/>
                <w:szCs w:val="18"/>
                <w:lang w:bidi="ar"/>
              </w:rPr>
              <w:t>2</w:t>
            </w:r>
          </w:p>
        </w:tc>
      </w:tr>
      <w:tr w14:paraId="52901B87">
        <w:tblPrEx>
          <w:tblCellMar>
            <w:top w:w="0" w:type="dxa"/>
            <w:left w:w="108" w:type="dxa"/>
            <w:bottom w:w="0" w:type="dxa"/>
            <w:right w:w="108" w:type="dxa"/>
          </w:tblCellMar>
        </w:tblPrEx>
        <w:trPr>
          <w:trHeight w:val="589" w:hRule="atLeast"/>
        </w:trPr>
        <w:tc>
          <w:tcPr>
            <w:tcW w:w="90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91B61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资金情况</w:t>
            </w:r>
          </w:p>
        </w:tc>
      </w:tr>
      <w:tr w14:paraId="401F61A0">
        <w:tblPrEx>
          <w:tblCellMar>
            <w:top w:w="0" w:type="dxa"/>
            <w:left w:w="108" w:type="dxa"/>
            <w:bottom w:w="0" w:type="dxa"/>
            <w:right w:w="108" w:type="dxa"/>
          </w:tblCellMar>
        </w:tblPrEx>
        <w:trPr>
          <w:trHeight w:val="935" w:hRule="atLeast"/>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0928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E804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CD82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687F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9FC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DBD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18"/>
                <w:szCs w:val="18"/>
              </w:rPr>
            </w:pPr>
            <w:r>
              <w:rPr>
                <w:rFonts w:cs="宋体"/>
                <w:b/>
                <w:bCs/>
                <w:color w:val="000000"/>
                <w:sz w:val="18"/>
                <w:szCs w:val="18"/>
                <w:lang w:bidi="ar"/>
              </w:rPr>
              <w:t>执行率权重</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EC3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执行率得分</w:t>
            </w:r>
          </w:p>
        </w:tc>
      </w:tr>
      <w:tr w14:paraId="04707502">
        <w:tblPrEx>
          <w:tblCellMar>
            <w:top w:w="0" w:type="dxa"/>
            <w:left w:w="108" w:type="dxa"/>
            <w:bottom w:w="0" w:type="dxa"/>
            <w:right w:w="108" w:type="dxa"/>
          </w:tblCellMar>
        </w:tblPrEx>
        <w:trPr>
          <w:trHeight w:val="627" w:hRule="atLeast"/>
        </w:trPr>
        <w:tc>
          <w:tcPr>
            <w:tcW w:w="1004" w:type="dxa"/>
            <w:tcBorders>
              <w:top w:val="single" w:color="000000" w:sz="4" w:space="0"/>
              <w:left w:val="single" w:color="000000" w:sz="4" w:space="0"/>
              <w:bottom w:val="single" w:color="000000" w:sz="4" w:space="0"/>
              <w:right w:val="nil"/>
            </w:tcBorders>
            <w:shd w:val="clear" w:color="auto" w:fill="auto"/>
            <w:vAlign w:val="center"/>
          </w:tcPr>
          <w:p w14:paraId="28022BA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年度总金额</w:t>
            </w:r>
          </w:p>
        </w:tc>
        <w:tc>
          <w:tcPr>
            <w:tcW w:w="729" w:type="dxa"/>
            <w:tcBorders>
              <w:top w:val="single" w:color="000000" w:sz="4" w:space="0"/>
              <w:left w:val="nil"/>
              <w:bottom w:val="single" w:color="000000" w:sz="4" w:space="0"/>
              <w:right w:val="single" w:color="000000" w:sz="4" w:space="0"/>
            </w:tcBorders>
            <w:shd w:val="clear" w:color="auto" w:fill="auto"/>
            <w:vAlign w:val="center"/>
          </w:tcPr>
          <w:p w14:paraId="515B70E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single" w:color="000000" w:sz="4" w:space="0"/>
              <w:bottom w:val="single" w:color="000000" w:sz="4" w:space="0"/>
              <w:right w:val="nil"/>
            </w:tcBorders>
            <w:shd w:val="clear" w:color="auto" w:fill="auto"/>
            <w:vAlign w:val="center"/>
          </w:tcPr>
          <w:p w14:paraId="112CC50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nil"/>
              <w:bottom w:val="single" w:color="000000" w:sz="4" w:space="0"/>
              <w:right w:val="single" w:color="000000" w:sz="4" w:space="0"/>
            </w:tcBorders>
            <w:shd w:val="clear" w:color="auto" w:fill="auto"/>
            <w:vAlign w:val="center"/>
          </w:tcPr>
          <w:p w14:paraId="0223FDC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68672E4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3C1839C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2B6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298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D75B">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023E53F7">
        <w:tblPrEx>
          <w:tblCellMar>
            <w:top w:w="0" w:type="dxa"/>
            <w:left w:w="108" w:type="dxa"/>
            <w:bottom w:w="0" w:type="dxa"/>
            <w:right w:w="108" w:type="dxa"/>
          </w:tblCellMar>
        </w:tblPrEx>
        <w:trPr>
          <w:trHeight w:val="627" w:hRule="atLeast"/>
        </w:trPr>
        <w:tc>
          <w:tcPr>
            <w:tcW w:w="1004" w:type="dxa"/>
            <w:tcBorders>
              <w:top w:val="single" w:color="000000" w:sz="4" w:space="0"/>
              <w:left w:val="single" w:color="000000" w:sz="4" w:space="0"/>
              <w:bottom w:val="single" w:color="000000" w:sz="4" w:space="0"/>
              <w:right w:val="nil"/>
            </w:tcBorders>
            <w:shd w:val="clear" w:color="auto" w:fill="auto"/>
            <w:vAlign w:val="center"/>
          </w:tcPr>
          <w:p w14:paraId="47FC144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其中：财政拨款</w:t>
            </w:r>
          </w:p>
        </w:tc>
        <w:tc>
          <w:tcPr>
            <w:tcW w:w="729" w:type="dxa"/>
            <w:tcBorders>
              <w:top w:val="single" w:color="000000" w:sz="4" w:space="0"/>
              <w:left w:val="nil"/>
              <w:bottom w:val="single" w:color="000000" w:sz="4" w:space="0"/>
              <w:right w:val="single" w:color="000000" w:sz="4" w:space="0"/>
            </w:tcBorders>
            <w:shd w:val="clear" w:color="auto" w:fill="auto"/>
            <w:vAlign w:val="center"/>
          </w:tcPr>
          <w:p w14:paraId="74CC4DC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single" w:color="000000" w:sz="4" w:space="0"/>
              <w:bottom w:val="single" w:color="000000" w:sz="4" w:space="0"/>
              <w:right w:val="nil"/>
            </w:tcBorders>
            <w:shd w:val="clear" w:color="auto" w:fill="auto"/>
            <w:vAlign w:val="center"/>
          </w:tcPr>
          <w:p w14:paraId="7AD2811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nil"/>
              <w:bottom w:val="single" w:color="000000" w:sz="4" w:space="0"/>
              <w:right w:val="single" w:color="000000" w:sz="4" w:space="0"/>
            </w:tcBorders>
            <w:shd w:val="clear" w:color="auto" w:fill="auto"/>
            <w:vAlign w:val="center"/>
          </w:tcPr>
          <w:p w14:paraId="6A1C23B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7058437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6CF9FBF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853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BFE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C75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10.00 </w:t>
            </w:r>
          </w:p>
        </w:tc>
      </w:tr>
      <w:tr w14:paraId="3834FD9D">
        <w:tblPrEx>
          <w:tblCellMar>
            <w:top w:w="0" w:type="dxa"/>
            <w:left w:w="108" w:type="dxa"/>
            <w:bottom w:w="0" w:type="dxa"/>
            <w:right w:w="108" w:type="dxa"/>
          </w:tblCellMar>
        </w:tblPrEx>
        <w:trPr>
          <w:trHeight w:val="627" w:hRule="atLeast"/>
        </w:trPr>
        <w:tc>
          <w:tcPr>
            <w:tcW w:w="1004" w:type="dxa"/>
            <w:tcBorders>
              <w:top w:val="single" w:color="000000" w:sz="4" w:space="0"/>
              <w:left w:val="single" w:color="000000" w:sz="4" w:space="0"/>
              <w:bottom w:val="single" w:color="000000" w:sz="4" w:space="0"/>
              <w:right w:val="nil"/>
            </w:tcBorders>
            <w:shd w:val="clear" w:color="auto" w:fill="auto"/>
            <w:vAlign w:val="center"/>
          </w:tcPr>
          <w:p w14:paraId="46D7B2A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一般公共预算</w:t>
            </w:r>
          </w:p>
        </w:tc>
        <w:tc>
          <w:tcPr>
            <w:tcW w:w="729" w:type="dxa"/>
            <w:tcBorders>
              <w:top w:val="single" w:color="000000" w:sz="4" w:space="0"/>
              <w:left w:val="nil"/>
              <w:bottom w:val="single" w:color="000000" w:sz="4" w:space="0"/>
              <w:right w:val="single" w:color="000000" w:sz="4" w:space="0"/>
            </w:tcBorders>
            <w:shd w:val="clear" w:color="auto" w:fill="auto"/>
            <w:vAlign w:val="center"/>
          </w:tcPr>
          <w:p w14:paraId="514AF57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single" w:color="000000" w:sz="4" w:space="0"/>
              <w:bottom w:val="single" w:color="000000" w:sz="4" w:space="0"/>
              <w:right w:val="nil"/>
            </w:tcBorders>
            <w:shd w:val="clear" w:color="auto" w:fill="auto"/>
            <w:vAlign w:val="center"/>
          </w:tcPr>
          <w:p w14:paraId="0DE87F2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nil"/>
              <w:bottom w:val="single" w:color="000000" w:sz="4" w:space="0"/>
              <w:right w:val="single" w:color="000000" w:sz="4" w:space="0"/>
            </w:tcBorders>
            <w:shd w:val="clear" w:color="auto" w:fill="auto"/>
            <w:vAlign w:val="center"/>
          </w:tcPr>
          <w:p w14:paraId="06CFF3E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1559D5C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53DC74B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2C8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EEE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A73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6280B81D">
        <w:tblPrEx>
          <w:tblCellMar>
            <w:top w:w="0" w:type="dxa"/>
            <w:left w:w="108" w:type="dxa"/>
            <w:bottom w:w="0" w:type="dxa"/>
            <w:right w:w="108" w:type="dxa"/>
          </w:tblCellMar>
        </w:tblPrEx>
        <w:trPr>
          <w:trHeight w:val="589" w:hRule="atLeast"/>
        </w:trPr>
        <w:tc>
          <w:tcPr>
            <w:tcW w:w="90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A67B3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绩效目标</w:t>
            </w:r>
          </w:p>
        </w:tc>
      </w:tr>
      <w:tr w14:paraId="641CC451">
        <w:tblPrEx>
          <w:tblCellMar>
            <w:top w:w="0" w:type="dxa"/>
            <w:left w:w="108" w:type="dxa"/>
            <w:bottom w:w="0" w:type="dxa"/>
            <w:right w:w="108" w:type="dxa"/>
          </w:tblCellMar>
        </w:tblPrEx>
        <w:trPr>
          <w:trHeight w:val="497" w:hRule="atLeast"/>
        </w:trPr>
        <w:tc>
          <w:tcPr>
            <w:tcW w:w="31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FD8C7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2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C612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2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29FD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22E75A15">
        <w:tblPrEx>
          <w:tblCellMar>
            <w:top w:w="0" w:type="dxa"/>
            <w:left w:w="108" w:type="dxa"/>
            <w:bottom w:w="0" w:type="dxa"/>
            <w:right w:w="108" w:type="dxa"/>
          </w:tblCellMar>
        </w:tblPrEx>
        <w:trPr>
          <w:trHeight w:val="1552" w:hRule="atLeast"/>
        </w:trPr>
        <w:tc>
          <w:tcPr>
            <w:tcW w:w="3189" w:type="dxa"/>
            <w:gridSpan w:val="4"/>
            <w:tcBorders>
              <w:top w:val="single" w:color="000000" w:sz="4" w:space="0"/>
              <w:left w:val="single" w:color="000000" w:sz="4" w:space="0"/>
              <w:bottom w:val="single" w:color="000000" w:sz="4" w:space="0"/>
              <w:right w:val="single" w:color="000000" w:sz="4" w:space="0"/>
            </w:tcBorders>
            <w:shd w:val="clear" w:color="auto" w:fill="auto"/>
          </w:tcPr>
          <w:p w14:paraId="76ACAED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全面完成11人制休闲健身足球场地设施建设并竣工验收投入使用。</w:t>
            </w:r>
          </w:p>
        </w:tc>
        <w:tc>
          <w:tcPr>
            <w:tcW w:w="2914" w:type="dxa"/>
            <w:gridSpan w:val="4"/>
            <w:tcBorders>
              <w:top w:val="single" w:color="000000" w:sz="4" w:space="0"/>
              <w:left w:val="single" w:color="000000" w:sz="4" w:space="0"/>
              <w:bottom w:val="single" w:color="000000" w:sz="4" w:space="0"/>
              <w:right w:val="single" w:color="000000" w:sz="4" w:space="0"/>
            </w:tcBorders>
            <w:shd w:val="clear" w:color="auto" w:fill="auto"/>
          </w:tcPr>
          <w:p w14:paraId="47EA314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全面完成11人制休闲健身足球场地设施建设并竣工验收投入使用。</w:t>
            </w:r>
          </w:p>
        </w:tc>
        <w:tc>
          <w:tcPr>
            <w:tcW w:w="2945" w:type="dxa"/>
            <w:gridSpan w:val="3"/>
            <w:tcBorders>
              <w:top w:val="single" w:color="000000" w:sz="4" w:space="0"/>
              <w:left w:val="single" w:color="000000" w:sz="4" w:space="0"/>
              <w:bottom w:val="single" w:color="000000" w:sz="4" w:space="0"/>
              <w:right w:val="single" w:color="000000" w:sz="4" w:space="0"/>
            </w:tcBorders>
            <w:shd w:val="clear" w:color="auto" w:fill="auto"/>
          </w:tcPr>
          <w:p w14:paraId="6EFD904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2023年3月支付丰都县旅游发展有限公司29万元，用于仙女湖镇11人制足球场地设施建设项目工程款。</w:t>
            </w:r>
          </w:p>
        </w:tc>
      </w:tr>
      <w:tr w14:paraId="5A465328">
        <w:tblPrEx>
          <w:tblCellMar>
            <w:top w:w="0" w:type="dxa"/>
            <w:left w:w="108" w:type="dxa"/>
            <w:bottom w:w="0" w:type="dxa"/>
            <w:right w:w="108" w:type="dxa"/>
          </w:tblCellMar>
        </w:tblPrEx>
        <w:trPr>
          <w:trHeight w:val="589" w:hRule="atLeast"/>
        </w:trPr>
        <w:tc>
          <w:tcPr>
            <w:tcW w:w="90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E785D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绩效指标</w:t>
            </w:r>
          </w:p>
        </w:tc>
      </w:tr>
      <w:tr w14:paraId="663CF245">
        <w:tblPrEx>
          <w:tblCellMar>
            <w:top w:w="0" w:type="dxa"/>
            <w:left w:w="108" w:type="dxa"/>
            <w:bottom w:w="0" w:type="dxa"/>
            <w:right w:w="108" w:type="dxa"/>
          </w:tblCellMar>
        </w:tblPrEx>
        <w:trPr>
          <w:trHeight w:val="93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9AC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B24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计量单位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895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指标性质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C6A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指标值</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BA6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D5B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偏离度（%）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AB1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得分系数（%）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76C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指标权重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65A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指标得分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637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7FE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说明</w:t>
            </w:r>
          </w:p>
        </w:tc>
      </w:tr>
      <w:tr w14:paraId="6B78748C">
        <w:tblPrEx>
          <w:tblCellMar>
            <w:top w:w="0" w:type="dxa"/>
            <w:left w:w="108" w:type="dxa"/>
            <w:bottom w:w="0" w:type="dxa"/>
            <w:right w:w="108" w:type="dxa"/>
          </w:tblCellMar>
        </w:tblPrEx>
        <w:trPr>
          <w:trHeight w:val="627"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100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足球场占地面积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747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平方米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CBD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780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1600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312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1600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CE5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223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D0B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AAD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62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DA4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754B7746">
        <w:tblPrEx>
          <w:tblCellMar>
            <w:top w:w="0" w:type="dxa"/>
            <w:left w:w="108" w:type="dxa"/>
            <w:bottom w:w="0" w:type="dxa"/>
            <w:right w:w="108" w:type="dxa"/>
          </w:tblCellMar>
        </w:tblPrEx>
        <w:trPr>
          <w:trHeight w:val="627"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C9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验收合格率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EEA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F7D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D27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110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C5A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3A1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9A5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DAB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CA2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32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67AD789B">
        <w:tblPrEx>
          <w:tblCellMar>
            <w:top w:w="0" w:type="dxa"/>
            <w:left w:w="108" w:type="dxa"/>
            <w:bottom w:w="0" w:type="dxa"/>
            <w:right w:w="108" w:type="dxa"/>
          </w:tblCellMar>
        </w:tblPrEx>
        <w:trPr>
          <w:trHeight w:val="497"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0E3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完工期限</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295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FE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8AE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578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26F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6C0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1F5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486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221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896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706E8301">
        <w:tblPrEx>
          <w:tblCellMar>
            <w:top w:w="0" w:type="dxa"/>
            <w:left w:w="108" w:type="dxa"/>
            <w:bottom w:w="0" w:type="dxa"/>
            <w:right w:w="108" w:type="dxa"/>
          </w:tblCellMar>
        </w:tblPrEx>
        <w:trPr>
          <w:trHeight w:val="497"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CC4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总投资</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B9F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万元</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DFC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DBA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372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8CC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372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B6A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AAD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6E8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99C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9EF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8D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60B3D839">
        <w:tblPrEx>
          <w:tblCellMar>
            <w:top w:w="0" w:type="dxa"/>
            <w:left w:w="108" w:type="dxa"/>
            <w:bottom w:w="0" w:type="dxa"/>
            <w:right w:w="108" w:type="dxa"/>
          </w:tblCellMar>
        </w:tblPrEx>
        <w:trPr>
          <w:trHeight w:val="93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81B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公共体育服务水平提升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A8B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A06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31B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90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28E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1FD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379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D6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1A4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54A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84B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2E97EDB6">
        <w:tblPrEx>
          <w:tblCellMar>
            <w:top w:w="0" w:type="dxa"/>
            <w:left w:w="108" w:type="dxa"/>
            <w:bottom w:w="0" w:type="dxa"/>
            <w:right w:w="108" w:type="dxa"/>
          </w:tblCellMar>
        </w:tblPrEx>
        <w:trPr>
          <w:trHeight w:val="627"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15B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预计使用年限</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230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18D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A87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561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801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FD6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E61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83C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EE6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577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2525ADE9">
        <w:tblPrEx>
          <w:tblCellMar>
            <w:top w:w="0" w:type="dxa"/>
            <w:left w:w="108" w:type="dxa"/>
            <w:bottom w:w="0" w:type="dxa"/>
            <w:right w:w="108" w:type="dxa"/>
          </w:tblCellMar>
        </w:tblPrEx>
        <w:trPr>
          <w:trHeight w:val="945"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05E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社会公众或服务对象满意度</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B0D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91F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3CE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90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16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27A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525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8E6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2C3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D7E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6B0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bl>
    <w:p w14:paraId="1277D7AC">
      <w:pPr>
        <w:pStyle w:val="16"/>
        <w:autoSpaceDE w:val="0"/>
        <w:ind w:firstLine="643"/>
        <w:rPr>
          <w:rFonts w:ascii="楷体" w:hAnsi="楷体" w:eastAsia="楷体" w:cs="楷体"/>
          <w:b/>
          <w:bCs/>
          <w:sz w:val="32"/>
          <w:szCs w:val="32"/>
          <w:shd w:val="clear" w:color="auto" w:fill="FFFFFF"/>
        </w:rPr>
      </w:pPr>
    </w:p>
    <w:tbl>
      <w:tblPr>
        <w:tblStyle w:val="12"/>
        <w:tblW w:w="9058" w:type="dxa"/>
        <w:jc w:val="center"/>
        <w:tblLayout w:type="fixed"/>
        <w:tblCellMar>
          <w:top w:w="0" w:type="dxa"/>
          <w:left w:w="108" w:type="dxa"/>
          <w:bottom w:w="0" w:type="dxa"/>
          <w:right w:w="108" w:type="dxa"/>
        </w:tblCellMar>
      </w:tblPr>
      <w:tblGrid>
        <w:gridCol w:w="1630"/>
        <w:gridCol w:w="516"/>
        <w:gridCol w:w="513"/>
        <w:gridCol w:w="758"/>
        <w:gridCol w:w="1033"/>
        <w:gridCol w:w="1073"/>
        <w:gridCol w:w="832"/>
        <w:gridCol w:w="554"/>
        <w:gridCol w:w="580"/>
        <w:gridCol w:w="709"/>
        <w:gridCol w:w="860"/>
      </w:tblGrid>
      <w:tr w14:paraId="21F88F3C">
        <w:tblPrEx>
          <w:tblCellMar>
            <w:top w:w="0" w:type="dxa"/>
            <w:left w:w="108" w:type="dxa"/>
            <w:bottom w:w="0" w:type="dxa"/>
            <w:right w:w="108" w:type="dxa"/>
          </w:tblCellMar>
        </w:tblPrEx>
        <w:trPr>
          <w:trHeight w:val="799" w:hRule="atLeast"/>
          <w:jc w:val="center"/>
        </w:trPr>
        <w:tc>
          <w:tcPr>
            <w:tcW w:w="905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720229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14:paraId="5AAA16FC">
        <w:tblPrEx>
          <w:tblCellMar>
            <w:top w:w="0" w:type="dxa"/>
            <w:left w:w="108" w:type="dxa"/>
            <w:bottom w:w="0" w:type="dxa"/>
            <w:right w:w="108" w:type="dxa"/>
          </w:tblCellMar>
        </w:tblPrEx>
        <w:trPr>
          <w:cantSplit/>
          <w:trHeight w:val="499" w:hRule="atLeast"/>
          <w:jc w:val="center"/>
        </w:trPr>
        <w:tc>
          <w:tcPr>
            <w:tcW w:w="905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1F3E6D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　</w:t>
            </w:r>
          </w:p>
        </w:tc>
      </w:tr>
      <w:tr w14:paraId="60EC7AFC">
        <w:tblPrEx>
          <w:tblCellMar>
            <w:top w:w="0" w:type="dxa"/>
            <w:left w:w="108" w:type="dxa"/>
            <w:bottom w:w="0" w:type="dxa"/>
            <w:right w:w="108" w:type="dxa"/>
          </w:tblCellMar>
        </w:tblPrEx>
        <w:trPr>
          <w:cantSplit/>
          <w:trHeight w:val="739"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1097A32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项目名称：</w:t>
            </w:r>
          </w:p>
        </w:tc>
        <w:tc>
          <w:tcPr>
            <w:tcW w:w="1029" w:type="dxa"/>
            <w:gridSpan w:val="2"/>
            <w:tcBorders>
              <w:top w:val="single" w:color="auto" w:sz="4" w:space="0"/>
              <w:left w:val="nil"/>
              <w:bottom w:val="single" w:color="auto" w:sz="4" w:space="0"/>
              <w:right w:val="single" w:color="auto" w:sz="4" w:space="0"/>
            </w:tcBorders>
            <w:shd w:val="clear" w:color="auto" w:fill="auto"/>
            <w:vAlign w:val="center"/>
          </w:tcPr>
          <w:p w14:paraId="7772D0E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丰都县南天湖环湖工程-景观工程项目</w:t>
            </w:r>
          </w:p>
        </w:tc>
        <w:tc>
          <w:tcPr>
            <w:tcW w:w="758" w:type="dxa"/>
            <w:tcBorders>
              <w:top w:val="nil"/>
              <w:left w:val="nil"/>
              <w:bottom w:val="single" w:color="auto" w:sz="4" w:space="0"/>
              <w:right w:val="single" w:color="auto" w:sz="4" w:space="0"/>
            </w:tcBorders>
            <w:shd w:val="clear" w:color="auto" w:fill="auto"/>
            <w:vAlign w:val="center"/>
          </w:tcPr>
          <w:p w14:paraId="08CEA45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项目编码：</w:t>
            </w:r>
          </w:p>
        </w:tc>
        <w:tc>
          <w:tcPr>
            <w:tcW w:w="2106" w:type="dxa"/>
            <w:gridSpan w:val="2"/>
            <w:tcBorders>
              <w:top w:val="single" w:color="auto" w:sz="4" w:space="0"/>
              <w:left w:val="nil"/>
              <w:bottom w:val="single" w:color="auto" w:sz="4" w:space="0"/>
              <w:right w:val="single" w:color="auto" w:sz="4" w:space="0"/>
            </w:tcBorders>
            <w:shd w:val="clear" w:color="auto" w:fill="auto"/>
            <w:vAlign w:val="center"/>
          </w:tcPr>
          <w:p w14:paraId="44CA010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50023024T000004217231</w:t>
            </w:r>
          </w:p>
        </w:tc>
        <w:tc>
          <w:tcPr>
            <w:tcW w:w="832" w:type="dxa"/>
            <w:tcBorders>
              <w:top w:val="nil"/>
              <w:left w:val="nil"/>
              <w:bottom w:val="single" w:color="auto" w:sz="4" w:space="0"/>
              <w:right w:val="single" w:color="auto" w:sz="4" w:space="0"/>
            </w:tcBorders>
            <w:shd w:val="clear" w:color="auto" w:fill="auto"/>
            <w:vAlign w:val="center"/>
          </w:tcPr>
          <w:p w14:paraId="55A1D18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自评总分：</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A4E502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97.51</w:t>
            </w:r>
          </w:p>
        </w:tc>
        <w:tc>
          <w:tcPr>
            <w:tcW w:w="709" w:type="dxa"/>
            <w:tcBorders>
              <w:top w:val="nil"/>
              <w:left w:val="nil"/>
              <w:bottom w:val="single" w:color="auto" w:sz="4" w:space="0"/>
              <w:right w:val="single" w:color="auto" w:sz="4" w:space="0"/>
            </w:tcBorders>
            <w:shd w:val="clear" w:color="auto" w:fill="auto"/>
            <w:vAlign w:val="center"/>
          </w:tcPr>
          <w:p w14:paraId="6B034E8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　</w:t>
            </w:r>
          </w:p>
        </w:tc>
        <w:tc>
          <w:tcPr>
            <w:tcW w:w="860" w:type="dxa"/>
            <w:tcBorders>
              <w:top w:val="nil"/>
              <w:left w:val="nil"/>
              <w:bottom w:val="single" w:color="auto" w:sz="4" w:space="0"/>
              <w:right w:val="single" w:color="auto" w:sz="4" w:space="0"/>
            </w:tcBorders>
            <w:shd w:val="clear" w:color="auto" w:fill="auto"/>
            <w:vAlign w:val="center"/>
          </w:tcPr>
          <w:p w14:paraId="67EC2FF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r>
      <w:tr w14:paraId="3AA142DC">
        <w:tblPrEx>
          <w:tblCellMar>
            <w:top w:w="0" w:type="dxa"/>
            <w:left w:w="108" w:type="dxa"/>
            <w:bottom w:w="0" w:type="dxa"/>
            <w:right w:w="108" w:type="dxa"/>
          </w:tblCellMar>
        </w:tblPrEx>
        <w:trPr>
          <w:cantSplit/>
          <w:trHeight w:val="762"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65E09EA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项目主管部门：</w:t>
            </w:r>
          </w:p>
        </w:tc>
        <w:tc>
          <w:tcPr>
            <w:tcW w:w="1029" w:type="dxa"/>
            <w:gridSpan w:val="2"/>
            <w:tcBorders>
              <w:top w:val="single" w:color="auto" w:sz="4" w:space="0"/>
              <w:left w:val="nil"/>
              <w:bottom w:val="single" w:color="auto" w:sz="4" w:space="0"/>
              <w:right w:val="single" w:color="auto" w:sz="4" w:space="0"/>
            </w:tcBorders>
            <w:shd w:val="clear" w:color="auto" w:fill="auto"/>
            <w:vAlign w:val="center"/>
          </w:tcPr>
          <w:p w14:paraId="38C4032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135-丰都县旅游开发建设管理委员会</w:t>
            </w:r>
          </w:p>
        </w:tc>
        <w:tc>
          <w:tcPr>
            <w:tcW w:w="758" w:type="dxa"/>
            <w:tcBorders>
              <w:top w:val="nil"/>
              <w:left w:val="nil"/>
              <w:bottom w:val="single" w:color="auto" w:sz="4" w:space="0"/>
              <w:right w:val="single" w:color="auto" w:sz="4" w:space="0"/>
            </w:tcBorders>
            <w:shd w:val="clear" w:color="auto" w:fill="auto"/>
            <w:vAlign w:val="center"/>
          </w:tcPr>
          <w:p w14:paraId="16726BF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财政归口处室：</w:t>
            </w:r>
          </w:p>
        </w:tc>
        <w:tc>
          <w:tcPr>
            <w:tcW w:w="2106" w:type="dxa"/>
            <w:gridSpan w:val="2"/>
            <w:tcBorders>
              <w:top w:val="single" w:color="auto" w:sz="4" w:space="0"/>
              <w:left w:val="nil"/>
              <w:bottom w:val="single" w:color="auto" w:sz="4" w:space="0"/>
              <w:right w:val="single" w:color="auto" w:sz="4" w:space="0"/>
            </w:tcBorders>
            <w:shd w:val="clear" w:color="auto" w:fill="auto"/>
            <w:vAlign w:val="center"/>
          </w:tcPr>
          <w:p w14:paraId="164B09A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005-产业发展科</w:t>
            </w:r>
          </w:p>
        </w:tc>
        <w:tc>
          <w:tcPr>
            <w:tcW w:w="832" w:type="dxa"/>
            <w:tcBorders>
              <w:top w:val="nil"/>
              <w:left w:val="nil"/>
              <w:bottom w:val="single" w:color="auto" w:sz="4" w:space="0"/>
              <w:right w:val="single" w:color="auto" w:sz="4" w:space="0"/>
            </w:tcBorders>
            <w:shd w:val="clear" w:color="auto" w:fill="auto"/>
            <w:vAlign w:val="center"/>
          </w:tcPr>
          <w:p w14:paraId="49C350B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部门联系人：</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04E8691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余春英</w:t>
            </w:r>
          </w:p>
        </w:tc>
        <w:tc>
          <w:tcPr>
            <w:tcW w:w="709" w:type="dxa"/>
            <w:tcBorders>
              <w:top w:val="nil"/>
              <w:left w:val="nil"/>
              <w:bottom w:val="single" w:color="auto" w:sz="4" w:space="0"/>
              <w:right w:val="single" w:color="auto" w:sz="4" w:space="0"/>
            </w:tcBorders>
            <w:shd w:val="clear" w:color="auto" w:fill="auto"/>
            <w:vAlign w:val="center"/>
          </w:tcPr>
          <w:p w14:paraId="5B201EB5">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联系电话：</w:t>
            </w:r>
          </w:p>
        </w:tc>
        <w:tc>
          <w:tcPr>
            <w:tcW w:w="860" w:type="dxa"/>
            <w:tcBorders>
              <w:top w:val="nil"/>
              <w:left w:val="nil"/>
              <w:bottom w:val="single" w:color="auto" w:sz="4" w:space="0"/>
              <w:right w:val="single" w:color="auto" w:sz="4" w:space="0"/>
            </w:tcBorders>
            <w:shd w:val="clear" w:color="auto" w:fill="auto"/>
            <w:vAlign w:val="center"/>
          </w:tcPr>
          <w:p w14:paraId="0ACB12C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133</w:t>
            </w:r>
            <w:r>
              <w:rPr>
                <w:rFonts w:hint="default" w:cs="宋体"/>
                <w:color w:val="000000"/>
                <w:sz w:val="18"/>
                <w:szCs w:val="18"/>
              </w:rPr>
              <w:t>*******</w:t>
            </w:r>
            <w:r>
              <w:rPr>
                <w:rFonts w:cs="宋体"/>
                <w:color w:val="000000"/>
                <w:sz w:val="18"/>
                <w:szCs w:val="18"/>
              </w:rPr>
              <w:t>6</w:t>
            </w:r>
          </w:p>
        </w:tc>
      </w:tr>
      <w:tr w14:paraId="18D13B52">
        <w:tblPrEx>
          <w:tblCellMar>
            <w:top w:w="0" w:type="dxa"/>
            <w:left w:w="108" w:type="dxa"/>
            <w:bottom w:w="0" w:type="dxa"/>
            <w:right w:w="108" w:type="dxa"/>
          </w:tblCellMar>
        </w:tblPrEx>
        <w:trPr>
          <w:cantSplit/>
          <w:trHeight w:val="600" w:hRule="atLeast"/>
          <w:jc w:val="center"/>
        </w:trPr>
        <w:tc>
          <w:tcPr>
            <w:tcW w:w="905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EABAE9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ascii="微软雅黑" w:hAnsi="微软雅黑" w:eastAsia="微软雅黑" w:cs="宋体"/>
                <w:b/>
                <w:bCs/>
                <w:sz w:val="18"/>
                <w:szCs w:val="18"/>
              </w:rPr>
            </w:pPr>
            <w:r>
              <w:rPr>
                <w:rFonts w:ascii="微软雅黑" w:hAnsi="微软雅黑" w:eastAsia="微软雅黑" w:cs="宋体"/>
                <w:b/>
                <w:bCs/>
                <w:sz w:val="18"/>
                <w:szCs w:val="18"/>
              </w:rPr>
              <w:t>资金情况</w:t>
            </w:r>
          </w:p>
        </w:tc>
      </w:tr>
      <w:tr w14:paraId="29F0CC84">
        <w:tblPrEx>
          <w:tblCellMar>
            <w:top w:w="0" w:type="dxa"/>
            <w:left w:w="108" w:type="dxa"/>
            <w:bottom w:w="0" w:type="dxa"/>
            <w:right w:w="108" w:type="dxa"/>
          </w:tblCellMar>
        </w:tblPrEx>
        <w:trPr>
          <w:cantSplit/>
          <w:trHeight w:val="499" w:hRule="atLeast"/>
          <w:jc w:val="center"/>
        </w:trPr>
        <w:tc>
          <w:tcPr>
            <w:tcW w:w="21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CFEDC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14:paraId="65F4280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年初预算数</w:t>
            </w:r>
          </w:p>
        </w:tc>
        <w:tc>
          <w:tcPr>
            <w:tcW w:w="2106" w:type="dxa"/>
            <w:gridSpan w:val="2"/>
            <w:tcBorders>
              <w:top w:val="single" w:color="auto" w:sz="4" w:space="0"/>
              <w:left w:val="nil"/>
              <w:bottom w:val="single" w:color="auto" w:sz="4" w:space="0"/>
              <w:right w:val="single" w:color="auto" w:sz="4" w:space="0"/>
            </w:tcBorders>
            <w:shd w:val="clear" w:color="auto" w:fill="auto"/>
            <w:vAlign w:val="center"/>
          </w:tcPr>
          <w:p w14:paraId="5960E85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全年（调整）预算数</w:t>
            </w:r>
          </w:p>
        </w:tc>
        <w:tc>
          <w:tcPr>
            <w:tcW w:w="1386" w:type="dxa"/>
            <w:gridSpan w:val="2"/>
            <w:tcBorders>
              <w:top w:val="single" w:color="auto" w:sz="4" w:space="0"/>
              <w:left w:val="nil"/>
              <w:bottom w:val="single" w:color="auto" w:sz="4" w:space="0"/>
              <w:right w:val="single" w:color="auto" w:sz="4" w:space="0"/>
            </w:tcBorders>
            <w:shd w:val="clear" w:color="auto" w:fill="auto"/>
            <w:vAlign w:val="center"/>
          </w:tcPr>
          <w:p w14:paraId="5DC1863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全年执行数</w:t>
            </w:r>
          </w:p>
        </w:tc>
        <w:tc>
          <w:tcPr>
            <w:tcW w:w="580" w:type="dxa"/>
            <w:tcBorders>
              <w:top w:val="nil"/>
              <w:left w:val="nil"/>
              <w:bottom w:val="single" w:color="auto" w:sz="4" w:space="0"/>
              <w:right w:val="single" w:color="auto" w:sz="4" w:space="0"/>
            </w:tcBorders>
            <w:shd w:val="clear" w:color="auto" w:fill="auto"/>
            <w:vAlign w:val="center"/>
          </w:tcPr>
          <w:p w14:paraId="2ED7E6B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执行率</w:t>
            </w:r>
          </w:p>
        </w:tc>
        <w:tc>
          <w:tcPr>
            <w:tcW w:w="709" w:type="dxa"/>
            <w:tcBorders>
              <w:top w:val="nil"/>
              <w:left w:val="nil"/>
              <w:bottom w:val="single" w:color="auto" w:sz="4" w:space="0"/>
              <w:right w:val="single" w:color="auto" w:sz="4" w:space="0"/>
            </w:tcBorders>
            <w:shd w:val="clear" w:color="auto" w:fill="auto"/>
            <w:vAlign w:val="center"/>
          </w:tcPr>
          <w:p w14:paraId="1BFBE2E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执行率权重</w:t>
            </w:r>
          </w:p>
        </w:tc>
        <w:tc>
          <w:tcPr>
            <w:tcW w:w="860" w:type="dxa"/>
            <w:tcBorders>
              <w:top w:val="nil"/>
              <w:left w:val="nil"/>
              <w:bottom w:val="single" w:color="auto" w:sz="4" w:space="0"/>
              <w:right w:val="single" w:color="auto" w:sz="4" w:space="0"/>
            </w:tcBorders>
            <w:shd w:val="clear" w:color="auto" w:fill="auto"/>
            <w:vAlign w:val="center"/>
          </w:tcPr>
          <w:p w14:paraId="7C0895D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执行率得分</w:t>
            </w:r>
          </w:p>
        </w:tc>
      </w:tr>
      <w:tr w14:paraId="613F9E6B">
        <w:tblPrEx>
          <w:tblCellMar>
            <w:top w:w="0" w:type="dxa"/>
            <w:left w:w="108" w:type="dxa"/>
            <w:bottom w:w="0" w:type="dxa"/>
            <w:right w:w="108" w:type="dxa"/>
          </w:tblCellMar>
        </w:tblPrEx>
        <w:trPr>
          <w:cantSplit/>
          <w:trHeight w:val="499" w:hRule="atLeast"/>
          <w:jc w:val="center"/>
        </w:trPr>
        <w:tc>
          <w:tcPr>
            <w:tcW w:w="1630" w:type="dxa"/>
            <w:tcBorders>
              <w:top w:val="nil"/>
              <w:left w:val="single" w:color="auto" w:sz="4" w:space="0"/>
              <w:bottom w:val="single" w:color="auto" w:sz="4" w:space="0"/>
              <w:right w:val="nil"/>
            </w:tcBorders>
            <w:shd w:val="clear" w:color="auto" w:fill="auto"/>
            <w:vAlign w:val="center"/>
          </w:tcPr>
          <w:p w14:paraId="1E091EE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年度总金额</w:t>
            </w:r>
          </w:p>
        </w:tc>
        <w:tc>
          <w:tcPr>
            <w:tcW w:w="516" w:type="dxa"/>
            <w:tcBorders>
              <w:top w:val="nil"/>
              <w:left w:val="nil"/>
              <w:bottom w:val="single" w:color="auto" w:sz="4" w:space="0"/>
              <w:right w:val="single" w:color="auto" w:sz="4" w:space="0"/>
            </w:tcBorders>
            <w:shd w:val="clear" w:color="auto" w:fill="auto"/>
            <w:vAlign w:val="center"/>
          </w:tcPr>
          <w:p w14:paraId="4268A1D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513" w:type="dxa"/>
            <w:tcBorders>
              <w:top w:val="nil"/>
              <w:left w:val="nil"/>
              <w:bottom w:val="single" w:color="auto" w:sz="4" w:space="0"/>
              <w:right w:val="nil"/>
            </w:tcBorders>
            <w:shd w:val="clear" w:color="auto" w:fill="auto"/>
            <w:vAlign w:val="center"/>
          </w:tcPr>
          <w:p w14:paraId="5CE0103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7C7CA73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xml:space="preserve">0.00 </w:t>
            </w:r>
          </w:p>
        </w:tc>
        <w:tc>
          <w:tcPr>
            <w:tcW w:w="2106" w:type="dxa"/>
            <w:gridSpan w:val="2"/>
            <w:tcBorders>
              <w:top w:val="single" w:color="auto" w:sz="4" w:space="0"/>
              <w:left w:val="nil"/>
              <w:bottom w:val="single" w:color="auto" w:sz="4" w:space="0"/>
              <w:right w:val="single" w:color="000000" w:sz="4" w:space="0"/>
            </w:tcBorders>
            <w:shd w:val="clear" w:color="auto" w:fill="auto"/>
            <w:vAlign w:val="center"/>
          </w:tcPr>
          <w:p w14:paraId="635B173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xml:space="preserve">113,703,322.49 </w:t>
            </w:r>
          </w:p>
        </w:tc>
        <w:tc>
          <w:tcPr>
            <w:tcW w:w="1386" w:type="dxa"/>
            <w:gridSpan w:val="2"/>
            <w:tcBorders>
              <w:top w:val="single" w:color="auto" w:sz="4" w:space="0"/>
              <w:left w:val="nil"/>
              <w:bottom w:val="single" w:color="auto" w:sz="4" w:space="0"/>
              <w:right w:val="single" w:color="000000" w:sz="4" w:space="0"/>
            </w:tcBorders>
            <w:shd w:val="clear" w:color="auto" w:fill="auto"/>
            <w:vAlign w:val="center"/>
          </w:tcPr>
          <w:p w14:paraId="3DF3FF6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580" w:type="dxa"/>
            <w:tcBorders>
              <w:top w:val="nil"/>
              <w:left w:val="nil"/>
              <w:bottom w:val="single" w:color="auto" w:sz="4" w:space="0"/>
              <w:right w:val="single" w:color="auto" w:sz="4" w:space="0"/>
            </w:tcBorders>
            <w:shd w:val="clear" w:color="auto" w:fill="auto"/>
            <w:vAlign w:val="center"/>
          </w:tcPr>
          <w:p w14:paraId="2FF4F1B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6BDA9E0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860" w:type="dxa"/>
            <w:tcBorders>
              <w:top w:val="nil"/>
              <w:left w:val="nil"/>
              <w:bottom w:val="single" w:color="auto" w:sz="4" w:space="0"/>
              <w:right w:val="single" w:color="auto" w:sz="4" w:space="0"/>
            </w:tcBorders>
            <w:shd w:val="clear" w:color="auto" w:fill="auto"/>
            <w:vAlign w:val="center"/>
          </w:tcPr>
          <w:p w14:paraId="63B9F2C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sz w:val="18"/>
                <w:szCs w:val="18"/>
              </w:rPr>
            </w:pPr>
            <w:r>
              <w:rPr>
                <w:rFonts w:cs="宋体"/>
                <w:sz w:val="18"/>
                <w:szCs w:val="18"/>
              </w:rPr>
              <w:t>　</w:t>
            </w:r>
          </w:p>
        </w:tc>
      </w:tr>
      <w:tr w14:paraId="066C96E1">
        <w:tblPrEx>
          <w:tblCellMar>
            <w:top w:w="0" w:type="dxa"/>
            <w:left w:w="108" w:type="dxa"/>
            <w:bottom w:w="0" w:type="dxa"/>
            <w:right w:w="108" w:type="dxa"/>
          </w:tblCellMar>
        </w:tblPrEx>
        <w:trPr>
          <w:cantSplit/>
          <w:trHeight w:val="499" w:hRule="atLeast"/>
          <w:jc w:val="center"/>
        </w:trPr>
        <w:tc>
          <w:tcPr>
            <w:tcW w:w="1630" w:type="dxa"/>
            <w:tcBorders>
              <w:top w:val="nil"/>
              <w:left w:val="single" w:color="auto" w:sz="4" w:space="0"/>
              <w:bottom w:val="single" w:color="auto" w:sz="4" w:space="0"/>
              <w:right w:val="nil"/>
            </w:tcBorders>
            <w:shd w:val="clear" w:color="auto" w:fill="auto"/>
            <w:vAlign w:val="center"/>
          </w:tcPr>
          <w:p w14:paraId="678B886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其中：财政拨款</w:t>
            </w:r>
          </w:p>
        </w:tc>
        <w:tc>
          <w:tcPr>
            <w:tcW w:w="516" w:type="dxa"/>
            <w:tcBorders>
              <w:top w:val="nil"/>
              <w:left w:val="nil"/>
              <w:bottom w:val="single" w:color="auto" w:sz="4" w:space="0"/>
              <w:right w:val="single" w:color="auto" w:sz="4" w:space="0"/>
            </w:tcBorders>
            <w:shd w:val="clear" w:color="auto" w:fill="auto"/>
            <w:vAlign w:val="center"/>
          </w:tcPr>
          <w:p w14:paraId="0BFB1CC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513" w:type="dxa"/>
            <w:tcBorders>
              <w:top w:val="nil"/>
              <w:left w:val="nil"/>
              <w:bottom w:val="single" w:color="auto" w:sz="4" w:space="0"/>
              <w:right w:val="nil"/>
            </w:tcBorders>
            <w:shd w:val="clear" w:color="auto" w:fill="auto"/>
            <w:vAlign w:val="center"/>
          </w:tcPr>
          <w:p w14:paraId="50A99BF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64F0032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xml:space="preserve">0.00 </w:t>
            </w:r>
          </w:p>
        </w:tc>
        <w:tc>
          <w:tcPr>
            <w:tcW w:w="2106" w:type="dxa"/>
            <w:gridSpan w:val="2"/>
            <w:tcBorders>
              <w:top w:val="single" w:color="auto" w:sz="4" w:space="0"/>
              <w:left w:val="nil"/>
              <w:bottom w:val="single" w:color="auto" w:sz="4" w:space="0"/>
              <w:right w:val="single" w:color="000000" w:sz="4" w:space="0"/>
            </w:tcBorders>
            <w:shd w:val="clear" w:color="auto" w:fill="auto"/>
            <w:vAlign w:val="center"/>
          </w:tcPr>
          <w:p w14:paraId="1440EA5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xml:space="preserve">113,703,322.49 </w:t>
            </w:r>
          </w:p>
        </w:tc>
        <w:tc>
          <w:tcPr>
            <w:tcW w:w="1386" w:type="dxa"/>
            <w:gridSpan w:val="2"/>
            <w:tcBorders>
              <w:top w:val="single" w:color="auto" w:sz="4" w:space="0"/>
              <w:left w:val="nil"/>
              <w:bottom w:val="single" w:color="auto" w:sz="4" w:space="0"/>
              <w:right w:val="single" w:color="000000" w:sz="4" w:space="0"/>
            </w:tcBorders>
            <w:shd w:val="clear" w:color="auto" w:fill="auto"/>
            <w:vAlign w:val="center"/>
          </w:tcPr>
          <w:p w14:paraId="729417F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580" w:type="dxa"/>
            <w:tcBorders>
              <w:top w:val="nil"/>
              <w:left w:val="nil"/>
              <w:bottom w:val="single" w:color="auto" w:sz="4" w:space="0"/>
              <w:right w:val="single" w:color="auto" w:sz="4" w:space="0"/>
            </w:tcBorders>
            <w:shd w:val="clear" w:color="auto" w:fill="auto"/>
            <w:vAlign w:val="center"/>
          </w:tcPr>
          <w:p w14:paraId="5CACA34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75.1</w:t>
            </w:r>
          </w:p>
        </w:tc>
        <w:tc>
          <w:tcPr>
            <w:tcW w:w="709" w:type="dxa"/>
            <w:tcBorders>
              <w:top w:val="nil"/>
              <w:left w:val="nil"/>
              <w:bottom w:val="single" w:color="auto" w:sz="4" w:space="0"/>
              <w:right w:val="single" w:color="auto" w:sz="4" w:space="0"/>
            </w:tcBorders>
            <w:shd w:val="clear" w:color="auto" w:fill="auto"/>
            <w:vAlign w:val="center"/>
          </w:tcPr>
          <w:p w14:paraId="16BECBB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10.00</w:t>
            </w:r>
          </w:p>
        </w:tc>
        <w:tc>
          <w:tcPr>
            <w:tcW w:w="860" w:type="dxa"/>
            <w:tcBorders>
              <w:top w:val="nil"/>
              <w:left w:val="nil"/>
              <w:bottom w:val="single" w:color="auto" w:sz="4" w:space="0"/>
              <w:right w:val="single" w:color="auto" w:sz="4" w:space="0"/>
            </w:tcBorders>
            <w:shd w:val="clear" w:color="auto" w:fill="auto"/>
            <w:vAlign w:val="center"/>
          </w:tcPr>
          <w:p w14:paraId="414BD40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sz w:val="18"/>
                <w:szCs w:val="18"/>
              </w:rPr>
            </w:pPr>
            <w:r>
              <w:rPr>
                <w:rFonts w:cs="宋体"/>
                <w:sz w:val="18"/>
                <w:szCs w:val="18"/>
              </w:rPr>
              <w:t xml:space="preserve">7.51 </w:t>
            </w:r>
          </w:p>
        </w:tc>
      </w:tr>
      <w:tr w14:paraId="422F5419">
        <w:tblPrEx>
          <w:tblCellMar>
            <w:top w:w="0" w:type="dxa"/>
            <w:left w:w="108" w:type="dxa"/>
            <w:bottom w:w="0" w:type="dxa"/>
            <w:right w:w="108" w:type="dxa"/>
          </w:tblCellMar>
        </w:tblPrEx>
        <w:trPr>
          <w:cantSplit/>
          <w:trHeight w:val="499" w:hRule="atLeast"/>
          <w:jc w:val="center"/>
        </w:trPr>
        <w:tc>
          <w:tcPr>
            <w:tcW w:w="1630" w:type="dxa"/>
            <w:tcBorders>
              <w:top w:val="nil"/>
              <w:left w:val="single" w:color="auto" w:sz="4" w:space="0"/>
              <w:bottom w:val="single" w:color="auto" w:sz="4" w:space="0"/>
              <w:right w:val="nil"/>
            </w:tcBorders>
            <w:shd w:val="clear" w:color="auto" w:fill="auto"/>
            <w:vAlign w:val="center"/>
          </w:tcPr>
          <w:p w14:paraId="57EF76D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一般公共预算</w:t>
            </w:r>
          </w:p>
        </w:tc>
        <w:tc>
          <w:tcPr>
            <w:tcW w:w="516" w:type="dxa"/>
            <w:tcBorders>
              <w:top w:val="nil"/>
              <w:left w:val="nil"/>
              <w:bottom w:val="single" w:color="auto" w:sz="4" w:space="0"/>
              <w:right w:val="single" w:color="auto" w:sz="4" w:space="0"/>
            </w:tcBorders>
            <w:shd w:val="clear" w:color="auto" w:fill="auto"/>
            <w:vAlign w:val="center"/>
          </w:tcPr>
          <w:p w14:paraId="360D4591">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513" w:type="dxa"/>
            <w:tcBorders>
              <w:top w:val="nil"/>
              <w:left w:val="nil"/>
              <w:bottom w:val="single" w:color="auto" w:sz="4" w:space="0"/>
              <w:right w:val="nil"/>
            </w:tcBorders>
            <w:shd w:val="clear" w:color="auto" w:fill="auto"/>
            <w:vAlign w:val="center"/>
          </w:tcPr>
          <w:p w14:paraId="0E634CE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758" w:type="dxa"/>
            <w:tcBorders>
              <w:top w:val="nil"/>
              <w:left w:val="nil"/>
              <w:bottom w:val="single" w:color="auto" w:sz="4" w:space="0"/>
              <w:right w:val="single" w:color="auto" w:sz="4" w:space="0"/>
            </w:tcBorders>
            <w:shd w:val="clear" w:color="auto" w:fill="auto"/>
            <w:vAlign w:val="center"/>
          </w:tcPr>
          <w:p w14:paraId="23F38F3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xml:space="preserve">0.00 </w:t>
            </w:r>
          </w:p>
        </w:tc>
        <w:tc>
          <w:tcPr>
            <w:tcW w:w="2106" w:type="dxa"/>
            <w:gridSpan w:val="2"/>
            <w:tcBorders>
              <w:top w:val="single" w:color="auto" w:sz="4" w:space="0"/>
              <w:left w:val="nil"/>
              <w:bottom w:val="single" w:color="auto" w:sz="4" w:space="0"/>
              <w:right w:val="single" w:color="000000" w:sz="4" w:space="0"/>
            </w:tcBorders>
            <w:shd w:val="clear" w:color="auto" w:fill="auto"/>
            <w:vAlign w:val="center"/>
          </w:tcPr>
          <w:p w14:paraId="09D29D0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xml:space="preserve">112,781,622.49 </w:t>
            </w:r>
          </w:p>
        </w:tc>
        <w:tc>
          <w:tcPr>
            <w:tcW w:w="1386" w:type="dxa"/>
            <w:gridSpan w:val="2"/>
            <w:tcBorders>
              <w:top w:val="single" w:color="auto" w:sz="4" w:space="0"/>
              <w:left w:val="nil"/>
              <w:bottom w:val="single" w:color="auto" w:sz="4" w:space="0"/>
              <w:right w:val="single" w:color="000000" w:sz="4" w:space="0"/>
            </w:tcBorders>
            <w:shd w:val="clear" w:color="auto" w:fill="auto"/>
            <w:vAlign w:val="center"/>
          </w:tcPr>
          <w:p w14:paraId="1B68952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580" w:type="dxa"/>
            <w:tcBorders>
              <w:top w:val="nil"/>
              <w:left w:val="nil"/>
              <w:bottom w:val="single" w:color="auto" w:sz="4" w:space="0"/>
              <w:right w:val="single" w:color="auto" w:sz="4" w:space="0"/>
            </w:tcBorders>
            <w:shd w:val="clear" w:color="auto" w:fill="auto"/>
            <w:vAlign w:val="center"/>
          </w:tcPr>
          <w:p w14:paraId="30A17A2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74.9</w:t>
            </w:r>
          </w:p>
        </w:tc>
        <w:tc>
          <w:tcPr>
            <w:tcW w:w="709" w:type="dxa"/>
            <w:tcBorders>
              <w:top w:val="nil"/>
              <w:left w:val="nil"/>
              <w:bottom w:val="single" w:color="auto" w:sz="4" w:space="0"/>
              <w:right w:val="single" w:color="auto" w:sz="4" w:space="0"/>
            </w:tcBorders>
            <w:shd w:val="clear" w:color="auto" w:fill="auto"/>
            <w:vAlign w:val="center"/>
          </w:tcPr>
          <w:p w14:paraId="16DB65A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860" w:type="dxa"/>
            <w:tcBorders>
              <w:top w:val="nil"/>
              <w:left w:val="nil"/>
              <w:bottom w:val="single" w:color="auto" w:sz="4" w:space="0"/>
              <w:right w:val="single" w:color="auto" w:sz="4" w:space="0"/>
            </w:tcBorders>
            <w:shd w:val="clear" w:color="auto" w:fill="auto"/>
            <w:vAlign w:val="center"/>
          </w:tcPr>
          <w:p w14:paraId="6DD4BF1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sz w:val="18"/>
                <w:szCs w:val="18"/>
              </w:rPr>
            </w:pPr>
            <w:r>
              <w:rPr>
                <w:rFonts w:cs="宋体"/>
                <w:sz w:val="18"/>
                <w:szCs w:val="18"/>
              </w:rPr>
              <w:t>　</w:t>
            </w:r>
          </w:p>
        </w:tc>
      </w:tr>
      <w:tr w14:paraId="0D7214D4">
        <w:tblPrEx>
          <w:tblCellMar>
            <w:top w:w="0" w:type="dxa"/>
            <w:left w:w="108" w:type="dxa"/>
            <w:bottom w:w="0" w:type="dxa"/>
            <w:right w:w="108" w:type="dxa"/>
          </w:tblCellMar>
        </w:tblPrEx>
        <w:trPr>
          <w:cantSplit/>
          <w:trHeight w:val="600" w:hRule="atLeast"/>
          <w:jc w:val="center"/>
        </w:trPr>
        <w:tc>
          <w:tcPr>
            <w:tcW w:w="905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780CB4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ascii="微软雅黑" w:hAnsi="微软雅黑" w:eastAsia="微软雅黑" w:cs="宋体"/>
                <w:b/>
                <w:bCs/>
                <w:color w:val="808080"/>
                <w:sz w:val="18"/>
                <w:szCs w:val="18"/>
              </w:rPr>
            </w:pPr>
            <w:r>
              <w:rPr>
                <w:rFonts w:ascii="微软雅黑" w:hAnsi="微软雅黑" w:eastAsia="微软雅黑" w:cs="宋体"/>
                <w:b/>
                <w:bCs/>
                <w:color w:val="808080"/>
                <w:sz w:val="18"/>
                <w:szCs w:val="18"/>
              </w:rPr>
              <w:t>绩效目标</w:t>
            </w:r>
          </w:p>
        </w:tc>
      </w:tr>
      <w:tr w14:paraId="630C68B9">
        <w:tblPrEx>
          <w:tblCellMar>
            <w:top w:w="0" w:type="dxa"/>
            <w:left w:w="108" w:type="dxa"/>
            <w:bottom w:w="0" w:type="dxa"/>
            <w:right w:w="108" w:type="dxa"/>
          </w:tblCellMar>
        </w:tblPrEx>
        <w:trPr>
          <w:cantSplit/>
          <w:trHeight w:val="499" w:hRule="atLeast"/>
          <w:jc w:val="center"/>
        </w:trPr>
        <w:tc>
          <w:tcPr>
            <w:tcW w:w="3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A59A7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年初绩效目标</w:t>
            </w:r>
          </w:p>
        </w:tc>
        <w:tc>
          <w:tcPr>
            <w:tcW w:w="3492" w:type="dxa"/>
            <w:gridSpan w:val="4"/>
            <w:tcBorders>
              <w:top w:val="single" w:color="auto" w:sz="4" w:space="0"/>
              <w:left w:val="nil"/>
              <w:bottom w:val="single" w:color="auto" w:sz="4" w:space="0"/>
              <w:right w:val="single" w:color="auto" w:sz="4" w:space="0"/>
            </w:tcBorders>
            <w:shd w:val="clear" w:color="auto" w:fill="auto"/>
            <w:vAlign w:val="center"/>
          </w:tcPr>
          <w:p w14:paraId="7C69FE9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全年（调整）绩效目标</w:t>
            </w:r>
          </w:p>
        </w:tc>
        <w:tc>
          <w:tcPr>
            <w:tcW w:w="2149" w:type="dxa"/>
            <w:gridSpan w:val="3"/>
            <w:tcBorders>
              <w:top w:val="single" w:color="auto" w:sz="4" w:space="0"/>
              <w:left w:val="nil"/>
              <w:bottom w:val="single" w:color="auto" w:sz="4" w:space="0"/>
              <w:right w:val="single" w:color="auto" w:sz="4" w:space="0"/>
            </w:tcBorders>
            <w:shd w:val="clear" w:color="auto" w:fill="auto"/>
            <w:vAlign w:val="center"/>
          </w:tcPr>
          <w:p w14:paraId="130C247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全年目标实际完成情况</w:t>
            </w:r>
          </w:p>
        </w:tc>
      </w:tr>
      <w:tr w14:paraId="466718E0">
        <w:tblPrEx>
          <w:tblCellMar>
            <w:top w:w="0" w:type="dxa"/>
            <w:left w:w="108" w:type="dxa"/>
            <w:bottom w:w="0" w:type="dxa"/>
            <w:right w:w="108" w:type="dxa"/>
          </w:tblCellMar>
        </w:tblPrEx>
        <w:trPr>
          <w:cantSplit/>
          <w:trHeight w:val="2940" w:hRule="atLeast"/>
          <w:jc w:val="center"/>
        </w:trPr>
        <w:tc>
          <w:tcPr>
            <w:tcW w:w="3417" w:type="dxa"/>
            <w:gridSpan w:val="4"/>
            <w:tcBorders>
              <w:top w:val="single" w:color="auto" w:sz="4" w:space="0"/>
              <w:left w:val="single" w:color="auto" w:sz="4" w:space="0"/>
              <w:bottom w:val="single" w:color="auto" w:sz="4" w:space="0"/>
              <w:right w:val="single" w:color="auto" w:sz="4" w:space="0"/>
            </w:tcBorders>
            <w:shd w:val="clear" w:color="auto" w:fill="auto"/>
          </w:tcPr>
          <w:p w14:paraId="7AA5BA3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3492" w:type="dxa"/>
            <w:gridSpan w:val="4"/>
            <w:tcBorders>
              <w:top w:val="single" w:color="auto" w:sz="4" w:space="0"/>
              <w:left w:val="nil"/>
              <w:bottom w:val="single" w:color="auto" w:sz="4" w:space="0"/>
              <w:right w:val="single" w:color="auto" w:sz="4" w:space="0"/>
            </w:tcBorders>
            <w:shd w:val="clear" w:color="auto" w:fill="auto"/>
          </w:tcPr>
          <w:p w14:paraId="014ADBF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全面完成丰都县南天湖环湖工程-景观工程项目开工建设。</w:t>
            </w:r>
          </w:p>
        </w:tc>
        <w:tc>
          <w:tcPr>
            <w:tcW w:w="2149" w:type="dxa"/>
            <w:gridSpan w:val="3"/>
            <w:tcBorders>
              <w:top w:val="single" w:color="auto" w:sz="4" w:space="0"/>
              <w:left w:val="nil"/>
              <w:bottom w:val="single" w:color="auto" w:sz="4" w:space="0"/>
              <w:right w:val="single" w:color="auto" w:sz="4" w:space="0"/>
            </w:tcBorders>
            <w:shd w:val="clear" w:color="auto" w:fill="auto"/>
          </w:tcPr>
          <w:p w14:paraId="49CF258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2020年为满足南天湖国家级旅游度假区创建要求，我委所属国有企业-丰都县旅游发展有限公司（以下简称</w:t>
            </w:r>
            <w:r>
              <w:rPr>
                <w:rFonts w:hint="eastAsia" w:cs="宋体"/>
                <w:color w:val="000000"/>
                <w:sz w:val="18"/>
                <w:szCs w:val="18"/>
                <w:lang w:eastAsia="zh-CN"/>
              </w:rPr>
              <w:t>“</w:t>
            </w:r>
            <w:r>
              <w:rPr>
                <w:rFonts w:cs="宋体"/>
                <w:color w:val="000000"/>
                <w:sz w:val="18"/>
                <w:szCs w:val="18"/>
              </w:rPr>
              <w:t>县旅发司</w:t>
            </w:r>
            <w:r>
              <w:rPr>
                <w:rFonts w:hint="eastAsia" w:cs="宋体"/>
                <w:color w:val="000000"/>
                <w:sz w:val="18"/>
                <w:szCs w:val="18"/>
                <w:lang w:eastAsia="zh-CN"/>
              </w:rPr>
              <w:t>”</w:t>
            </w:r>
            <w:r>
              <w:rPr>
                <w:rFonts w:cs="宋体"/>
                <w:color w:val="000000"/>
                <w:sz w:val="18"/>
                <w:szCs w:val="18"/>
              </w:rPr>
              <w:t>）实施丰都县南天湖环湖工程-景观工程项目，该项目已于2022年完工验收并已投入使用。2023年12月支付丰都县旅游发展有限公司8540万元，用于丰都县南天湖环湖工程-景观工程项目工程款</w:t>
            </w:r>
          </w:p>
        </w:tc>
      </w:tr>
      <w:tr w14:paraId="2081D513">
        <w:tblPrEx>
          <w:tblCellMar>
            <w:top w:w="0" w:type="dxa"/>
            <w:left w:w="108" w:type="dxa"/>
            <w:bottom w:w="0" w:type="dxa"/>
            <w:right w:w="108" w:type="dxa"/>
          </w:tblCellMar>
        </w:tblPrEx>
        <w:trPr>
          <w:cantSplit/>
          <w:trHeight w:val="600" w:hRule="atLeast"/>
          <w:jc w:val="center"/>
        </w:trPr>
        <w:tc>
          <w:tcPr>
            <w:tcW w:w="905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A8E6F6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ascii="微软雅黑" w:hAnsi="微软雅黑" w:eastAsia="微软雅黑" w:cs="宋体"/>
                <w:b/>
                <w:bCs/>
                <w:color w:val="000000"/>
                <w:sz w:val="18"/>
                <w:szCs w:val="18"/>
              </w:rPr>
            </w:pPr>
            <w:r>
              <w:rPr>
                <w:rFonts w:ascii="微软雅黑" w:hAnsi="微软雅黑" w:eastAsia="微软雅黑" w:cs="宋体"/>
                <w:b/>
                <w:bCs/>
                <w:color w:val="000000"/>
                <w:sz w:val="18"/>
                <w:szCs w:val="18"/>
              </w:rPr>
              <w:t>绩效指标</w:t>
            </w:r>
          </w:p>
        </w:tc>
      </w:tr>
      <w:tr w14:paraId="584271C6">
        <w:tblPrEx>
          <w:tblCellMar>
            <w:top w:w="0" w:type="dxa"/>
            <w:left w:w="108" w:type="dxa"/>
            <w:bottom w:w="0" w:type="dxa"/>
            <w:right w:w="108" w:type="dxa"/>
          </w:tblCellMar>
        </w:tblPrEx>
        <w:trPr>
          <w:cantSplit/>
          <w:trHeight w:val="499"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292BE43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指标名称</w:t>
            </w:r>
          </w:p>
        </w:tc>
        <w:tc>
          <w:tcPr>
            <w:tcW w:w="516" w:type="dxa"/>
            <w:tcBorders>
              <w:top w:val="nil"/>
              <w:left w:val="nil"/>
              <w:bottom w:val="single" w:color="auto" w:sz="4" w:space="0"/>
              <w:right w:val="single" w:color="auto" w:sz="4" w:space="0"/>
            </w:tcBorders>
            <w:shd w:val="clear" w:color="auto" w:fill="auto"/>
            <w:vAlign w:val="center"/>
          </w:tcPr>
          <w:p w14:paraId="09820C3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计量单位</w:t>
            </w:r>
          </w:p>
        </w:tc>
        <w:tc>
          <w:tcPr>
            <w:tcW w:w="513" w:type="dxa"/>
            <w:tcBorders>
              <w:top w:val="nil"/>
              <w:left w:val="nil"/>
              <w:bottom w:val="single" w:color="auto" w:sz="4" w:space="0"/>
              <w:right w:val="single" w:color="auto" w:sz="4" w:space="0"/>
            </w:tcBorders>
            <w:shd w:val="clear" w:color="auto" w:fill="auto"/>
            <w:vAlign w:val="center"/>
          </w:tcPr>
          <w:p w14:paraId="569C022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指标性质</w:t>
            </w:r>
          </w:p>
        </w:tc>
        <w:tc>
          <w:tcPr>
            <w:tcW w:w="758" w:type="dxa"/>
            <w:tcBorders>
              <w:top w:val="nil"/>
              <w:left w:val="nil"/>
              <w:bottom w:val="single" w:color="auto" w:sz="4" w:space="0"/>
              <w:right w:val="single" w:color="auto" w:sz="4" w:space="0"/>
            </w:tcBorders>
            <w:shd w:val="clear" w:color="auto" w:fill="auto"/>
            <w:vAlign w:val="center"/>
          </w:tcPr>
          <w:p w14:paraId="269F50C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指标值</w:t>
            </w:r>
          </w:p>
        </w:tc>
        <w:tc>
          <w:tcPr>
            <w:tcW w:w="1033" w:type="dxa"/>
            <w:tcBorders>
              <w:top w:val="nil"/>
              <w:left w:val="nil"/>
              <w:bottom w:val="single" w:color="auto" w:sz="4" w:space="0"/>
              <w:right w:val="single" w:color="auto" w:sz="4" w:space="0"/>
            </w:tcBorders>
            <w:shd w:val="clear" w:color="auto" w:fill="auto"/>
            <w:vAlign w:val="center"/>
          </w:tcPr>
          <w:p w14:paraId="55D116A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全年完成值</w:t>
            </w:r>
          </w:p>
        </w:tc>
        <w:tc>
          <w:tcPr>
            <w:tcW w:w="1073" w:type="dxa"/>
            <w:tcBorders>
              <w:top w:val="nil"/>
              <w:left w:val="nil"/>
              <w:bottom w:val="single" w:color="auto" w:sz="4" w:space="0"/>
              <w:right w:val="single" w:color="auto" w:sz="4" w:space="0"/>
            </w:tcBorders>
            <w:shd w:val="clear" w:color="auto" w:fill="auto"/>
            <w:vAlign w:val="center"/>
          </w:tcPr>
          <w:p w14:paraId="2DA92A9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偏离度（%）</w:t>
            </w:r>
          </w:p>
        </w:tc>
        <w:tc>
          <w:tcPr>
            <w:tcW w:w="832" w:type="dxa"/>
            <w:tcBorders>
              <w:top w:val="nil"/>
              <w:left w:val="nil"/>
              <w:bottom w:val="single" w:color="auto" w:sz="4" w:space="0"/>
              <w:right w:val="single" w:color="auto" w:sz="4" w:space="0"/>
            </w:tcBorders>
            <w:shd w:val="clear" w:color="auto" w:fill="auto"/>
            <w:vAlign w:val="center"/>
          </w:tcPr>
          <w:p w14:paraId="77CFFDA1">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得分系数（%）</w:t>
            </w:r>
          </w:p>
        </w:tc>
        <w:tc>
          <w:tcPr>
            <w:tcW w:w="554" w:type="dxa"/>
            <w:tcBorders>
              <w:top w:val="nil"/>
              <w:left w:val="nil"/>
              <w:bottom w:val="single" w:color="auto" w:sz="4" w:space="0"/>
              <w:right w:val="single" w:color="auto" w:sz="4" w:space="0"/>
            </w:tcBorders>
            <w:shd w:val="clear" w:color="auto" w:fill="auto"/>
            <w:vAlign w:val="center"/>
          </w:tcPr>
          <w:p w14:paraId="59FE323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指标权重</w:t>
            </w:r>
          </w:p>
        </w:tc>
        <w:tc>
          <w:tcPr>
            <w:tcW w:w="580" w:type="dxa"/>
            <w:tcBorders>
              <w:top w:val="nil"/>
              <w:left w:val="nil"/>
              <w:bottom w:val="single" w:color="auto" w:sz="4" w:space="0"/>
              <w:right w:val="single" w:color="auto" w:sz="4" w:space="0"/>
            </w:tcBorders>
            <w:shd w:val="clear" w:color="auto" w:fill="auto"/>
            <w:vAlign w:val="center"/>
          </w:tcPr>
          <w:p w14:paraId="3383CF0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指标得分</w:t>
            </w:r>
          </w:p>
        </w:tc>
        <w:tc>
          <w:tcPr>
            <w:tcW w:w="709" w:type="dxa"/>
            <w:tcBorders>
              <w:top w:val="nil"/>
              <w:left w:val="nil"/>
              <w:bottom w:val="single" w:color="auto" w:sz="4" w:space="0"/>
              <w:right w:val="single" w:color="auto" w:sz="4" w:space="0"/>
            </w:tcBorders>
            <w:shd w:val="clear" w:color="auto" w:fill="auto"/>
            <w:vAlign w:val="center"/>
          </w:tcPr>
          <w:p w14:paraId="324ABF1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是否核心指标</w:t>
            </w:r>
          </w:p>
        </w:tc>
        <w:tc>
          <w:tcPr>
            <w:tcW w:w="860" w:type="dxa"/>
            <w:tcBorders>
              <w:top w:val="nil"/>
              <w:left w:val="nil"/>
              <w:bottom w:val="single" w:color="auto" w:sz="4" w:space="0"/>
              <w:right w:val="single" w:color="auto" w:sz="4" w:space="0"/>
            </w:tcBorders>
            <w:shd w:val="clear" w:color="auto" w:fill="auto"/>
            <w:vAlign w:val="center"/>
          </w:tcPr>
          <w:p w14:paraId="3A057F6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b/>
                <w:bCs/>
                <w:color w:val="000000"/>
                <w:sz w:val="18"/>
                <w:szCs w:val="18"/>
              </w:rPr>
            </w:pPr>
            <w:r>
              <w:rPr>
                <w:rFonts w:cs="宋体"/>
                <w:b/>
                <w:bCs/>
                <w:color w:val="000000"/>
                <w:sz w:val="18"/>
                <w:szCs w:val="18"/>
              </w:rPr>
              <w:t>说明</w:t>
            </w:r>
          </w:p>
        </w:tc>
      </w:tr>
      <w:tr w14:paraId="3C3EAB02">
        <w:tblPrEx>
          <w:tblCellMar>
            <w:top w:w="0" w:type="dxa"/>
            <w:left w:w="108" w:type="dxa"/>
            <w:bottom w:w="0" w:type="dxa"/>
            <w:right w:w="108" w:type="dxa"/>
          </w:tblCellMar>
        </w:tblPrEx>
        <w:trPr>
          <w:cantSplit/>
          <w:trHeight w:val="900"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4B5FE2D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丰都县南天湖环湖工程-景观工程项目总投资</w:t>
            </w:r>
          </w:p>
        </w:tc>
        <w:tc>
          <w:tcPr>
            <w:tcW w:w="516" w:type="dxa"/>
            <w:tcBorders>
              <w:top w:val="nil"/>
              <w:left w:val="nil"/>
              <w:bottom w:val="single" w:color="auto" w:sz="4" w:space="0"/>
              <w:right w:val="single" w:color="auto" w:sz="4" w:space="0"/>
            </w:tcBorders>
            <w:shd w:val="clear" w:color="auto" w:fill="auto"/>
            <w:vAlign w:val="center"/>
          </w:tcPr>
          <w:p w14:paraId="5999035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万元</w:t>
            </w:r>
          </w:p>
        </w:tc>
        <w:tc>
          <w:tcPr>
            <w:tcW w:w="513" w:type="dxa"/>
            <w:tcBorders>
              <w:top w:val="nil"/>
              <w:left w:val="nil"/>
              <w:bottom w:val="single" w:color="auto" w:sz="4" w:space="0"/>
              <w:right w:val="single" w:color="auto" w:sz="4" w:space="0"/>
            </w:tcBorders>
            <w:shd w:val="clear" w:color="auto" w:fill="auto"/>
            <w:vAlign w:val="center"/>
          </w:tcPr>
          <w:p w14:paraId="0DB3D72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758" w:type="dxa"/>
            <w:tcBorders>
              <w:top w:val="nil"/>
              <w:left w:val="nil"/>
              <w:bottom w:val="single" w:color="auto" w:sz="4" w:space="0"/>
              <w:right w:val="single" w:color="auto" w:sz="4" w:space="0"/>
            </w:tcBorders>
            <w:shd w:val="clear" w:color="auto" w:fill="auto"/>
            <w:vAlign w:val="center"/>
          </w:tcPr>
          <w:p w14:paraId="3F57734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8540</w:t>
            </w:r>
          </w:p>
        </w:tc>
        <w:tc>
          <w:tcPr>
            <w:tcW w:w="1033" w:type="dxa"/>
            <w:tcBorders>
              <w:top w:val="nil"/>
              <w:left w:val="nil"/>
              <w:bottom w:val="single" w:color="auto" w:sz="4" w:space="0"/>
              <w:right w:val="single" w:color="auto" w:sz="4" w:space="0"/>
            </w:tcBorders>
            <w:shd w:val="clear" w:color="auto" w:fill="auto"/>
            <w:vAlign w:val="center"/>
          </w:tcPr>
          <w:p w14:paraId="7B141CE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8540</w:t>
            </w:r>
          </w:p>
        </w:tc>
        <w:tc>
          <w:tcPr>
            <w:tcW w:w="1073" w:type="dxa"/>
            <w:tcBorders>
              <w:top w:val="nil"/>
              <w:left w:val="nil"/>
              <w:bottom w:val="single" w:color="auto" w:sz="4" w:space="0"/>
              <w:right w:val="single" w:color="auto" w:sz="4" w:space="0"/>
            </w:tcBorders>
            <w:shd w:val="clear" w:color="auto" w:fill="auto"/>
            <w:vAlign w:val="center"/>
          </w:tcPr>
          <w:p w14:paraId="5E8544E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0</w:t>
            </w:r>
          </w:p>
        </w:tc>
        <w:tc>
          <w:tcPr>
            <w:tcW w:w="832" w:type="dxa"/>
            <w:tcBorders>
              <w:top w:val="nil"/>
              <w:left w:val="nil"/>
              <w:bottom w:val="single" w:color="auto" w:sz="4" w:space="0"/>
              <w:right w:val="single" w:color="auto" w:sz="4" w:space="0"/>
            </w:tcBorders>
            <w:shd w:val="clear" w:color="auto" w:fill="auto"/>
            <w:vAlign w:val="center"/>
          </w:tcPr>
          <w:p w14:paraId="7E76293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554" w:type="dxa"/>
            <w:tcBorders>
              <w:top w:val="nil"/>
              <w:left w:val="nil"/>
              <w:bottom w:val="single" w:color="auto" w:sz="4" w:space="0"/>
              <w:right w:val="single" w:color="auto" w:sz="4" w:space="0"/>
            </w:tcBorders>
            <w:shd w:val="clear" w:color="auto" w:fill="auto"/>
            <w:vAlign w:val="center"/>
          </w:tcPr>
          <w:p w14:paraId="03D5834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15</w:t>
            </w:r>
          </w:p>
        </w:tc>
        <w:tc>
          <w:tcPr>
            <w:tcW w:w="580" w:type="dxa"/>
            <w:tcBorders>
              <w:top w:val="nil"/>
              <w:left w:val="nil"/>
              <w:bottom w:val="single" w:color="auto" w:sz="4" w:space="0"/>
              <w:right w:val="single" w:color="auto" w:sz="4" w:space="0"/>
            </w:tcBorders>
            <w:shd w:val="clear" w:color="auto" w:fill="auto"/>
            <w:vAlign w:val="center"/>
          </w:tcPr>
          <w:p w14:paraId="7AC1AA6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0712C07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860" w:type="dxa"/>
            <w:tcBorders>
              <w:top w:val="nil"/>
              <w:left w:val="nil"/>
              <w:bottom w:val="single" w:color="auto" w:sz="4" w:space="0"/>
              <w:right w:val="single" w:color="auto" w:sz="4" w:space="0"/>
            </w:tcBorders>
            <w:shd w:val="clear" w:color="auto" w:fill="auto"/>
            <w:vAlign w:val="center"/>
          </w:tcPr>
          <w:p w14:paraId="2502826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r>
      <w:tr w14:paraId="03869F1D">
        <w:tblPrEx>
          <w:tblCellMar>
            <w:top w:w="0" w:type="dxa"/>
            <w:left w:w="108" w:type="dxa"/>
            <w:bottom w:w="0" w:type="dxa"/>
            <w:right w:w="108" w:type="dxa"/>
          </w:tblCellMar>
        </w:tblPrEx>
        <w:trPr>
          <w:cantSplit/>
          <w:trHeight w:val="450"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78AC284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xml:space="preserve"> </w:t>
            </w:r>
            <w:r>
              <w:rPr>
                <w:rFonts w:cs="宋体"/>
                <w:color w:val="000000"/>
                <w:sz w:val="18"/>
                <w:szCs w:val="18"/>
              </w:rPr>
              <w:br w:type="textWrapping"/>
            </w:r>
            <w:r>
              <w:rPr>
                <w:rFonts w:cs="宋体"/>
                <w:color w:val="000000"/>
                <w:sz w:val="18"/>
                <w:szCs w:val="18"/>
              </w:rPr>
              <w:t>验收合格率</w:t>
            </w:r>
          </w:p>
        </w:tc>
        <w:tc>
          <w:tcPr>
            <w:tcW w:w="516" w:type="dxa"/>
            <w:tcBorders>
              <w:top w:val="nil"/>
              <w:left w:val="nil"/>
              <w:bottom w:val="single" w:color="auto" w:sz="4" w:space="0"/>
              <w:right w:val="single" w:color="auto" w:sz="4" w:space="0"/>
            </w:tcBorders>
            <w:shd w:val="clear" w:color="auto" w:fill="auto"/>
            <w:vAlign w:val="center"/>
          </w:tcPr>
          <w:p w14:paraId="2AF7AD9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4BE81E3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758" w:type="dxa"/>
            <w:tcBorders>
              <w:top w:val="nil"/>
              <w:left w:val="nil"/>
              <w:bottom w:val="single" w:color="auto" w:sz="4" w:space="0"/>
              <w:right w:val="single" w:color="auto" w:sz="4" w:space="0"/>
            </w:tcBorders>
            <w:shd w:val="clear" w:color="auto" w:fill="auto"/>
            <w:vAlign w:val="center"/>
          </w:tcPr>
          <w:p w14:paraId="27054E8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1033" w:type="dxa"/>
            <w:tcBorders>
              <w:top w:val="nil"/>
              <w:left w:val="nil"/>
              <w:bottom w:val="single" w:color="auto" w:sz="4" w:space="0"/>
              <w:right w:val="single" w:color="auto" w:sz="4" w:space="0"/>
            </w:tcBorders>
            <w:shd w:val="clear" w:color="auto" w:fill="auto"/>
            <w:vAlign w:val="center"/>
          </w:tcPr>
          <w:p w14:paraId="03EE1E9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1073" w:type="dxa"/>
            <w:tcBorders>
              <w:top w:val="nil"/>
              <w:left w:val="nil"/>
              <w:bottom w:val="single" w:color="auto" w:sz="4" w:space="0"/>
              <w:right w:val="single" w:color="auto" w:sz="4" w:space="0"/>
            </w:tcBorders>
            <w:shd w:val="clear" w:color="auto" w:fill="auto"/>
            <w:vAlign w:val="center"/>
          </w:tcPr>
          <w:p w14:paraId="4F9D845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0</w:t>
            </w:r>
          </w:p>
        </w:tc>
        <w:tc>
          <w:tcPr>
            <w:tcW w:w="832" w:type="dxa"/>
            <w:tcBorders>
              <w:top w:val="nil"/>
              <w:left w:val="nil"/>
              <w:bottom w:val="single" w:color="auto" w:sz="4" w:space="0"/>
              <w:right w:val="single" w:color="auto" w:sz="4" w:space="0"/>
            </w:tcBorders>
            <w:shd w:val="clear" w:color="auto" w:fill="auto"/>
            <w:vAlign w:val="center"/>
          </w:tcPr>
          <w:p w14:paraId="4554423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554" w:type="dxa"/>
            <w:tcBorders>
              <w:top w:val="nil"/>
              <w:left w:val="nil"/>
              <w:bottom w:val="single" w:color="auto" w:sz="4" w:space="0"/>
              <w:right w:val="single" w:color="auto" w:sz="4" w:space="0"/>
            </w:tcBorders>
            <w:shd w:val="clear" w:color="auto" w:fill="auto"/>
            <w:vAlign w:val="center"/>
          </w:tcPr>
          <w:p w14:paraId="7BF4416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15</w:t>
            </w:r>
          </w:p>
        </w:tc>
        <w:tc>
          <w:tcPr>
            <w:tcW w:w="580" w:type="dxa"/>
            <w:tcBorders>
              <w:top w:val="nil"/>
              <w:left w:val="nil"/>
              <w:bottom w:val="single" w:color="auto" w:sz="4" w:space="0"/>
              <w:right w:val="single" w:color="auto" w:sz="4" w:space="0"/>
            </w:tcBorders>
            <w:shd w:val="clear" w:color="auto" w:fill="auto"/>
            <w:vAlign w:val="center"/>
          </w:tcPr>
          <w:p w14:paraId="092E21A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15</w:t>
            </w:r>
          </w:p>
        </w:tc>
        <w:tc>
          <w:tcPr>
            <w:tcW w:w="709" w:type="dxa"/>
            <w:tcBorders>
              <w:top w:val="nil"/>
              <w:left w:val="nil"/>
              <w:bottom w:val="single" w:color="auto" w:sz="4" w:space="0"/>
              <w:right w:val="single" w:color="auto" w:sz="4" w:space="0"/>
            </w:tcBorders>
            <w:shd w:val="clear" w:color="auto" w:fill="auto"/>
            <w:vAlign w:val="center"/>
          </w:tcPr>
          <w:p w14:paraId="52C1555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860" w:type="dxa"/>
            <w:tcBorders>
              <w:top w:val="nil"/>
              <w:left w:val="nil"/>
              <w:bottom w:val="single" w:color="auto" w:sz="4" w:space="0"/>
              <w:right w:val="single" w:color="auto" w:sz="4" w:space="0"/>
            </w:tcBorders>
            <w:shd w:val="clear" w:color="auto" w:fill="auto"/>
            <w:vAlign w:val="center"/>
          </w:tcPr>
          <w:p w14:paraId="3A6C04D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r>
      <w:tr w14:paraId="1A2E7B25">
        <w:tblPrEx>
          <w:tblCellMar>
            <w:top w:w="0" w:type="dxa"/>
            <w:left w:w="108" w:type="dxa"/>
            <w:bottom w:w="0" w:type="dxa"/>
            <w:right w:w="108" w:type="dxa"/>
          </w:tblCellMar>
        </w:tblPrEx>
        <w:trPr>
          <w:cantSplit/>
          <w:trHeight w:val="499" w:hRule="atLeast"/>
          <w:jc w:val="center"/>
        </w:trPr>
        <w:tc>
          <w:tcPr>
            <w:tcW w:w="1630" w:type="dxa"/>
            <w:tcBorders>
              <w:top w:val="nil"/>
              <w:left w:val="nil"/>
              <w:bottom w:val="nil"/>
              <w:right w:val="nil"/>
            </w:tcBorders>
            <w:shd w:val="clear" w:color="auto" w:fill="auto"/>
            <w:noWrap/>
            <w:vAlign w:val="center"/>
          </w:tcPr>
          <w:p w14:paraId="3C863E3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20"/>
                <w:szCs w:val="20"/>
              </w:rPr>
            </w:pPr>
            <w:r>
              <w:rPr>
                <w:rFonts w:cs="宋体"/>
                <w:color w:val="000000"/>
                <w:sz w:val="20"/>
                <w:szCs w:val="20"/>
              </w:rPr>
              <w:t>完工期限</w:t>
            </w:r>
          </w:p>
        </w:tc>
        <w:tc>
          <w:tcPr>
            <w:tcW w:w="516" w:type="dxa"/>
            <w:tcBorders>
              <w:top w:val="nil"/>
              <w:left w:val="single" w:color="auto" w:sz="4" w:space="0"/>
              <w:bottom w:val="single" w:color="auto" w:sz="4" w:space="0"/>
              <w:right w:val="single" w:color="auto" w:sz="4" w:space="0"/>
            </w:tcBorders>
            <w:shd w:val="clear" w:color="auto" w:fill="auto"/>
            <w:vAlign w:val="center"/>
          </w:tcPr>
          <w:p w14:paraId="5F8FDB5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年</w:t>
            </w:r>
          </w:p>
        </w:tc>
        <w:tc>
          <w:tcPr>
            <w:tcW w:w="513" w:type="dxa"/>
            <w:tcBorders>
              <w:top w:val="nil"/>
              <w:left w:val="nil"/>
              <w:bottom w:val="single" w:color="auto" w:sz="4" w:space="0"/>
              <w:right w:val="single" w:color="auto" w:sz="4" w:space="0"/>
            </w:tcBorders>
            <w:shd w:val="clear" w:color="auto" w:fill="auto"/>
            <w:vAlign w:val="center"/>
          </w:tcPr>
          <w:p w14:paraId="4CC2FB0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758" w:type="dxa"/>
            <w:tcBorders>
              <w:top w:val="nil"/>
              <w:left w:val="nil"/>
              <w:bottom w:val="single" w:color="auto" w:sz="4" w:space="0"/>
              <w:right w:val="single" w:color="auto" w:sz="4" w:space="0"/>
            </w:tcBorders>
            <w:shd w:val="clear" w:color="auto" w:fill="auto"/>
            <w:vAlign w:val="center"/>
          </w:tcPr>
          <w:p w14:paraId="2C774A2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2023</w:t>
            </w:r>
          </w:p>
        </w:tc>
        <w:tc>
          <w:tcPr>
            <w:tcW w:w="1033" w:type="dxa"/>
            <w:tcBorders>
              <w:top w:val="nil"/>
              <w:left w:val="nil"/>
              <w:bottom w:val="single" w:color="auto" w:sz="4" w:space="0"/>
              <w:right w:val="single" w:color="auto" w:sz="4" w:space="0"/>
            </w:tcBorders>
            <w:shd w:val="clear" w:color="auto" w:fill="auto"/>
            <w:vAlign w:val="center"/>
          </w:tcPr>
          <w:p w14:paraId="71D779D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2023</w:t>
            </w:r>
          </w:p>
        </w:tc>
        <w:tc>
          <w:tcPr>
            <w:tcW w:w="1073" w:type="dxa"/>
            <w:tcBorders>
              <w:top w:val="nil"/>
              <w:left w:val="nil"/>
              <w:bottom w:val="single" w:color="auto" w:sz="4" w:space="0"/>
              <w:right w:val="single" w:color="auto" w:sz="4" w:space="0"/>
            </w:tcBorders>
            <w:shd w:val="clear" w:color="auto" w:fill="auto"/>
            <w:vAlign w:val="center"/>
          </w:tcPr>
          <w:p w14:paraId="15E19BA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0</w:t>
            </w:r>
          </w:p>
        </w:tc>
        <w:tc>
          <w:tcPr>
            <w:tcW w:w="832" w:type="dxa"/>
            <w:tcBorders>
              <w:top w:val="nil"/>
              <w:left w:val="nil"/>
              <w:bottom w:val="single" w:color="auto" w:sz="4" w:space="0"/>
              <w:right w:val="single" w:color="auto" w:sz="4" w:space="0"/>
            </w:tcBorders>
            <w:shd w:val="clear" w:color="auto" w:fill="auto"/>
            <w:vAlign w:val="center"/>
          </w:tcPr>
          <w:p w14:paraId="74B8A6E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554" w:type="dxa"/>
            <w:tcBorders>
              <w:top w:val="nil"/>
              <w:left w:val="nil"/>
              <w:bottom w:val="single" w:color="auto" w:sz="4" w:space="0"/>
              <w:right w:val="single" w:color="auto" w:sz="4" w:space="0"/>
            </w:tcBorders>
            <w:shd w:val="clear" w:color="auto" w:fill="auto"/>
            <w:vAlign w:val="center"/>
          </w:tcPr>
          <w:p w14:paraId="67BAF09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20</w:t>
            </w:r>
          </w:p>
        </w:tc>
        <w:tc>
          <w:tcPr>
            <w:tcW w:w="580" w:type="dxa"/>
            <w:tcBorders>
              <w:top w:val="nil"/>
              <w:left w:val="nil"/>
              <w:bottom w:val="single" w:color="auto" w:sz="4" w:space="0"/>
              <w:right w:val="single" w:color="auto" w:sz="4" w:space="0"/>
            </w:tcBorders>
            <w:shd w:val="clear" w:color="auto" w:fill="auto"/>
            <w:vAlign w:val="center"/>
          </w:tcPr>
          <w:p w14:paraId="5C3C04C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20</w:t>
            </w:r>
          </w:p>
        </w:tc>
        <w:tc>
          <w:tcPr>
            <w:tcW w:w="709" w:type="dxa"/>
            <w:tcBorders>
              <w:top w:val="nil"/>
              <w:left w:val="nil"/>
              <w:bottom w:val="single" w:color="auto" w:sz="4" w:space="0"/>
              <w:right w:val="single" w:color="auto" w:sz="4" w:space="0"/>
            </w:tcBorders>
            <w:shd w:val="clear" w:color="auto" w:fill="auto"/>
            <w:vAlign w:val="center"/>
          </w:tcPr>
          <w:p w14:paraId="362B1AB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860" w:type="dxa"/>
            <w:tcBorders>
              <w:top w:val="nil"/>
              <w:left w:val="nil"/>
              <w:bottom w:val="single" w:color="auto" w:sz="4" w:space="0"/>
              <w:right w:val="single" w:color="auto" w:sz="4" w:space="0"/>
            </w:tcBorders>
            <w:shd w:val="clear" w:color="auto" w:fill="auto"/>
            <w:vAlign w:val="center"/>
          </w:tcPr>
          <w:p w14:paraId="3EFAAB3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r>
      <w:tr w14:paraId="464850F4">
        <w:tblPrEx>
          <w:tblCellMar>
            <w:top w:w="0" w:type="dxa"/>
            <w:left w:w="108" w:type="dxa"/>
            <w:bottom w:w="0" w:type="dxa"/>
            <w:right w:w="108" w:type="dxa"/>
          </w:tblCellMar>
        </w:tblPrEx>
        <w:trPr>
          <w:cantSplit/>
          <w:trHeight w:val="499"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6B245E4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产生经济值</w:t>
            </w:r>
          </w:p>
        </w:tc>
        <w:tc>
          <w:tcPr>
            <w:tcW w:w="516" w:type="dxa"/>
            <w:tcBorders>
              <w:top w:val="nil"/>
              <w:left w:val="nil"/>
              <w:bottom w:val="single" w:color="auto" w:sz="4" w:space="0"/>
              <w:right w:val="single" w:color="auto" w:sz="4" w:space="0"/>
            </w:tcBorders>
            <w:shd w:val="clear" w:color="auto" w:fill="auto"/>
            <w:vAlign w:val="center"/>
          </w:tcPr>
          <w:p w14:paraId="26B4A33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38F24FD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758" w:type="dxa"/>
            <w:tcBorders>
              <w:top w:val="nil"/>
              <w:left w:val="nil"/>
              <w:bottom w:val="single" w:color="auto" w:sz="4" w:space="0"/>
              <w:right w:val="single" w:color="auto" w:sz="4" w:space="0"/>
            </w:tcBorders>
            <w:shd w:val="clear" w:color="auto" w:fill="auto"/>
            <w:vAlign w:val="center"/>
          </w:tcPr>
          <w:p w14:paraId="1797A01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90</w:t>
            </w:r>
          </w:p>
        </w:tc>
        <w:tc>
          <w:tcPr>
            <w:tcW w:w="1033" w:type="dxa"/>
            <w:tcBorders>
              <w:top w:val="nil"/>
              <w:left w:val="nil"/>
              <w:bottom w:val="single" w:color="auto" w:sz="4" w:space="0"/>
              <w:right w:val="single" w:color="auto" w:sz="4" w:space="0"/>
            </w:tcBorders>
            <w:shd w:val="clear" w:color="auto" w:fill="auto"/>
            <w:vAlign w:val="center"/>
          </w:tcPr>
          <w:p w14:paraId="230C43B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90</w:t>
            </w:r>
          </w:p>
        </w:tc>
        <w:tc>
          <w:tcPr>
            <w:tcW w:w="1073" w:type="dxa"/>
            <w:tcBorders>
              <w:top w:val="nil"/>
              <w:left w:val="nil"/>
              <w:bottom w:val="single" w:color="auto" w:sz="4" w:space="0"/>
              <w:right w:val="single" w:color="auto" w:sz="4" w:space="0"/>
            </w:tcBorders>
            <w:shd w:val="clear" w:color="auto" w:fill="auto"/>
            <w:vAlign w:val="center"/>
          </w:tcPr>
          <w:p w14:paraId="24D13F2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0</w:t>
            </w:r>
          </w:p>
        </w:tc>
        <w:tc>
          <w:tcPr>
            <w:tcW w:w="832" w:type="dxa"/>
            <w:tcBorders>
              <w:top w:val="nil"/>
              <w:left w:val="nil"/>
              <w:bottom w:val="single" w:color="auto" w:sz="4" w:space="0"/>
              <w:right w:val="single" w:color="auto" w:sz="4" w:space="0"/>
            </w:tcBorders>
            <w:shd w:val="clear" w:color="auto" w:fill="auto"/>
            <w:vAlign w:val="center"/>
          </w:tcPr>
          <w:p w14:paraId="181D73F1">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554" w:type="dxa"/>
            <w:tcBorders>
              <w:top w:val="nil"/>
              <w:left w:val="nil"/>
              <w:bottom w:val="single" w:color="auto" w:sz="4" w:space="0"/>
              <w:right w:val="single" w:color="auto" w:sz="4" w:space="0"/>
            </w:tcBorders>
            <w:shd w:val="clear" w:color="auto" w:fill="auto"/>
            <w:vAlign w:val="center"/>
          </w:tcPr>
          <w:p w14:paraId="4B90DE2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20</w:t>
            </w:r>
          </w:p>
        </w:tc>
        <w:tc>
          <w:tcPr>
            <w:tcW w:w="580" w:type="dxa"/>
            <w:tcBorders>
              <w:top w:val="nil"/>
              <w:left w:val="nil"/>
              <w:bottom w:val="single" w:color="auto" w:sz="4" w:space="0"/>
              <w:right w:val="single" w:color="auto" w:sz="4" w:space="0"/>
            </w:tcBorders>
            <w:shd w:val="clear" w:color="auto" w:fill="auto"/>
            <w:vAlign w:val="center"/>
          </w:tcPr>
          <w:p w14:paraId="40D71F8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20</w:t>
            </w:r>
          </w:p>
        </w:tc>
        <w:tc>
          <w:tcPr>
            <w:tcW w:w="709" w:type="dxa"/>
            <w:tcBorders>
              <w:top w:val="nil"/>
              <w:left w:val="nil"/>
              <w:bottom w:val="single" w:color="auto" w:sz="4" w:space="0"/>
              <w:right w:val="single" w:color="auto" w:sz="4" w:space="0"/>
            </w:tcBorders>
            <w:shd w:val="clear" w:color="auto" w:fill="auto"/>
            <w:vAlign w:val="center"/>
          </w:tcPr>
          <w:p w14:paraId="5B71C57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860" w:type="dxa"/>
            <w:tcBorders>
              <w:top w:val="nil"/>
              <w:left w:val="nil"/>
              <w:bottom w:val="single" w:color="auto" w:sz="4" w:space="0"/>
              <w:right w:val="single" w:color="auto" w:sz="4" w:space="0"/>
            </w:tcBorders>
            <w:shd w:val="clear" w:color="auto" w:fill="auto"/>
            <w:vAlign w:val="center"/>
          </w:tcPr>
          <w:p w14:paraId="7F7882A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r>
      <w:tr w14:paraId="68A8AB36">
        <w:tblPrEx>
          <w:tblCellMar>
            <w:top w:w="0" w:type="dxa"/>
            <w:left w:w="108" w:type="dxa"/>
            <w:bottom w:w="0" w:type="dxa"/>
            <w:right w:w="108" w:type="dxa"/>
          </w:tblCellMar>
        </w:tblPrEx>
        <w:trPr>
          <w:cantSplit/>
          <w:trHeight w:val="499"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3F06B95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社会公众或服务对象满意度</w:t>
            </w:r>
          </w:p>
        </w:tc>
        <w:tc>
          <w:tcPr>
            <w:tcW w:w="516" w:type="dxa"/>
            <w:tcBorders>
              <w:top w:val="nil"/>
              <w:left w:val="nil"/>
              <w:bottom w:val="single" w:color="auto" w:sz="4" w:space="0"/>
              <w:right w:val="single" w:color="auto" w:sz="4" w:space="0"/>
            </w:tcBorders>
            <w:shd w:val="clear" w:color="auto" w:fill="auto"/>
            <w:vAlign w:val="center"/>
          </w:tcPr>
          <w:p w14:paraId="57691E8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7CFE96F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758" w:type="dxa"/>
            <w:tcBorders>
              <w:top w:val="nil"/>
              <w:left w:val="nil"/>
              <w:bottom w:val="single" w:color="auto" w:sz="4" w:space="0"/>
              <w:right w:val="single" w:color="auto" w:sz="4" w:space="0"/>
            </w:tcBorders>
            <w:shd w:val="clear" w:color="auto" w:fill="auto"/>
            <w:vAlign w:val="center"/>
          </w:tcPr>
          <w:p w14:paraId="1D9ED31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90</w:t>
            </w:r>
          </w:p>
        </w:tc>
        <w:tc>
          <w:tcPr>
            <w:tcW w:w="1033" w:type="dxa"/>
            <w:tcBorders>
              <w:top w:val="nil"/>
              <w:left w:val="nil"/>
              <w:bottom w:val="single" w:color="auto" w:sz="4" w:space="0"/>
              <w:right w:val="single" w:color="auto" w:sz="4" w:space="0"/>
            </w:tcBorders>
            <w:shd w:val="clear" w:color="auto" w:fill="auto"/>
            <w:vAlign w:val="center"/>
          </w:tcPr>
          <w:p w14:paraId="0EAA196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90</w:t>
            </w:r>
          </w:p>
        </w:tc>
        <w:tc>
          <w:tcPr>
            <w:tcW w:w="1073" w:type="dxa"/>
            <w:tcBorders>
              <w:top w:val="nil"/>
              <w:left w:val="nil"/>
              <w:bottom w:val="single" w:color="auto" w:sz="4" w:space="0"/>
              <w:right w:val="single" w:color="auto" w:sz="4" w:space="0"/>
            </w:tcBorders>
            <w:shd w:val="clear" w:color="auto" w:fill="auto"/>
            <w:vAlign w:val="center"/>
          </w:tcPr>
          <w:p w14:paraId="24CF996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0</w:t>
            </w:r>
          </w:p>
        </w:tc>
        <w:tc>
          <w:tcPr>
            <w:tcW w:w="832" w:type="dxa"/>
            <w:tcBorders>
              <w:top w:val="nil"/>
              <w:left w:val="nil"/>
              <w:bottom w:val="single" w:color="auto" w:sz="4" w:space="0"/>
              <w:right w:val="single" w:color="auto" w:sz="4" w:space="0"/>
            </w:tcBorders>
            <w:shd w:val="clear" w:color="auto" w:fill="auto"/>
            <w:vAlign w:val="center"/>
          </w:tcPr>
          <w:p w14:paraId="43D5FD4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554" w:type="dxa"/>
            <w:tcBorders>
              <w:top w:val="nil"/>
              <w:left w:val="nil"/>
              <w:bottom w:val="single" w:color="auto" w:sz="4" w:space="0"/>
              <w:right w:val="single" w:color="auto" w:sz="4" w:space="0"/>
            </w:tcBorders>
            <w:shd w:val="clear" w:color="auto" w:fill="auto"/>
            <w:vAlign w:val="center"/>
          </w:tcPr>
          <w:p w14:paraId="2F81EB0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w:t>
            </w:r>
          </w:p>
        </w:tc>
        <w:tc>
          <w:tcPr>
            <w:tcW w:w="580" w:type="dxa"/>
            <w:tcBorders>
              <w:top w:val="nil"/>
              <w:left w:val="nil"/>
              <w:bottom w:val="single" w:color="auto" w:sz="4" w:space="0"/>
              <w:right w:val="single" w:color="auto" w:sz="4" w:space="0"/>
            </w:tcBorders>
            <w:shd w:val="clear" w:color="auto" w:fill="auto"/>
            <w:vAlign w:val="center"/>
          </w:tcPr>
          <w:p w14:paraId="728C2D25">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w:t>
            </w:r>
          </w:p>
        </w:tc>
        <w:tc>
          <w:tcPr>
            <w:tcW w:w="709" w:type="dxa"/>
            <w:tcBorders>
              <w:top w:val="nil"/>
              <w:left w:val="nil"/>
              <w:bottom w:val="single" w:color="auto" w:sz="4" w:space="0"/>
              <w:right w:val="single" w:color="auto" w:sz="4" w:space="0"/>
            </w:tcBorders>
            <w:shd w:val="clear" w:color="auto" w:fill="auto"/>
            <w:vAlign w:val="center"/>
          </w:tcPr>
          <w:p w14:paraId="3FD2E35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860" w:type="dxa"/>
            <w:tcBorders>
              <w:top w:val="nil"/>
              <w:left w:val="nil"/>
              <w:bottom w:val="single" w:color="auto" w:sz="4" w:space="0"/>
              <w:right w:val="single" w:color="auto" w:sz="4" w:space="0"/>
            </w:tcBorders>
            <w:shd w:val="clear" w:color="auto" w:fill="auto"/>
            <w:vAlign w:val="center"/>
          </w:tcPr>
          <w:p w14:paraId="34DC7B8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r>
      <w:tr w14:paraId="4ABA343F">
        <w:tblPrEx>
          <w:tblCellMar>
            <w:top w:w="0" w:type="dxa"/>
            <w:left w:w="108" w:type="dxa"/>
            <w:bottom w:w="0" w:type="dxa"/>
            <w:right w:w="108" w:type="dxa"/>
          </w:tblCellMar>
        </w:tblPrEx>
        <w:trPr>
          <w:cantSplit/>
          <w:trHeight w:val="360" w:hRule="atLeast"/>
          <w:jc w:val="center"/>
        </w:trPr>
        <w:tc>
          <w:tcPr>
            <w:tcW w:w="1630" w:type="dxa"/>
            <w:tcBorders>
              <w:top w:val="nil"/>
              <w:left w:val="single" w:color="auto" w:sz="4" w:space="0"/>
              <w:bottom w:val="single" w:color="auto" w:sz="4" w:space="0"/>
              <w:right w:val="single" w:color="auto" w:sz="4" w:space="0"/>
            </w:tcBorders>
            <w:shd w:val="clear" w:color="auto" w:fill="auto"/>
            <w:noWrap/>
            <w:vAlign w:val="center"/>
          </w:tcPr>
          <w:p w14:paraId="4DB2DAD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20"/>
                <w:szCs w:val="20"/>
              </w:rPr>
            </w:pPr>
            <w:r>
              <w:rPr>
                <w:rFonts w:cs="宋体"/>
                <w:color w:val="000000"/>
                <w:sz w:val="20"/>
                <w:szCs w:val="20"/>
              </w:rPr>
              <w:t>公共服务水平提升</w:t>
            </w:r>
          </w:p>
        </w:tc>
        <w:tc>
          <w:tcPr>
            <w:tcW w:w="516" w:type="dxa"/>
            <w:tcBorders>
              <w:top w:val="nil"/>
              <w:left w:val="nil"/>
              <w:bottom w:val="single" w:color="auto" w:sz="4" w:space="0"/>
              <w:right w:val="single" w:color="auto" w:sz="4" w:space="0"/>
            </w:tcBorders>
            <w:shd w:val="clear" w:color="auto" w:fill="auto"/>
            <w:vAlign w:val="center"/>
          </w:tcPr>
          <w:p w14:paraId="34EB950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2DFAFB2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w:t>
            </w:r>
          </w:p>
        </w:tc>
        <w:tc>
          <w:tcPr>
            <w:tcW w:w="758" w:type="dxa"/>
            <w:tcBorders>
              <w:top w:val="nil"/>
              <w:left w:val="nil"/>
              <w:bottom w:val="single" w:color="auto" w:sz="4" w:space="0"/>
              <w:right w:val="single" w:color="auto" w:sz="4" w:space="0"/>
            </w:tcBorders>
            <w:shd w:val="clear" w:color="auto" w:fill="auto"/>
            <w:vAlign w:val="center"/>
          </w:tcPr>
          <w:p w14:paraId="354CD851">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1033" w:type="dxa"/>
            <w:tcBorders>
              <w:top w:val="nil"/>
              <w:left w:val="nil"/>
              <w:bottom w:val="single" w:color="auto" w:sz="4" w:space="0"/>
              <w:right w:val="single" w:color="auto" w:sz="4" w:space="0"/>
            </w:tcBorders>
            <w:shd w:val="clear" w:color="auto" w:fill="auto"/>
            <w:vAlign w:val="center"/>
          </w:tcPr>
          <w:p w14:paraId="5037807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1073" w:type="dxa"/>
            <w:tcBorders>
              <w:top w:val="nil"/>
              <w:left w:val="nil"/>
              <w:bottom w:val="single" w:color="auto" w:sz="4" w:space="0"/>
              <w:right w:val="single" w:color="auto" w:sz="4" w:space="0"/>
            </w:tcBorders>
            <w:shd w:val="clear" w:color="auto" w:fill="auto"/>
            <w:vAlign w:val="center"/>
          </w:tcPr>
          <w:p w14:paraId="19099BC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0</w:t>
            </w:r>
          </w:p>
        </w:tc>
        <w:tc>
          <w:tcPr>
            <w:tcW w:w="832" w:type="dxa"/>
            <w:tcBorders>
              <w:top w:val="nil"/>
              <w:left w:val="nil"/>
              <w:bottom w:val="single" w:color="auto" w:sz="4" w:space="0"/>
              <w:right w:val="single" w:color="auto" w:sz="4" w:space="0"/>
            </w:tcBorders>
            <w:shd w:val="clear" w:color="auto" w:fill="auto"/>
            <w:vAlign w:val="center"/>
          </w:tcPr>
          <w:p w14:paraId="4230743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100</w:t>
            </w:r>
          </w:p>
        </w:tc>
        <w:tc>
          <w:tcPr>
            <w:tcW w:w="554" w:type="dxa"/>
            <w:tcBorders>
              <w:top w:val="nil"/>
              <w:left w:val="nil"/>
              <w:bottom w:val="single" w:color="auto" w:sz="4" w:space="0"/>
              <w:right w:val="single" w:color="auto" w:sz="4" w:space="0"/>
            </w:tcBorders>
            <w:shd w:val="clear" w:color="auto" w:fill="auto"/>
            <w:vAlign w:val="center"/>
          </w:tcPr>
          <w:p w14:paraId="5CAACDA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w:t>
            </w:r>
          </w:p>
        </w:tc>
        <w:tc>
          <w:tcPr>
            <w:tcW w:w="580" w:type="dxa"/>
            <w:tcBorders>
              <w:top w:val="nil"/>
              <w:left w:val="nil"/>
              <w:bottom w:val="single" w:color="auto" w:sz="4" w:space="0"/>
              <w:right w:val="single" w:color="auto" w:sz="4" w:space="0"/>
            </w:tcBorders>
            <w:shd w:val="clear" w:color="auto" w:fill="auto"/>
            <w:vAlign w:val="center"/>
          </w:tcPr>
          <w:p w14:paraId="2ED3EAF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10</w:t>
            </w:r>
          </w:p>
        </w:tc>
        <w:tc>
          <w:tcPr>
            <w:tcW w:w="709" w:type="dxa"/>
            <w:tcBorders>
              <w:top w:val="nil"/>
              <w:left w:val="nil"/>
              <w:bottom w:val="single" w:color="auto" w:sz="4" w:space="0"/>
              <w:right w:val="single" w:color="auto" w:sz="4" w:space="0"/>
            </w:tcBorders>
            <w:shd w:val="clear" w:color="auto" w:fill="auto"/>
            <w:vAlign w:val="center"/>
          </w:tcPr>
          <w:p w14:paraId="3B972BC1">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c>
          <w:tcPr>
            <w:tcW w:w="860" w:type="dxa"/>
            <w:tcBorders>
              <w:top w:val="nil"/>
              <w:left w:val="nil"/>
              <w:bottom w:val="single" w:color="auto" w:sz="4" w:space="0"/>
              <w:right w:val="single" w:color="auto" w:sz="4" w:space="0"/>
            </w:tcBorders>
            <w:shd w:val="clear" w:color="auto" w:fill="auto"/>
            <w:vAlign w:val="center"/>
          </w:tcPr>
          <w:p w14:paraId="4CCE631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cs="宋体"/>
                <w:color w:val="000000"/>
                <w:sz w:val="18"/>
                <w:szCs w:val="18"/>
              </w:rPr>
            </w:pPr>
            <w:r>
              <w:rPr>
                <w:rFonts w:cs="宋体"/>
                <w:color w:val="000000"/>
                <w:sz w:val="18"/>
                <w:szCs w:val="18"/>
              </w:rPr>
              <w:t>　</w:t>
            </w:r>
          </w:p>
        </w:tc>
      </w:tr>
    </w:tbl>
    <w:p w14:paraId="6812CFBF">
      <w:pPr>
        <w:pStyle w:val="16"/>
        <w:autoSpaceDE w:val="0"/>
        <w:ind w:firstLine="643"/>
        <w:rPr>
          <w:rFonts w:ascii="楷体" w:hAnsi="楷体" w:eastAsia="楷体" w:cs="楷体"/>
          <w:b/>
          <w:bCs/>
          <w:sz w:val="32"/>
          <w:szCs w:val="32"/>
          <w:shd w:val="clear" w:color="auto" w:fill="FFFFFF"/>
        </w:rPr>
      </w:pPr>
    </w:p>
    <w:tbl>
      <w:tblPr>
        <w:tblStyle w:val="12"/>
        <w:tblW w:w="9093" w:type="dxa"/>
        <w:jc w:val="center"/>
        <w:tblLayout w:type="fixed"/>
        <w:tblCellMar>
          <w:top w:w="0" w:type="dxa"/>
          <w:left w:w="108" w:type="dxa"/>
          <w:bottom w:w="0" w:type="dxa"/>
          <w:right w:w="108" w:type="dxa"/>
        </w:tblCellMar>
      </w:tblPr>
      <w:tblGrid>
        <w:gridCol w:w="993"/>
        <w:gridCol w:w="382"/>
        <w:gridCol w:w="557"/>
        <w:gridCol w:w="611"/>
        <w:gridCol w:w="917"/>
        <w:gridCol w:w="870"/>
        <w:gridCol w:w="765"/>
        <w:gridCol w:w="645"/>
        <w:gridCol w:w="705"/>
        <w:gridCol w:w="870"/>
        <w:gridCol w:w="1778"/>
      </w:tblGrid>
      <w:tr w14:paraId="52393452">
        <w:tblPrEx>
          <w:tblCellMar>
            <w:top w:w="0" w:type="dxa"/>
            <w:left w:w="108" w:type="dxa"/>
            <w:bottom w:w="0" w:type="dxa"/>
            <w:right w:w="108" w:type="dxa"/>
          </w:tblCellMar>
        </w:tblPrEx>
        <w:trPr>
          <w:trHeight w:val="800" w:hRule="atLeast"/>
          <w:jc w:val="center"/>
        </w:trPr>
        <w:tc>
          <w:tcPr>
            <w:tcW w:w="9093" w:type="dxa"/>
            <w:gridSpan w:val="11"/>
            <w:tcBorders>
              <w:top w:val="nil"/>
              <w:left w:val="nil"/>
              <w:bottom w:val="nil"/>
              <w:right w:val="nil"/>
            </w:tcBorders>
            <w:shd w:val="clear" w:color="auto" w:fill="auto"/>
            <w:noWrap/>
            <w:vAlign w:val="center"/>
          </w:tcPr>
          <w:p w14:paraId="78B5B516">
            <w:pPr>
              <w:pStyle w:val="2"/>
              <w:bidi w:val="0"/>
              <w:rPr>
                <w:rFonts w:hint="default"/>
              </w:rPr>
            </w:pPr>
            <w:r>
              <w:t>2023年度二级项目绩效自评表</w:t>
            </w:r>
          </w:p>
        </w:tc>
      </w:tr>
      <w:tr w14:paraId="1C5E3355">
        <w:tblPrEx>
          <w:tblCellMar>
            <w:top w:w="0" w:type="dxa"/>
            <w:left w:w="108" w:type="dxa"/>
            <w:bottom w:w="0" w:type="dxa"/>
            <w:right w:w="108" w:type="dxa"/>
          </w:tblCellMar>
        </w:tblPrEx>
        <w:trPr>
          <w:trHeight w:val="500" w:hRule="atLeast"/>
          <w:jc w:val="center"/>
        </w:trPr>
        <w:tc>
          <w:tcPr>
            <w:tcW w:w="90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999E">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b/>
                <w:bCs/>
                <w:color w:val="DA3232"/>
                <w:sz w:val="18"/>
                <w:szCs w:val="18"/>
              </w:rPr>
            </w:pPr>
          </w:p>
        </w:tc>
      </w:tr>
      <w:tr w14:paraId="08829BE3">
        <w:tblPrEx>
          <w:tblCellMar>
            <w:top w:w="0" w:type="dxa"/>
            <w:left w:w="108" w:type="dxa"/>
            <w:bottom w:w="0" w:type="dxa"/>
            <w:right w:w="108" w:type="dxa"/>
          </w:tblCellMar>
        </w:tblPrEx>
        <w:trPr>
          <w:trHeight w:val="500" w:hRule="atLeast"/>
          <w:jc w:val="center"/>
        </w:trPr>
        <w:tc>
          <w:tcPr>
            <w:tcW w:w="993" w:type="dxa"/>
            <w:tcBorders>
              <w:top w:val="nil"/>
              <w:left w:val="single" w:color="000000" w:sz="4" w:space="0"/>
              <w:bottom w:val="single" w:color="000000" w:sz="4" w:space="0"/>
              <w:right w:val="single" w:color="000000" w:sz="4" w:space="0"/>
            </w:tcBorders>
            <w:shd w:val="clear" w:color="auto" w:fill="auto"/>
            <w:vAlign w:val="center"/>
          </w:tcPr>
          <w:p w14:paraId="1F88AA4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项目名称：</w:t>
            </w:r>
          </w:p>
        </w:tc>
        <w:tc>
          <w:tcPr>
            <w:tcW w:w="939" w:type="dxa"/>
            <w:gridSpan w:val="2"/>
            <w:tcBorders>
              <w:top w:val="nil"/>
              <w:left w:val="single" w:color="000000" w:sz="4" w:space="0"/>
              <w:bottom w:val="single" w:color="000000" w:sz="4" w:space="0"/>
              <w:right w:val="single" w:color="000000" w:sz="4" w:space="0"/>
            </w:tcBorders>
            <w:shd w:val="clear" w:color="auto" w:fill="auto"/>
            <w:vAlign w:val="center"/>
          </w:tcPr>
          <w:p w14:paraId="4D990E9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厢坝组团5宗土地出让收入返还</w:t>
            </w:r>
          </w:p>
        </w:tc>
        <w:tc>
          <w:tcPr>
            <w:tcW w:w="611" w:type="dxa"/>
            <w:tcBorders>
              <w:top w:val="nil"/>
              <w:left w:val="single" w:color="000000" w:sz="4" w:space="0"/>
              <w:bottom w:val="single" w:color="000000" w:sz="4" w:space="0"/>
              <w:right w:val="single" w:color="000000" w:sz="4" w:space="0"/>
            </w:tcBorders>
            <w:shd w:val="clear" w:color="auto" w:fill="auto"/>
            <w:vAlign w:val="center"/>
          </w:tcPr>
          <w:p w14:paraId="51ABD50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项目编码：</w:t>
            </w:r>
          </w:p>
        </w:tc>
        <w:tc>
          <w:tcPr>
            <w:tcW w:w="1787" w:type="dxa"/>
            <w:gridSpan w:val="2"/>
            <w:tcBorders>
              <w:top w:val="nil"/>
              <w:left w:val="single" w:color="000000" w:sz="4" w:space="0"/>
              <w:bottom w:val="single" w:color="000000" w:sz="4" w:space="0"/>
              <w:right w:val="single" w:color="000000" w:sz="4" w:space="0"/>
            </w:tcBorders>
            <w:shd w:val="clear" w:color="auto" w:fill="auto"/>
            <w:vAlign w:val="center"/>
          </w:tcPr>
          <w:p w14:paraId="51B0B7C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50023024T000004166788</w:t>
            </w:r>
          </w:p>
        </w:tc>
        <w:tc>
          <w:tcPr>
            <w:tcW w:w="765" w:type="dxa"/>
            <w:tcBorders>
              <w:top w:val="nil"/>
              <w:left w:val="single" w:color="000000" w:sz="4" w:space="0"/>
              <w:bottom w:val="single" w:color="000000" w:sz="4" w:space="0"/>
              <w:right w:val="single" w:color="000000" w:sz="4" w:space="0"/>
            </w:tcBorders>
            <w:shd w:val="clear" w:color="auto" w:fill="auto"/>
            <w:vAlign w:val="center"/>
          </w:tcPr>
          <w:p w14:paraId="2E8C06F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自评总分：</w:t>
            </w:r>
          </w:p>
        </w:tc>
        <w:tc>
          <w:tcPr>
            <w:tcW w:w="1350" w:type="dxa"/>
            <w:gridSpan w:val="2"/>
            <w:tcBorders>
              <w:top w:val="nil"/>
              <w:left w:val="single" w:color="000000" w:sz="4" w:space="0"/>
              <w:bottom w:val="single" w:color="000000" w:sz="4" w:space="0"/>
              <w:right w:val="single" w:color="000000" w:sz="4" w:space="0"/>
            </w:tcBorders>
            <w:shd w:val="clear" w:color="auto" w:fill="auto"/>
            <w:vAlign w:val="center"/>
          </w:tcPr>
          <w:p w14:paraId="66F4B0F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100.00</w:t>
            </w:r>
          </w:p>
        </w:tc>
        <w:tc>
          <w:tcPr>
            <w:tcW w:w="870" w:type="dxa"/>
            <w:tcBorders>
              <w:top w:val="nil"/>
              <w:left w:val="single" w:color="000000" w:sz="4" w:space="0"/>
              <w:bottom w:val="single" w:color="000000" w:sz="4" w:space="0"/>
              <w:right w:val="single" w:color="000000" w:sz="4" w:space="0"/>
            </w:tcBorders>
            <w:shd w:val="clear" w:color="auto" w:fill="auto"/>
            <w:vAlign w:val="center"/>
          </w:tcPr>
          <w:p w14:paraId="49F33D35">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b/>
                <w:bCs/>
                <w:color w:val="000000"/>
                <w:sz w:val="18"/>
                <w:szCs w:val="18"/>
              </w:rPr>
            </w:pPr>
          </w:p>
        </w:tc>
        <w:tc>
          <w:tcPr>
            <w:tcW w:w="1778" w:type="dxa"/>
            <w:tcBorders>
              <w:top w:val="nil"/>
              <w:left w:val="single" w:color="000000" w:sz="4" w:space="0"/>
              <w:bottom w:val="single" w:color="000000" w:sz="4" w:space="0"/>
              <w:right w:val="single" w:color="000000" w:sz="4" w:space="0"/>
            </w:tcBorders>
            <w:shd w:val="clear" w:color="auto" w:fill="auto"/>
            <w:vAlign w:val="center"/>
          </w:tcPr>
          <w:p w14:paraId="69817C0B">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r>
      <w:tr w14:paraId="4BB5D404">
        <w:tblPrEx>
          <w:tblCellMar>
            <w:top w:w="0" w:type="dxa"/>
            <w:left w:w="108" w:type="dxa"/>
            <w:bottom w:w="0" w:type="dxa"/>
            <w:right w:w="108" w:type="dxa"/>
          </w:tblCellMar>
        </w:tblPrEx>
        <w:trPr>
          <w:trHeight w:val="50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74B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项目主管部门：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13AF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135-丰都县旅游开发建设管理委员会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140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财政归口处室：</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A313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005-产业发展科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3D3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部门联系人：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35DA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余春英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761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联系电话：</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B98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133</w:t>
            </w:r>
            <w:r>
              <w:rPr>
                <w:rFonts w:hint="default" w:cs="宋体"/>
                <w:color w:val="000000"/>
                <w:sz w:val="18"/>
                <w:szCs w:val="18"/>
                <w:lang w:bidi="ar"/>
              </w:rPr>
              <w:t>*******</w:t>
            </w:r>
            <w:r>
              <w:rPr>
                <w:rFonts w:cs="宋体"/>
                <w:color w:val="000000"/>
                <w:sz w:val="18"/>
                <w:szCs w:val="18"/>
                <w:lang w:bidi="ar"/>
              </w:rPr>
              <w:t>6</w:t>
            </w:r>
          </w:p>
        </w:tc>
      </w:tr>
      <w:tr w14:paraId="499B6882">
        <w:tblPrEx>
          <w:tblCellMar>
            <w:top w:w="0" w:type="dxa"/>
            <w:left w:w="108" w:type="dxa"/>
            <w:bottom w:w="0" w:type="dxa"/>
            <w:right w:w="108" w:type="dxa"/>
          </w:tblCellMar>
        </w:tblPrEx>
        <w:trPr>
          <w:trHeight w:val="600" w:hRule="atLeast"/>
          <w:jc w:val="center"/>
        </w:trPr>
        <w:tc>
          <w:tcPr>
            <w:tcW w:w="9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A95C0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ascii="微软雅黑" w:hAnsi="微软雅黑" w:eastAsia="微软雅黑" w:cs="微软雅黑"/>
                <w:b/>
                <w:bCs/>
                <w:color w:val="000000"/>
                <w:sz w:val="18"/>
                <w:szCs w:val="18"/>
              </w:rPr>
            </w:pPr>
            <w:r>
              <w:rPr>
                <w:rFonts w:ascii="微软雅黑" w:hAnsi="微软雅黑" w:eastAsia="微软雅黑" w:cs="微软雅黑"/>
                <w:b/>
                <w:bCs/>
                <w:color w:val="000000"/>
                <w:sz w:val="18"/>
                <w:szCs w:val="18"/>
                <w:lang w:bidi="ar"/>
              </w:rPr>
              <w:t>资金情况</w:t>
            </w:r>
          </w:p>
        </w:tc>
      </w:tr>
      <w:tr w14:paraId="1F47B539">
        <w:tblPrEx>
          <w:tblCellMar>
            <w:top w:w="0" w:type="dxa"/>
            <w:left w:w="108" w:type="dxa"/>
            <w:bottom w:w="0" w:type="dxa"/>
            <w:right w:w="108" w:type="dxa"/>
          </w:tblCellMar>
        </w:tblPrEx>
        <w:trPr>
          <w:trHeight w:val="500" w:hRule="atLeas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9D212">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DBF2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年初预算数</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7359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全年（调整）预算数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D776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EBA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272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执行率权重</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2945">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执行率得分</w:t>
            </w:r>
          </w:p>
        </w:tc>
      </w:tr>
      <w:tr w14:paraId="67A61D07">
        <w:tblPrEx>
          <w:tblCellMar>
            <w:top w:w="0" w:type="dxa"/>
            <w:left w:w="108" w:type="dxa"/>
            <w:bottom w:w="0" w:type="dxa"/>
            <w:right w:w="108" w:type="dxa"/>
          </w:tblCellMar>
        </w:tblPrEx>
        <w:trPr>
          <w:trHeight w:val="500" w:hRule="atLeas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4EDE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年度总金额</w:t>
            </w:r>
          </w:p>
        </w:tc>
        <w:tc>
          <w:tcPr>
            <w:tcW w:w="557" w:type="dxa"/>
            <w:tcBorders>
              <w:top w:val="single" w:color="000000" w:sz="4" w:space="0"/>
              <w:left w:val="single" w:color="000000" w:sz="4" w:space="0"/>
              <w:bottom w:val="single" w:color="000000" w:sz="4" w:space="0"/>
              <w:right w:val="nil"/>
            </w:tcBorders>
            <w:shd w:val="clear" w:color="auto" w:fill="auto"/>
            <w:vAlign w:val="center"/>
          </w:tcPr>
          <w:p w14:paraId="0592611C">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611" w:type="dxa"/>
            <w:tcBorders>
              <w:top w:val="single" w:color="000000" w:sz="4" w:space="0"/>
              <w:left w:val="nil"/>
              <w:bottom w:val="single" w:color="000000" w:sz="4" w:space="0"/>
              <w:right w:val="single" w:color="000000" w:sz="4" w:space="0"/>
            </w:tcBorders>
            <w:shd w:val="clear" w:color="auto" w:fill="auto"/>
            <w:vAlign w:val="center"/>
          </w:tcPr>
          <w:p w14:paraId="15C43381">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0.00 </w:t>
            </w:r>
          </w:p>
        </w:tc>
        <w:tc>
          <w:tcPr>
            <w:tcW w:w="1787" w:type="dxa"/>
            <w:gridSpan w:val="2"/>
            <w:tcBorders>
              <w:top w:val="single" w:color="000000" w:sz="4" w:space="0"/>
              <w:left w:val="nil"/>
              <w:bottom w:val="single" w:color="000000" w:sz="4" w:space="0"/>
              <w:right w:val="single" w:color="000000" w:sz="4" w:space="0"/>
            </w:tcBorders>
            <w:shd w:val="clear" w:color="auto" w:fill="auto"/>
            <w:vAlign w:val="center"/>
          </w:tcPr>
          <w:p w14:paraId="714787D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8,808,073.79 </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14:paraId="7F536F7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8,808,073.79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DEB1">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C11D">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21A7">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r>
      <w:tr w14:paraId="0A3DFE90">
        <w:tblPrEx>
          <w:tblCellMar>
            <w:top w:w="0" w:type="dxa"/>
            <w:left w:w="108" w:type="dxa"/>
            <w:bottom w:w="0" w:type="dxa"/>
            <w:right w:w="108" w:type="dxa"/>
          </w:tblCellMar>
        </w:tblPrEx>
        <w:trPr>
          <w:trHeight w:val="500" w:hRule="atLeas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38BA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其中：财政拨款</w:t>
            </w:r>
          </w:p>
        </w:tc>
        <w:tc>
          <w:tcPr>
            <w:tcW w:w="557" w:type="dxa"/>
            <w:tcBorders>
              <w:top w:val="single" w:color="000000" w:sz="4" w:space="0"/>
              <w:left w:val="single" w:color="000000" w:sz="4" w:space="0"/>
              <w:bottom w:val="single" w:color="000000" w:sz="4" w:space="0"/>
              <w:right w:val="nil"/>
            </w:tcBorders>
            <w:shd w:val="clear" w:color="auto" w:fill="auto"/>
            <w:vAlign w:val="center"/>
          </w:tcPr>
          <w:p w14:paraId="4EB2158B">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611" w:type="dxa"/>
            <w:tcBorders>
              <w:top w:val="single" w:color="000000" w:sz="4" w:space="0"/>
              <w:left w:val="nil"/>
              <w:bottom w:val="single" w:color="000000" w:sz="4" w:space="0"/>
              <w:right w:val="single" w:color="000000" w:sz="4" w:space="0"/>
            </w:tcBorders>
            <w:shd w:val="clear" w:color="auto" w:fill="auto"/>
            <w:vAlign w:val="center"/>
          </w:tcPr>
          <w:p w14:paraId="4F83FBE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0.00 </w:t>
            </w:r>
          </w:p>
        </w:tc>
        <w:tc>
          <w:tcPr>
            <w:tcW w:w="1787" w:type="dxa"/>
            <w:gridSpan w:val="2"/>
            <w:tcBorders>
              <w:top w:val="single" w:color="000000" w:sz="4" w:space="0"/>
              <w:left w:val="nil"/>
              <w:bottom w:val="single" w:color="000000" w:sz="4" w:space="0"/>
              <w:right w:val="single" w:color="000000" w:sz="4" w:space="0"/>
            </w:tcBorders>
            <w:shd w:val="clear" w:color="auto" w:fill="auto"/>
            <w:vAlign w:val="center"/>
          </w:tcPr>
          <w:p w14:paraId="0781A77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8,808,073.79 </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14:paraId="6340C7F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8,808,073.79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8C2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2D9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14E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10.00 </w:t>
            </w:r>
          </w:p>
        </w:tc>
      </w:tr>
      <w:tr w14:paraId="012CB8F8">
        <w:tblPrEx>
          <w:tblCellMar>
            <w:top w:w="0" w:type="dxa"/>
            <w:left w:w="108" w:type="dxa"/>
            <w:bottom w:w="0" w:type="dxa"/>
            <w:right w:w="108" w:type="dxa"/>
          </w:tblCellMar>
        </w:tblPrEx>
        <w:trPr>
          <w:trHeight w:val="500" w:hRule="atLeas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21F0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一般公共预算</w:t>
            </w:r>
          </w:p>
        </w:tc>
        <w:tc>
          <w:tcPr>
            <w:tcW w:w="557" w:type="dxa"/>
            <w:tcBorders>
              <w:top w:val="single" w:color="000000" w:sz="4" w:space="0"/>
              <w:left w:val="single" w:color="000000" w:sz="4" w:space="0"/>
              <w:bottom w:val="single" w:color="000000" w:sz="4" w:space="0"/>
              <w:right w:val="nil"/>
            </w:tcBorders>
            <w:shd w:val="clear" w:color="auto" w:fill="auto"/>
            <w:vAlign w:val="center"/>
          </w:tcPr>
          <w:p w14:paraId="1355E8E4">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611" w:type="dxa"/>
            <w:tcBorders>
              <w:top w:val="single" w:color="000000" w:sz="4" w:space="0"/>
              <w:left w:val="nil"/>
              <w:bottom w:val="single" w:color="000000" w:sz="4" w:space="0"/>
              <w:right w:val="single" w:color="000000" w:sz="4" w:space="0"/>
            </w:tcBorders>
            <w:shd w:val="clear" w:color="auto" w:fill="auto"/>
            <w:vAlign w:val="center"/>
          </w:tcPr>
          <w:p w14:paraId="138DD86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0.00 </w:t>
            </w:r>
          </w:p>
        </w:tc>
        <w:tc>
          <w:tcPr>
            <w:tcW w:w="1787" w:type="dxa"/>
            <w:gridSpan w:val="2"/>
            <w:tcBorders>
              <w:top w:val="single" w:color="000000" w:sz="4" w:space="0"/>
              <w:left w:val="nil"/>
              <w:bottom w:val="single" w:color="000000" w:sz="4" w:space="0"/>
              <w:right w:val="single" w:color="000000" w:sz="4" w:space="0"/>
            </w:tcBorders>
            <w:shd w:val="clear" w:color="auto" w:fill="auto"/>
            <w:vAlign w:val="center"/>
          </w:tcPr>
          <w:p w14:paraId="31BE288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7,771,832.50 </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14:paraId="579B97D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 xml:space="preserve">7,771,832.50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C1C5">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8963">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364D">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r>
      <w:tr w14:paraId="5E6AADEB">
        <w:tblPrEx>
          <w:tblCellMar>
            <w:top w:w="0" w:type="dxa"/>
            <w:left w:w="108" w:type="dxa"/>
            <w:bottom w:w="0" w:type="dxa"/>
            <w:right w:w="108" w:type="dxa"/>
          </w:tblCellMar>
        </w:tblPrEx>
        <w:trPr>
          <w:trHeight w:val="600" w:hRule="atLeast"/>
          <w:jc w:val="center"/>
        </w:trPr>
        <w:tc>
          <w:tcPr>
            <w:tcW w:w="9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2ACFB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ascii="微软雅黑" w:hAnsi="微软雅黑" w:eastAsia="微软雅黑" w:cs="微软雅黑"/>
                <w:b/>
                <w:bCs/>
                <w:color w:val="000000"/>
                <w:sz w:val="18"/>
                <w:szCs w:val="18"/>
              </w:rPr>
            </w:pPr>
            <w:r>
              <w:rPr>
                <w:rFonts w:ascii="微软雅黑" w:hAnsi="微软雅黑" w:eastAsia="微软雅黑" w:cs="微软雅黑"/>
                <w:b/>
                <w:bCs/>
                <w:color w:val="000000"/>
                <w:sz w:val="18"/>
                <w:szCs w:val="18"/>
                <w:lang w:bidi="ar"/>
              </w:rPr>
              <w:t>绩效目标</w:t>
            </w:r>
          </w:p>
        </w:tc>
      </w:tr>
      <w:tr w14:paraId="6B674F39">
        <w:tblPrEx>
          <w:tblCellMar>
            <w:top w:w="0" w:type="dxa"/>
            <w:left w:w="108" w:type="dxa"/>
            <w:bottom w:w="0" w:type="dxa"/>
            <w:right w:w="108" w:type="dxa"/>
          </w:tblCellMar>
        </w:tblPrEx>
        <w:trPr>
          <w:trHeight w:val="500" w:hRule="atLeast"/>
          <w:jc w:val="center"/>
        </w:trPr>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F0BDC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年初绩效目标</w:t>
            </w:r>
          </w:p>
        </w:tc>
        <w:tc>
          <w:tcPr>
            <w:tcW w:w="3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14D96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全年（调整）绩效目标</w:t>
            </w: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F1DF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0A8E4537">
        <w:tblPrEx>
          <w:tblCellMar>
            <w:top w:w="0" w:type="dxa"/>
            <w:left w:w="108" w:type="dxa"/>
            <w:bottom w:w="0" w:type="dxa"/>
            <w:right w:w="108" w:type="dxa"/>
          </w:tblCellMar>
        </w:tblPrEx>
        <w:trPr>
          <w:trHeight w:val="4120" w:hRule="atLeast"/>
          <w:jc w:val="center"/>
        </w:trPr>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tcPr>
          <w:p w14:paraId="391F5FC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top"/>
              <w:rPr>
                <w:rFonts w:hint="default" w:cs="宋体"/>
                <w:color w:val="000000"/>
                <w:sz w:val="18"/>
                <w:szCs w:val="18"/>
              </w:rPr>
            </w:pPr>
            <w:r>
              <w:rPr>
                <w:rFonts w:cs="宋体"/>
                <w:color w:val="000000"/>
                <w:sz w:val="18"/>
                <w:szCs w:val="18"/>
                <w:lang w:bidi="ar"/>
              </w:rPr>
              <w:t>2023年，厢坝组团FD2023-211-6、FD2028-211-2、FD2023-211-3、FD2023-211-4、FD2023-211-5等5宗土地完成挂牌出让工作，出让总金额22035万元(其中：2023年11月30日，成交FD2023-211-6一宗土地，成交金额为7632万元；2023年11月3日，成交FD2028-211-2、FD2028-211-3、FD2023-211-4、FD2023-211-5四宗土地，成交金额14403万元）。根据（丰都国资发【2019】20号）文件要求，对上述5宗土地出让收入予以分步结算。</w:t>
            </w:r>
          </w:p>
        </w:tc>
        <w:tc>
          <w:tcPr>
            <w:tcW w:w="3197" w:type="dxa"/>
            <w:gridSpan w:val="4"/>
            <w:tcBorders>
              <w:top w:val="single" w:color="000000" w:sz="4" w:space="0"/>
              <w:left w:val="single" w:color="000000" w:sz="4" w:space="0"/>
              <w:bottom w:val="single" w:color="000000" w:sz="4" w:space="0"/>
              <w:right w:val="single" w:color="000000" w:sz="4" w:space="0"/>
            </w:tcBorders>
            <w:shd w:val="clear" w:color="auto" w:fill="auto"/>
          </w:tcPr>
          <w:p w14:paraId="31D42595">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top"/>
              <w:rPr>
                <w:rFonts w:hint="default" w:cs="宋体"/>
                <w:color w:val="000000"/>
                <w:sz w:val="18"/>
                <w:szCs w:val="18"/>
              </w:rPr>
            </w:pPr>
            <w:r>
              <w:rPr>
                <w:rFonts w:cs="宋体"/>
                <w:color w:val="000000"/>
                <w:sz w:val="18"/>
                <w:szCs w:val="18"/>
                <w:lang w:bidi="ar"/>
              </w:rPr>
              <w:t>2023年，厢坝组团FD2023-211-6、FD2028-211-2、FD2023-211-3、FD2023-211-4、FD2023-211-5等5宗土地完成挂牌出让工作，出让总金额22035万元(其中：2023年11月30日，成交FD2023-211-6一宗土地，成交金额为7632万元；2023年11月3日，成交FD2028-211-2、FD2028-211-3、FD2023-211-4、FD2023-211-5四宗土地，成交金额14403万元）。根据（丰都国资发【2019】20号）文件要求，对上述5宗土地出让收入予以分步结算。</w:t>
            </w: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tcPr>
          <w:p w14:paraId="55D56D2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top"/>
              <w:rPr>
                <w:rFonts w:hint="default" w:cs="宋体"/>
                <w:color w:val="000000"/>
                <w:sz w:val="18"/>
                <w:szCs w:val="18"/>
              </w:rPr>
            </w:pPr>
            <w:r>
              <w:rPr>
                <w:rFonts w:cs="宋体"/>
                <w:color w:val="000000"/>
                <w:sz w:val="18"/>
                <w:szCs w:val="18"/>
                <w:lang w:bidi="ar"/>
              </w:rPr>
              <w:t>2023年，厢坝组团FD2023-211-6、FD2028-211-2、FD2023-211-3、FD2023-211-4、FD2023-211-5等5宗土地完成挂牌出让工作，出让总金额22035万元(其中：2023年11月30日，成交FD2023-211-6一宗土地，成交金额为7632万元；2023年11月3日，成交FD2028-211-2、FD2028-211-3、FD2023-211-4、FD2023-211-5四宗土地，成交金额14403万元）。根据（丰都国资发【2019】20号）文件要求，对上述5宗土地出让收入予以分步结算。2023年上述5宗土地出让收入结算880.81万元.</w:t>
            </w:r>
          </w:p>
        </w:tc>
      </w:tr>
      <w:tr w14:paraId="22CC943F">
        <w:tblPrEx>
          <w:tblCellMar>
            <w:top w:w="0" w:type="dxa"/>
            <w:left w:w="108" w:type="dxa"/>
            <w:bottom w:w="0" w:type="dxa"/>
            <w:right w:w="108" w:type="dxa"/>
          </w:tblCellMar>
        </w:tblPrEx>
        <w:trPr>
          <w:trHeight w:val="600" w:hRule="atLeast"/>
          <w:jc w:val="center"/>
        </w:trPr>
        <w:tc>
          <w:tcPr>
            <w:tcW w:w="9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0C92A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ascii="微软雅黑" w:hAnsi="微软雅黑" w:eastAsia="微软雅黑" w:cs="微软雅黑"/>
                <w:b/>
                <w:bCs/>
                <w:color w:val="000000"/>
                <w:sz w:val="18"/>
                <w:szCs w:val="18"/>
              </w:rPr>
            </w:pPr>
            <w:r>
              <w:rPr>
                <w:rFonts w:ascii="微软雅黑" w:hAnsi="微软雅黑" w:eastAsia="微软雅黑" w:cs="微软雅黑"/>
                <w:b/>
                <w:bCs/>
                <w:color w:val="000000"/>
                <w:sz w:val="18"/>
                <w:szCs w:val="18"/>
                <w:lang w:bidi="ar"/>
              </w:rPr>
              <w:t>绩效指标</w:t>
            </w:r>
          </w:p>
        </w:tc>
      </w:tr>
      <w:tr w14:paraId="11354529">
        <w:tblPrEx>
          <w:tblCellMar>
            <w:top w:w="0" w:type="dxa"/>
            <w:left w:w="108" w:type="dxa"/>
            <w:bottom w:w="0" w:type="dxa"/>
            <w:right w:w="108" w:type="dxa"/>
          </w:tblCellMar>
        </w:tblPrEx>
        <w:trPr>
          <w:trHeight w:val="50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3A0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指标名称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906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计量单位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317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指标性质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6D2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指标值</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73D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全年完成值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8771">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偏离度（%）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945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得分系数（%）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3651">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指标权重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7A01">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指标得分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14A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是否核心指标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BF0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说明</w:t>
            </w:r>
          </w:p>
        </w:tc>
      </w:tr>
      <w:tr w14:paraId="3448863D">
        <w:tblPrEx>
          <w:tblCellMar>
            <w:top w:w="0" w:type="dxa"/>
            <w:left w:w="108" w:type="dxa"/>
            <w:bottom w:w="0" w:type="dxa"/>
            <w:right w:w="108" w:type="dxa"/>
          </w:tblCellMar>
        </w:tblPrEx>
        <w:trPr>
          <w:trHeight w:val="50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001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土地出让收入返还涉及宗数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BB0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739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62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C70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132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4465">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5A2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DDE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31A5">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4111">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r>
      <w:tr w14:paraId="797B46A2">
        <w:tblPrEx>
          <w:tblCellMar>
            <w:top w:w="0" w:type="dxa"/>
            <w:left w:w="108" w:type="dxa"/>
            <w:bottom w:w="0" w:type="dxa"/>
            <w:right w:w="108" w:type="dxa"/>
          </w:tblCellMar>
        </w:tblPrEx>
        <w:trPr>
          <w:trHeight w:val="50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802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土地出让收入返还精准率</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A77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4B1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148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B40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F0E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BCF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2B2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65C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92B7">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A9E1">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r>
      <w:tr w14:paraId="3D08A590">
        <w:tblPrEx>
          <w:tblCellMar>
            <w:top w:w="0" w:type="dxa"/>
            <w:left w:w="108" w:type="dxa"/>
            <w:bottom w:w="0" w:type="dxa"/>
            <w:right w:w="108" w:type="dxa"/>
          </w:tblCellMar>
        </w:tblPrEx>
        <w:trPr>
          <w:trHeight w:val="50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713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土地出让返还及时率</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76B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6140">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DEE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F17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17F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D8B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40C4">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0FF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1A26">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8193">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r>
      <w:tr w14:paraId="47A1DDB4">
        <w:tblPrEx>
          <w:tblCellMar>
            <w:top w:w="0" w:type="dxa"/>
            <w:left w:w="108" w:type="dxa"/>
            <w:bottom w:w="0" w:type="dxa"/>
            <w:right w:w="108" w:type="dxa"/>
          </w:tblCellMar>
        </w:tblPrEx>
        <w:trPr>
          <w:trHeight w:val="50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534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提升全县旅游地房土地出让积极性</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B2A8">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E43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定性</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8B6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好</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C4F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90E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E3A3">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D5FA">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20F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5EE2">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1198">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r>
      <w:tr w14:paraId="4042398B">
        <w:tblPrEx>
          <w:tblCellMar>
            <w:top w:w="0" w:type="dxa"/>
            <w:left w:w="108" w:type="dxa"/>
            <w:bottom w:w="0" w:type="dxa"/>
            <w:right w:w="108" w:type="dxa"/>
          </w:tblCellMar>
        </w:tblPrEx>
        <w:trPr>
          <w:trHeight w:val="50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B08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受益对象满意度</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1BD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89E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5C26">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95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1A1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F33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DDB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C73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4CE7">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EF83">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6C22">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r>
      <w:tr w14:paraId="7AAAA74E">
        <w:tblPrEx>
          <w:tblCellMar>
            <w:top w:w="0" w:type="dxa"/>
            <w:left w:w="108" w:type="dxa"/>
            <w:bottom w:w="0" w:type="dxa"/>
            <w:right w:w="108" w:type="dxa"/>
          </w:tblCellMar>
        </w:tblPrEx>
        <w:trPr>
          <w:trHeight w:val="50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F8DD">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eastAsia" w:eastAsia="宋体" w:cs="宋体"/>
                <w:color w:val="000000"/>
                <w:sz w:val="18"/>
                <w:szCs w:val="18"/>
                <w:lang w:val="en-US" w:eastAsia="zh-CN"/>
              </w:rPr>
            </w:pPr>
            <w:r>
              <w:rPr>
                <w:rFonts w:cs="宋体"/>
                <w:color w:val="000000"/>
                <w:sz w:val="18"/>
                <w:szCs w:val="18"/>
                <w:lang w:bidi="ar"/>
              </w:rPr>
              <w:t>土地出让返还</w:t>
            </w:r>
            <w:r>
              <w:rPr>
                <w:rFonts w:hint="eastAsia" w:cs="宋体"/>
                <w:color w:val="000000"/>
                <w:sz w:val="18"/>
                <w:szCs w:val="18"/>
                <w:lang w:val="en-US" w:eastAsia="zh-CN" w:bidi="ar"/>
              </w:rPr>
              <w:t>率</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ABBE">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E20B">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15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104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B749">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EC22">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918">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3BC">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18"/>
                <w:szCs w:val="18"/>
              </w:rPr>
            </w:pPr>
            <w:r>
              <w:rPr>
                <w:rFonts w:cs="宋体"/>
                <w:color w:val="000000"/>
                <w:sz w:val="18"/>
                <w:szCs w:val="18"/>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2395">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1398">
            <w:pPr>
              <w:keepNext w:val="0"/>
              <w:keepLines w:val="0"/>
              <w:pageBreakBefore w:val="0"/>
              <w:widowControl/>
              <w:kinsoku/>
              <w:wordWrap/>
              <w:overflowPunct/>
              <w:topLinePunct w:val="0"/>
              <w:autoSpaceDE/>
              <w:autoSpaceDN/>
              <w:bidi w:val="0"/>
              <w:adjustRightInd/>
              <w:snapToGrid/>
              <w:spacing w:line="480" w:lineRule="exact"/>
              <w:ind w:firstLine="0" w:firstLineChars="0"/>
              <w:jc w:val="both"/>
              <w:rPr>
                <w:rFonts w:hint="default" w:cs="宋体"/>
                <w:color w:val="000000"/>
                <w:sz w:val="18"/>
                <w:szCs w:val="18"/>
              </w:rPr>
            </w:pPr>
          </w:p>
        </w:tc>
      </w:tr>
    </w:tbl>
    <w:p w14:paraId="25251FB1">
      <w:pPr>
        <w:pStyle w:val="4"/>
        <w:bidi w:val="0"/>
      </w:pPr>
      <w:r>
        <w:rPr>
          <w:rFonts w:hint="eastAsia"/>
        </w:rPr>
        <w:t>（二）单位绩效评价情况</w:t>
      </w:r>
    </w:p>
    <w:p w14:paraId="6E07AA90">
      <w:r>
        <w:rPr>
          <w:rFonts w:hint="eastAsia"/>
        </w:rPr>
        <w:t>本单位未组织开展绩效评价。</w:t>
      </w:r>
    </w:p>
    <w:p w14:paraId="32ECBBAA">
      <w:pPr>
        <w:pStyle w:val="4"/>
        <w:bidi w:val="0"/>
      </w:pPr>
      <w:r>
        <w:rPr>
          <w:rFonts w:hint="eastAsia"/>
        </w:rPr>
        <w:t>（三）财政绩效评价情况</w:t>
      </w:r>
    </w:p>
    <w:p w14:paraId="68F3C4AD">
      <w:r>
        <w:rPr>
          <w:rFonts w:hint="eastAsia"/>
        </w:rPr>
        <w:t>县财政局未委托第三方对我单位开展绩效评价。</w:t>
      </w:r>
    </w:p>
    <w:p w14:paraId="1359407E">
      <w:pPr>
        <w:pStyle w:val="3"/>
        <w:bidi w:val="0"/>
        <w:rPr>
          <w:rFonts w:hint="default"/>
        </w:rPr>
      </w:pPr>
      <w:r>
        <w:t>六、专业名词解释</w:t>
      </w:r>
    </w:p>
    <w:p w14:paraId="4DDD0B07">
      <w:pPr>
        <w:rPr>
          <w:rFonts w:hint="default"/>
        </w:rPr>
      </w:pPr>
      <w:r>
        <w:rPr>
          <w:rStyle w:val="21"/>
        </w:rPr>
        <w:t>（一）财政拨款收入：</w:t>
      </w:r>
      <w:r>
        <w:t>指本年度从本级财政部门取得的财政拨款，包括一般公共预算财政拨款和政府性基金预算财政拨款。</w:t>
      </w:r>
    </w:p>
    <w:p w14:paraId="5D9284C5">
      <w:pPr>
        <w:rPr>
          <w:rFonts w:hint="default"/>
        </w:rPr>
      </w:pPr>
      <w:r>
        <w:rPr>
          <w:rStyle w:val="21"/>
        </w:rPr>
        <w:t>（二）事业收入：</w:t>
      </w:r>
      <w:r>
        <w:t>指事业单位开展专业业务活动及其辅助活动取得的现金流入；事业单位收到的财政专户实际核拨的教育收费等资金在此反映。</w:t>
      </w:r>
    </w:p>
    <w:p w14:paraId="27A2F9BF">
      <w:pPr>
        <w:rPr>
          <w:rFonts w:hint="default"/>
        </w:rPr>
      </w:pPr>
      <w:r>
        <w:rPr>
          <w:rStyle w:val="21"/>
        </w:rPr>
        <w:t>（三）经营收入：</w:t>
      </w:r>
      <w:r>
        <w:t>指事业单位在专业业务活动及其辅助活动之外开展非独立核算经营活动取得的现金流入。</w:t>
      </w:r>
    </w:p>
    <w:p w14:paraId="1F4CF220">
      <w:pPr>
        <w:rPr>
          <w:rFonts w:hint="default"/>
        </w:rPr>
      </w:pPr>
      <w:r>
        <w:rPr>
          <w:rStyle w:val="21"/>
        </w:rPr>
        <w:t>（四）其他收入：</w:t>
      </w:r>
      <w:r>
        <w:t>指单位取得的除</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E617501">
      <w:pPr>
        <w:rPr>
          <w:rFonts w:hint="default"/>
        </w:rPr>
      </w:pPr>
      <w:r>
        <w:rPr>
          <w:rStyle w:val="21"/>
        </w:rPr>
        <w:t>（五）使用非财政拨款结余：</w:t>
      </w:r>
      <w:r>
        <w:t>指单位在当年的</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w:t>
      </w:r>
      <w:r>
        <w:rPr>
          <w:rFonts w:hint="eastAsia"/>
          <w:lang w:eastAsia="zh-CN"/>
        </w:rPr>
        <w:t>“</w:t>
      </w:r>
      <w:r>
        <w:t>其他收入</w:t>
      </w:r>
      <w:r>
        <w:rPr>
          <w:rFonts w:hint="eastAsia"/>
          <w:lang w:eastAsia="zh-CN"/>
        </w:rPr>
        <w:t>”</w:t>
      </w:r>
      <w:r>
        <w:t>等不足以安排当年支出的情况下，使用以前年度积累的非财政拨款结余弥补本年度收支缺口的资金。</w:t>
      </w:r>
    </w:p>
    <w:p w14:paraId="172A9BD5">
      <w:pPr>
        <w:rPr>
          <w:rFonts w:hint="default"/>
        </w:rPr>
      </w:pPr>
      <w:r>
        <w:rPr>
          <w:rStyle w:val="21"/>
        </w:rPr>
        <w:t>（六）年初结转和结余：</w:t>
      </w:r>
      <w:r>
        <w:t>指单位上年结转本年使用的基本支出结转、项目支出结转和结余、经营结余。</w:t>
      </w:r>
    </w:p>
    <w:p w14:paraId="23B35B4D">
      <w:pPr>
        <w:rPr>
          <w:rFonts w:hint="default"/>
        </w:rPr>
      </w:pPr>
      <w:r>
        <w:rPr>
          <w:rStyle w:val="21"/>
        </w:rPr>
        <w:t>（七）结余分配：</w:t>
      </w:r>
      <w:r>
        <w:t>指单位按照国家有关规定，缴纳所得税、提取专用基金、转入非财政拨款结余等当年结余的分配情况。</w:t>
      </w:r>
    </w:p>
    <w:p w14:paraId="2DD51097">
      <w:pPr>
        <w:rPr>
          <w:rFonts w:hint="default"/>
        </w:rPr>
      </w:pPr>
      <w:r>
        <w:rPr>
          <w:rStyle w:val="21"/>
        </w:rPr>
        <w:t>（八）年末结转和结余：</w:t>
      </w:r>
      <w:r>
        <w:t>指单位结转下年的基本支出结转、项目支出结转和结余、经营结余。</w:t>
      </w:r>
    </w:p>
    <w:p w14:paraId="40D35B1D">
      <w:pPr>
        <w:rPr>
          <w:rFonts w:hint="default"/>
        </w:rPr>
      </w:pPr>
      <w:r>
        <w:rPr>
          <w:rStyle w:val="21"/>
        </w:rPr>
        <w:t>（九）基本支出：</w:t>
      </w:r>
      <w:r>
        <w:t>指为保障机构正常运转、完成日常工作任务而发生的人员经费和公用经费。其中：人员经费指政府收支分类经济科目中的</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；公用经费指政府收支分类经济科目中除</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外的其他支出。</w:t>
      </w:r>
    </w:p>
    <w:p w14:paraId="771703B6">
      <w:pPr>
        <w:rPr>
          <w:rFonts w:hint="default"/>
        </w:rPr>
      </w:pPr>
      <w:r>
        <w:rPr>
          <w:rStyle w:val="21"/>
        </w:rPr>
        <w:t>（十）项目支出：</w:t>
      </w:r>
      <w:r>
        <w:t>指在基本支出之外为完成特定行政任务和事业发展目标所发生的支出。</w:t>
      </w:r>
    </w:p>
    <w:p w14:paraId="43DEEA79">
      <w:pPr>
        <w:rPr>
          <w:rFonts w:hint="default"/>
        </w:rPr>
      </w:pPr>
      <w:r>
        <w:rPr>
          <w:rStyle w:val="21"/>
        </w:rPr>
        <w:t>（十一）经营支出：</w:t>
      </w:r>
      <w:r>
        <w:t>指事业单位在专业业务活动及其辅助活动之外开展非独立核算经营活动发生的支出。</w:t>
      </w:r>
    </w:p>
    <w:p w14:paraId="40D26849">
      <w:pPr>
        <w:rPr>
          <w:rFonts w:hint="default"/>
        </w:rPr>
      </w:pPr>
      <w:r>
        <w:rPr>
          <w:rStyle w:val="21"/>
        </w:rPr>
        <w:t>（十二）</w:t>
      </w:r>
      <w:r>
        <w:rPr>
          <w:rStyle w:val="21"/>
          <w:rFonts w:hint="eastAsia" w:eastAsia="方正楷体_GBK"/>
          <w:lang w:eastAsia="zh-CN"/>
        </w:rPr>
        <w:t>“</w:t>
      </w:r>
      <w:r>
        <w:rPr>
          <w:rStyle w:val="21"/>
        </w:rPr>
        <w:t>三公</w:t>
      </w:r>
      <w:r>
        <w:rPr>
          <w:rStyle w:val="21"/>
          <w:rFonts w:hint="eastAsia" w:eastAsia="方正楷体_GBK"/>
          <w:lang w:eastAsia="zh-CN"/>
        </w:rPr>
        <w:t>”</w:t>
      </w:r>
      <w:r>
        <w:rPr>
          <w:rStyle w:val="21"/>
        </w:rPr>
        <w:t>经费：</w:t>
      </w:r>
      <w: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36F66FC">
      <w:pPr>
        <w:rPr>
          <w:rFonts w:hint="default"/>
        </w:rPr>
      </w:pPr>
      <w:r>
        <w:rPr>
          <w:rStyle w:val="21"/>
        </w:rPr>
        <w:t>（十三）机关运行经费：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E41D6A8">
      <w:pPr>
        <w:rPr>
          <w:rFonts w:hint="default"/>
        </w:rPr>
      </w:pPr>
      <w:r>
        <w:rPr>
          <w:rStyle w:val="21"/>
        </w:rPr>
        <w:t>（十四）工资福利支出（支出经济分类科目类级）：</w:t>
      </w:r>
      <w:r>
        <w:t>反映单位开支的在职职工和编制外长期聘用人员的各类劳动报酬，以及为上述人员缴纳的各项社会保险费等。</w:t>
      </w:r>
    </w:p>
    <w:p w14:paraId="54052C3F">
      <w:pPr>
        <w:rPr>
          <w:rFonts w:hint="default"/>
        </w:rPr>
      </w:pPr>
      <w:r>
        <w:rPr>
          <w:rStyle w:val="21"/>
        </w:rPr>
        <w:t>（十五）商品和服务支出（支出经济分类科目类级）：</w:t>
      </w:r>
      <w:r>
        <w:t>反映单位购买商品和服务的支出（不包括用于购置固定资产的支出、战略性和应急储备支出）。</w:t>
      </w:r>
    </w:p>
    <w:p w14:paraId="68C56C1E">
      <w:pPr>
        <w:rPr>
          <w:rFonts w:hint="default"/>
        </w:rPr>
      </w:pPr>
      <w:r>
        <w:rPr>
          <w:rStyle w:val="21"/>
        </w:rPr>
        <w:t>（十六）对个人和家庭的补助（支出经济分类科目类级）：</w:t>
      </w:r>
      <w:r>
        <w:t>反映用于对个人和家庭的补助支出。</w:t>
      </w:r>
    </w:p>
    <w:p w14:paraId="57FD73F6">
      <w:pPr>
        <w:rPr>
          <w:rFonts w:hint="default"/>
        </w:rPr>
      </w:pPr>
      <w:r>
        <w:rPr>
          <w:rStyle w:val="21"/>
        </w:rPr>
        <w:t>（十七）其他资本性支出（支出经济分类科目类级）：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14:paraId="6237221F">
      <w:pPr>
        <w:pStyle w:val="3"/>
        <w:bidi w:val="0"/>
        <w:rPr>
          <w:rFonts w:hint="default"/>
        </w:rPr>
      </w:pPr>
      <w:r>
        <w:t>七、决算公开联系方式及信息反馈渠道</w:t>
      </w:r>
    </w:p>
    <w:p w14:paraId="6EE8A235">
      <w:r>
        <w:t>本单位决算公开信息反馈和联系方式：</w:t>
      </w:r>
    </w:p>
    <w:p w14:paraId="53331125">
      <w:pPr>
        <w:sectPr>
          <w:footerReference r:id="rId5" w:type="default"/>
          <w:pgSz w:w="11915" w:h="16840"/>
          <w:pgMar w:top="2098" w:right="1531" w:bottom="1984" w:left="1531" w:header="851" w:footer="1587" w:gutter="0"/>
          <w:pgNumType w:fmt="decimal"/>
          <w:cols w:space="720" w:num="1"/>
          <w:docGrid w:type="lines" w:linePitch="312" w:charSpace="0"/>
        </w:sectPr>
      </w:pPr>
      <w:r>
        <w:rPr>
          <w:rFonts w:hint="eastAsia"/>
        </w:rPr>
        <w:t>余春英</w:t>
      </w:r>
      <w:r>
        <w:rPr>
          <w:rFonts w:hint="eastAsia"/>
          <w:lang w:val="en-US" w:eastAsia="zh-CN"/>
        </w:rPr>
        <w:t xml:space="preserve"> </w:t>
      </w:r>
      <w:r>
        <w:rPr>
          <w:rFonts w:hint="eastAsia"/>
        </w:rPr>
        <w:t>023-70750211</w:t>
      </w:r>
    </w:p>
    <w:p w14:paraId="6F1BF65D">
      <w:pPr>
        <w:rPr>
          <w:rFonts w:hint="default" w:cs="宋体"/>
          <w:sz w:val="21"/>
          <w:szCs w:val="21"/>
        </w:rPr>
      </w:pPr>
    </w:p>
    <w:tbl>
      <w:tblPr>
        <w:tblStyle w:val="12"/>
        <w:tblW w:w="5005" w:type="pct"/>
        <w:jc w:val="center"/>
        <w:tblLayout w:type="autofit"/>
        <w:tblCellMar>
          <w:top w:w="0" w:type="dxa"/>
          <w:left w:w="0" w:type="dxa"/>
          <w:bottom w:w="0" w:type="dxa"/>
          <w:right w:w="0" w:type="dxa"/>
        </w:tblCellMar>
      </w:tblPr>
      <w:tblGrid>
        <w:gridCol w:w="4298"/>
        <w:gridCol w:w="1694"/>
        <w:gridCol w:w="4034"/>
        <w:gridCol w:w="2888"/>
      </w:tblGrid>
      <w:tr w14:paraId="01646F03">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F0ADD5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收入支出决算总表</w:t>
            </w:r>
          </w:p>
        </w:tc>
      </w:tr>
      <w:tr w14:paraId="237EB3CC">
        <w:tblPrEx>
          <w:tblCellMar>
            <w:top w:w="0" w:type="dxa"/>
            <w:left w:w="0" w:type="dxa"/>
            <w:bottom w:w="0" w:type="dxa"/>
            <w:right w:w="0" w:type="dxa"/>
          </w:tblCellMar>
        </w:tblPrEx>
        <w:trPr>
          <w:trHeight w:val="232" w:hRule="atLeast"/>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14:paraId="7C5E451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FF92DB9">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07CFA7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3C6EF9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公开01表</w:t>
            </w:r>
          </w:p>
        </w:tc>
      </w:tr>
      <w:tr w14:paraId="444346E1">
        <w:tblPrEx>
          <w:tblCellMar>
            <w:top w:w="0" w:type="dxa"/>
            <w:left w:w="0" w:type="dxa"/>
            <w:bottom w:w="0" w:type="dxa"/>
            <w:right w:w="0" w:type="dxa"/>
          </w:tblCellMar>
        </w:tblPrEx>
        <w:trPr>
          <w:trHeight w:val="232" w:hRule="atLeast"/>
          <w:jc w:val="center"/>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5D6670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2"/>
                <w:szCs w:val="22"/>
              </w:rPr>
            </w:pPr>
            <w:r>
              <w:rPr>
                <w:rFonts w:cs="宋体"/>
                <w:sz w:val="20"/>
                <w:szCs w:val="20"/>
              </w:rPr>
              <w:t>公开单位：</w:t>
            </w:r>
            <w:r>
              <w:rPr>
                <w:sz w:val="20"/>
              </w:rPr>
              <w:t>重庆市丰都县旅游开发建设管理委员会（本级）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6ABB20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7A2981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2EB223">
        <w:tblPrEx>
          <w:tblCellMar>
            <w:top w:w="0" w:type="dxa"/>
            <w:left w:w="0" w:type="dxa"/>
            <w:bottom w:w="0" w:type="dxa"/>
            <w:right w:w="0" w:type="dxa"/>
          </w:tblCellMar>
        </w:tblPrEx>
        <w:trPr>
          <w:trHeight w:val="243" w:hRule="atLeast"/>
          <w:jc w:val="center"/>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4E26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2A237F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支出</w:t>
            </w:r>
          </w:p>
        </w:tc>
      </w:tr>
      <w:tr w14:paraId="5AB83786">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06C8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AD583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68B5D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83331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r>
      <w:tr w14:paraId="293D7E4A">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C29A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DEAF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8,694.27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734CE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FAD9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9759720">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2CA4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34D8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29729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7B2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6273716">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AD55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E7F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5A63A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261E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51E2032">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04B2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31DD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56EC4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B59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626906D">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2DE0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84C4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DD8C0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F513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A259375">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AAB4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CDB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99829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2636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FAB5C3A">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FA5E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E58E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F2365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4EF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2,025.25</w:t>
            </w:r>
            <w:r>
              <w:rPr>
                <w:color w:val="000000"/>
                <w:sz w:val="20"/>
              </w:rPr>
              <w:t xml:space="preserve"> </w:t>
            </w:r>
          </w:p>
        </w:tc>
      </w:tr>
      <w:tr w14:paraId="5A42CC6C">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A89F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3BF603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3559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36FD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40.95</w:t>
            </w:r>
            <w:r>
              <w:rPr>
                <w:color w:val="000000"/>
                <w:sz w:val="20"/>
              </w:rPr>
              <w:t xml:space="preserve"> </w:t>
            </w:r>
          </w:p>
        </w:tc>
      </w:tr>
      <w:tr w14:paraId="4592B3C8">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C1C2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2CD32">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318A7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A75C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9.33</w:t>
            </w:r>
            <w:r>
              <w:rPr>
                <w:color w:val="000000"/>
                <w:sz w:val="20"/>
              </w:rPr>
              <w:t xml:space="preserve"> </w:t>
            </w:r>
          </w:p>
        </w:tc>
      </w:tr>
      <w:tr w14:paraId="5E30FCD5">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78E2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307C7">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841FE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797C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189322D">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56E1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CFE49C">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28432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E8DD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7,583.33</w:t>
            </w:r>
            <w:r>
              <w:rPr>
                <w:color w:val="000000"/>
                <w:sz w:val="20"/>
              </w:rPr>
              <w:t xml:space="preserve"> </w:t>
            </w:r>
          </w:p>
        </w:tc>
      </w:tr>
      <w:tr w14:paraId="65EE9319">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6207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B3A695">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F28CF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A0B9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F89E2E1">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F6AF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C89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0DF19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C969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F1C51B7">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11B4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BB169">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4E81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639B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9751226">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5775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409D3">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E9496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AD35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811688A">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7437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1CC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14FB4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5A4E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3AB2244">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15E8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41DB0">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0D91C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B006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F0FAEA2">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6D56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DFBFB">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2D410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4425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CBE1F2C">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14CB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B10A7">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CD66A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DE23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8.39</w:t>
            </w:r>
            <w:r>
              <w:rPr>
                <w:color w:val="000000"/>
                <w:sz w:val="20"/>
              </w:rPr>
              <w:t xml:space="preserve"> </w:t>
            </w:r>
          </w:p>
        </w:tc>
      </w:tr>
      <w:tr w14:paraId="7DC1BD0D">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B048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426A9">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5392E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851B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3417C1B">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661C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8D1CC">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0A63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2D0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E534019">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26F5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4929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01814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62B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7CEC33B">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113C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44AD2">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82579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1024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28F0E6A">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99EF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45E9">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0A221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35B9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EB151BE">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A685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EA8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36244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58A6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E9CBDE7">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BAD2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B608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1E409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39B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D4DB21D">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E2EC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52D7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9,563.63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A701D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8D4F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9,667.25</w:t>
            </w:r>
            <w:r>
              <w:rPr>
                <w:color w:val="000000"/>
                <w:sz w:val="20"/>
              </w:rPr>
              <w:t xml:space="preserve"> </w:t>
            </w:r>
          </w:p>
        </w:tc>
      </w:tr>
      <w:tr w14:paraId="34B9481E">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4AA9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251A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2CC87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391A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3251DA0">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FACA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01B8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103.62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6969D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5BEB7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3B721DC">
        <w:tblPrEx>
          <w:tblCellMar>
            <w:top w:w="0" w:type="dxa"/>
            <w:left w:w="0" w:type="dxa"/>
            <w:bottom w:w="0" w:type="dxa"/>
            <w:right w:w="0" w:type="dxa"/>
          </w:tblCellMar>
        </w:tblPrEx>
        <w:trPr>
          <w:trHeight w:val="25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F662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33C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9,667.25</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C8EEE4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D4AD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9,667.25</w:t>
            </w:r>
            <w:r>
              <w:rPr>
                <w:color w:val="000000"/>
                <w:sz w:val="20"/>
              </w:rPr>
              <w:t xml:space="preserve"> </w:t>
            </w:r>
          </w:p>
        </w:tc>
      </w:tr>
    </w:tbl>
    <w:p w14:paraId="41DC491B">
      <w:pPr>
        <w:bidi w:val="0"/>
        <w:rPr>
          <w:sz w:val="24"/>
          <w:szCs w:val="24"/>
        </w:rPr>
      </w:pPr>
      <w:r>
        <w:rPr>
          <w:sz w:val="24"/>
          <w:szCs w:val="24"/>
        </w:rPr>
        <w:t>备注：1.本表反映单位本年度的总收支和年末结转结余情况。</w:t>
      </w:r>
    </w:p>
    <w:p w14:paraId="1BBD09F6">
      <w:pPr>
        <w:bidi w:val="0"/>
        <w:rPr>
          <w:sz w:val="24"/>
          <w:szCs w:val="24"/>
        </w:rPr>
        <w:sectPr>
          <w:headerReference r:id="rId6" w:type="default"/>
          <w:footerReference r:id="rId7" w:type="default"/>
          <w:pgSz w:w="16839" w:h="11907" w:orient="landscape"/>
          <w:pgMar w:top="1531" w:right="1984" w:bottom="1531" w:left="1984" w:header="0" w:footer="1134" w:gutter="0"/>
          <w:pgNumType w:fmt="decimal"/>
          <w:cols w:space="720" w:num="1"/>
          <w:docGrid w:type="lines" w:linePitch="326" w:charSpace="0"/>
        </w:sectPr>
      </w:pPr>
      <w:r>
        <w:rPr>
          <w:sz w:val="24"/>
          <w:szCs w:val="24"/>
        </w:rPr>
        <w:t xml:space="preserve">      2.本套报表金额单位转换时可能存在尾数误差。</w:t>
      </w:r>
    </w:p>
    <w:tbl>
      <w:tblPr>
        <w:tblStyle w:val="12"/>
        <w:tblpPr w:leftFromText="180" w:rightFromText="180" w:vertAnchor="text" w:horzAnchor="page" w:tblpXSpec="center" w:tblpY="548"/>
        <w:tblOverlap w:val="never"/>
        <w:tblW w:w="5000" w:type="pct"/>
        <w:jc w:val="center"/>
        <w:tblLayout w:type="fixed"/>
        <w:tblCellMar>
          <w:top w:w="0" w:type="dxa"/>
          <w:left w:w="0" w:type="dxa"/>
          <w:bottom w:w="0" w:type="dxa"/>
          <w:right w:w="0" w:type="dxa"/>
        </w:tblCellMar>
      </w:tblPr>
      <w:tblGrid>
        <w:gridCol w:w="1428"/>
        <w:gridCol w:w="2660"/>
        <w:gridCol w:w="1034"/>
        <w:gridCol w:w="1034"/>
        <w:gridCol w:w="1034"/>
        <w:gridCol w:w="1034"/>
        <w:gridCol w:w="1146"/>
        <w:gridCol w:w="1096"/>
        <w:gridCol w:w="1207"/>
        <w:gridCol w:w="1226"/>
      </w:tblGrid>
      <w:tr w14:paraId="0F4C425F">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66E163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收入决算表</w:t>
            </w:r>
          </w:p>
        </w:tc>
      </w:tr>
      <w:tr w14:paraId="20F1D296">
        <w:tblPrEx>
          <w:tblCellMar>
            <w:top w:w="0" w:type="dxa"/>
            <w:left w:w="0" w:type="dxa"/>
            <w:bottom w:w="0" w:type="dxa"/>
            <w:right w:w="0" w:type="dxa"/>
          </w:tblCellMar>
        </w:tblPrEx>
        <w:trPr>
          <w:trHeight w:val="328" w:hRule="atLeast"/>
          <w:jc w:val="center"/>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110CD7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sz w:val="20"/>
              </w:rPr>
              <w:t>重庆市丰都县旅游开发建设管理委员会（本级）</w:t>
            </w:r>
          </w:p>
        </w:tc>
        <w:tc>
          <w:tcPr>
            <w:tcW w:w="400" w:type="pct"/>
            <w:tcBorders>
              <w:top w:val="nil"/>
              <w:left w:val="nil"/>
              <w:bottom w:val="nil"/>
              <w:right w:val="nil"/>
            </w:tcBorders>
            <w:shd w:val="clear" w:color="auto" w:fill="auto"/>
            <w:noWrap/>
            <w:tcMar>
              <w:top w:w="15" w:type="dxa"/>
              <w:left w:w="15" w:type="dxa"/>
              <w:right w:w="15" w:type="dxa"/>
            </w:tcMar>
            <w:vAlign w:val="bottom"/>
          </w:tcPr>
          <w:p w14:paraId="55C1FF0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0A075FF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03C0820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D837BB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715979E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605A37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20B6EF6">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公开02表</w:t>
            </w:r>
          </w:p>
        </w:tc>
      </w:tr>
      <w:tr w14:paraId="6C18F12A">
        <w:tblPrEx>
          <w:tblCellMar>
            <w:top w:w="0" w:type="dxa"/>
            <w:left w:w="0" w:type="dxa"/>
            <w:bottom w:w="0" w:type="dxa"/>
            <w:right w:w="0" w:type="dxa"/>
          </w:tblCellMar>
        </w:tblPrEx>
        <w:trPr>
          <w:trHeight w:val="328" w:hRule="atLeast"/>
          <w:jc w:val="center"/>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EDFA13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4DB8004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445D480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CC5FC0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A1AA25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0135280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189851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9348789">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A32A4C">
        <w:tblPrEx>
          <w:tblCellMar>
            <w:top w:w="0" w:type="dxa"/>
            <w:left w:w="0" w:type="dxa"/>
            <w:bottom w:w="0" w:type="dxa"/>
            <w:right w:w="0" w:type="dxa"/>
          </w:tblCellMar>
        </w:tblPrEx>
        <w:trPr>
          <w:trHeight w:val="431" w:hRule="atLeast"/>
          <w:jc w:val="center"/>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49ED96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F30F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9F67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CD5C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64011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65F4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A8F1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7E95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其他收入</w:t>
            </w:r>
          </w:p>
        </w:tc>
      </w:tr>
      <w:tr w14:paraId="5E219E42">
        <w:tblPrEx>
          <w:tblCellMar>
            <w:top w:w="0" w:type="dxa"/>
            <w:left w:w="0" w:type="dxa"/>
            <w:bottom w:w="0" w:type="dxa"/>
            <w:right w:w="0" w:type="dxa"/>
          </w:tblCellMar>
        </w:tblPrEx>
        <w:trPr>
          <w:trHeight w:val="334" w:hRule="atLeast"/>
          <w:jc w:val="center"/>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1C5E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C6366F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ABD5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3367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E60F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4914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05A1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A7BD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2461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E74B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226054DF">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CA03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F76AB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7705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0DF2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0480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B65F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7D07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14E7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031D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D641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26CF2AB">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6016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B3891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B149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1120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690F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B19E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6450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653E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1B05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6E90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7E7E5B46">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2E6E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DAE9B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0735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9BCF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4F57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3C44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4ADD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2CCF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C3E5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EFE0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9CC41BA">
        <w:tblPrEx>
          <w:tblCellMar>
            <w:top w:w="0" w:type="dxa"/>
            <w:left w:w="0" w:type="dxa"/>
            <w:bottom w:w="0" w:type="dxa"/>
            <w:right w:w="0" w:type="dxa"/>
          </w:tblCellMar>
        </w:tblPrEx>
        <w:trPr>
          <w:trHeight w:val="338" w:hRule="atLeast"/>
          <w:jc w:val="center"/>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2E5E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8F2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9,563.63</w:t>
            </w: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EA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9,563.63</w:t>
            </w: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910B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AC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AFF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63F8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386E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EF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r w14:paraId="5CA1DC41">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D6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8B7B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06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2,025.25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2E1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2,025.25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B78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8C2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CA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97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5B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36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A26D18D">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9DF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E3E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文化和旅游</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121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1,996.25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E0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1,996.25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2B3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06C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07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55A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C45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1B2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61C625E">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1E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8DBC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CE6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158.78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1AC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158.78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FC7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F4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DC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BB9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2CC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B13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BBC0A7F">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F60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83FF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旅游宣传</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4D3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1,837.48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D3B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1,837.48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39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B98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CBA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CFC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D62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0FE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20E1449">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D46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D157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体育</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D2A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29.00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4C4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29.00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9B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A0C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E9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31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8EC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FFD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B0CA2FD">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4DD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D3B9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体育场馆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37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29.00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6E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29.00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837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9E9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F1A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AA5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943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D3D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4040411">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75F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6E9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E21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40.95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379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40.95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9F0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C3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0CF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02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AD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5D8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5339FA9">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50A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697A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E06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40.95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43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40.95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68B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C26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38D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715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36E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5B4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1E3759B">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D88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6278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49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19.88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2DA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19.88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3F1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AF7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44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087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989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80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CAA6ADB">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FE2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4F1C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184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15.40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FC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15.40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DF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0EA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E54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D62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61E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04B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FB937DE">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08D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5854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D5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5.68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62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5.68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844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B9D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AB0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25E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C67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3B2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BB2B348">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DD1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EB4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D3B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9.33</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09B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9.33</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E8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E41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174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E05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F77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FBB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26A63FA">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3C8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E691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BB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9.33</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62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9.33</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A50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CEB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2F7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768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83C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87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9CFDC79">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697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1656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482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5.94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1C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5.94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C9C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49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4F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BB6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AE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D91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DBDF7DD">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2BC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ADF3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C3A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3.39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2F9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3.39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E7F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D3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E9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5D6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6D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FF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39AD73F">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99C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AD3F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A0E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7,479.70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01A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7,479.70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B3F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5B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671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93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04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B12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35E4D69">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F27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EC81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城乡社区公共设施</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1F4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6,610.35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69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6,610.35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38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84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F58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D0F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9E3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76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BA6D077">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1D4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7135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小城镇基础设施建设</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ACE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6,610.35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7F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6,610.35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B5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DD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80B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38C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356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27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2AF43F1">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73B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A531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国有土地使用权出让收入安排的支出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78B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869.35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C63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869.35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6D5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A7D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EDC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A57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BE1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16B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B8CEEF4">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00C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C471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土地开发支出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706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0E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38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8B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913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9A7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6E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8F9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FC7E021">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29D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9348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2E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8.39</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5C8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8.39</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E4D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A73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11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C8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317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F1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DEC3B00">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033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348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C81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8.39</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C9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8.39</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713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49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5F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64B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770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07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D60A895">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F0D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83BE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E9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8.39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FC6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8.39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D2F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04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C00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3ED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BFA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1E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bl>
    <w:p w14:paraId="30E30B24">
      <w:pPr>
        <w:bidi w:val="0"/>
        <w:rPr>
          <w:sz w:val="24"/>
          <w:szCs w:val="24"/>
        </w:rPr>
      </w:pPr>
      <w:r>
        <w:rPr>
          <w:sz w:val="24"/>
          <w:szCs w:val="24"/>
        </w:rPr>
        <w:t>备注：1.本表反映单位本年度取得的各项收入情况。</w:t>
      </w:r>
    </w:p>
    <w:p w14:paraId="23D9CD77">
      <w:pPr>
        <w:bidi w:val="0"/>
        <w:ind w:firstLine="1200" w:firstLineChars="500"/>
        <w:rPr>
          <w:rFonts w:hint="default" w:cs="宋体"/>
          <w:szCs w:val="20"/>
        </w:rPr>
      </w:pPr>
      <w:r>
        <w:rPr>
          <w:sz w:val="24"/>
          <w:szCs w:val="24"/>
        </w:rPr>
        <w:t>2.本套报表金额单位转换时可能存在尾数误差。</w:t>
      </w:r>
    </w:p>
    <w:p w14:paraId="6DB1E5AF">
      <w:pPr>
        <w:rPr>
          <w:rFonts w:hint="default" w:cs="宋体"/>
          <w:sz w:val="20"/>
          <w:szCs w:val="20"/>
        </w:rPr>
      </w:pPr>
      <w:r>
        <w:rPr>
          <w:rFonts w:cs="宋体"/>
          <w:sz w:val="20"/>
          <w:szCs w:val="20"/>
        </w:rPr>
        <w:br w:type="page"/>
      </w:r>
    </w:p>
    <w:tbl>
      <w:tblPr>
        <w:tblStyle w:val="12"/>
        <w:tblW w:w="5000" w:type="pct"/>
        <w:tblInd w:w="0" w:type="dxa"/>
        <w:tblLayout w:type="autofit"/>
        <w:tblCellMar>
          <w:top w:w="0" w:type="dxa"/>
          <w:left w:w="0" w:type="dxa"/>
          <w:bottom w:w="0" w:type="dxa"/>
          <w:right w:w="0" w:type="dxa"/>
        </w:tblCellMar>
      </w:tblPr>
      <w:tblGrid>
        <w:gridCol w:w="1637"/>
        <w:gridCol w:w="3243"/>
        <w:gridCol w:w="1334"/>
        <w:gridCol w:w="1334"/>
        <w:gridCol w:w="1335"/>
        <w:gridCol w:w="1322"/>
        <w:gridCol w:w="1322"/>
        <w:gridCol w:w="1374"/>
      </w:tblGrid>
      <w:tr w14:paraId="74E9785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C8E859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支出决算表</w:t>
            </w:r>
          </w:p>
        </w:tc>
      </w:tr>
      <w:tr w14:paraId="031E234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E2320A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重庆市丰都县旅游开发建设管理委员会（本级）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A821EF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6E134E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90AFD3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0512B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2295227">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公开03表</w:t>
            </w:r>
          </w:p>
        </w:tc>
      </w:tr>
      <w:tr w14:paraId="28B4A189">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553458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68182D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770957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ED79D4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0B6905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F185159">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74F2E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DBDB4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20B6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E6FA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4412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F24A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330B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6B5A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对附属单位补助支出</w:t>
            </w:r>
          </w:p>
        </w:tc>
      </w:tr>
      <w:tr w14:paraId="795B02D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D5F3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B2A73F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E9F6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6724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5F73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6DEF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7261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5DFF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3274875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B6E7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62570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9815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18DA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B6DF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1779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4A09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3F89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78FAE0F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AD27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32E08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A0E8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4780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3A5A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B657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3A9C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B878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767437C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DBBE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7ADB2F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D035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9AF1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1FA5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B401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C6AB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28BE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78AF0A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D4AF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6AC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9,667.25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7735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217.44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071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9,449.81</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5A4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7593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3D6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r w14:paraId="232DF0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F6E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09E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341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2,025.25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481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158.78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0C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1,866.48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16B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378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7F5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41705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EDC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E5A7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DD4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1,996.25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F56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158.78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8F2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1,837.48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3BF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4EB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413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547A7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8CD2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C138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C29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158.78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CBC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158.78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3F2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357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E9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BAD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A7776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49D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E363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旅游宣传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ADF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1,837.48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20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41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1,837.48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E76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B98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633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1E611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181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459F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CA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8C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54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DF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A3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39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F7090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895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6F32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72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A8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67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5D7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76A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60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FE74C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C6F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4608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14C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40.95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3C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40.95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A7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966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6CE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F5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94CB6ED">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0CE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53F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8F3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40.95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E5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40.95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6A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35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27A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849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AC888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18A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8A2A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A0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19.88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B78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19.88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43F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C1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37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B4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5DEEC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22A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ECE6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27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701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EA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8BC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033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FE0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15BB5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754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088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24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02E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681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8C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630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F3E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90FCF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BD6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11E9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B5B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781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98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2E0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BE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76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F9911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F07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97AB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847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55C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A2F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64C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1D3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8E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E045C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489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632A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42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46A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A8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E11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3B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2F9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24CC8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AFF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E815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24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E3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375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E1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678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C0C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79E96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794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896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996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7,583.33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C8A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757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7,583.33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5D7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F5D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826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CBFBF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977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F7F7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B1D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6,713.98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11C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C39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6,713.98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91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2EE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54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2CB2D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F9A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2FC5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1B1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6,610.35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98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FDA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6,610.35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41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B5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1DE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E7C97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2CE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B177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5F3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103.62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49B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B5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103.62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795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51B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EB5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BA139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6D9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BFB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22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869.35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BD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7F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869.35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45A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A5D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74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1DC14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FBC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EF0B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005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6D0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662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303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8F5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F5F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14828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F0C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B097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6B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F81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0F2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458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C77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53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42BC7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B2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05B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94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C8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D9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2DB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383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83E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67F25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760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5F12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2E9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3E3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D6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FE0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40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A6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bl>
    <w:p w14:paraId="0846E935">
      <w:pPr>
        <w:bidi w:val="0"/>
        <w:rPr>
          <w:sz w:val="24"/>
          <w:szCs w:val="24"/>
        </w:rPr>
      </w:pPr>
      <w:r>
        <w:rPr>
          <w:sz w:val="24"/>
          <w:szCs w:val="24"/>
        </w:rPr>
        <w:t>备注：1.本表反映单位本年度各项支出情况。</w:t>
      </w:r>
    </w:p>
    <w:p w14:paraId="332AB260">
      <w:pPr>
        <w:bidi w:val="0"/>
        <w:rPr>
          <w:rFonts w:hint="default" w:cs="宋体"/>
          <w:szCs w:val="20"/>
        </w:rPr>
      </w:pPr>
      <w:r>
        <w:rPr>
          <w:sz w:val="24"/>
          <w:szCs w:val="24"/>
        </w:rPr>
        <w:t xml:space="preserve">      2.本套报表金额单位转换时可能存在尾数误差。</w:t>
      </w:r>
    </w:p>
    <w:p w14:paraId="11CF6785">
      <w:pPr>
        <w:rPr>
          <w:rFonts w:hint="default" w:cs="宋体"/>
          <w:sz w:val="21"/>
          <w:szCs w:val="21"/>
        </w:rPr>
      </w:pPr>
      <w:r>
        <w:rPr>
          <w:rFonts w:cs="宋体"/>
          <w:sz w:val="21"/>
          <w:szCs w:val="21"/>
        </w:rPr>
        <w:br w:type="page"/>
      </w:r>
    </w:p>
    <w:p w14:paraId="0256664F">
      <w:pPr>
        <w:rPr>
          <w:rFonts w:hint="default" w:cs="宋体"/>
          <w:sz w:val="21"/>
          <w:szCs w:val="21"/>
        </w:rPr>
      </w:pPr>
    </w:p>
    <w:tbl>
      <w:tblPr>
        <w:tblStyle w:val="12"/>
        <w:tblW w:w="4790" w:type="pct"/>
        <w:jc w:val="center"/>
        <w:tblLayout w:type="autofit"/>
        <w:tblCellMar>
          <w:top w:w="0" w:type="dxa"/>
          <w:left w:w="0" w:type="dxa"/>
          <w:bottom w:w="0" w:type="dxa"/>
          <w:right w:w="0" w:type="dxa"/>
        </w:tblCellMar>
      </w:tblPr>
      <w:tblGrid>
        <w:gridCol w:w="2550"/>
        <w:gridCol w:w="1259"/>
        <w:gridCol w:w="2730"/>
        <w:gridCol w:w="1405"/>
        <w:gridCol w:w="1405"/>
        <w:gridCol w:w="1406"/>
        <w:gridCol w:w="1604"/>
      </w:tblGrid>
      <w:tr w14:paraId="144A9C6A">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23DC53A">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bottom"/>
              <w:rPr>
                <w:rFonts w:hint="default" w:cs="宋体"/>
                <w:b/>
                <w:color w:val="000000"/>
                <w:sz w:val="32"/>
                <w:szCs w:val="32"/>
              </w:rPr>
            </w:pPr>
            <w:r>
              <w:rPr>
                <w:rFonts w:cs="宋体"/>
                <w:b/>
                <w:color w:val="000000"/>
                <w:sz w:val="32"/>
                <w:szCs w:val="32"/>
              </w:rPr>
              <w:t>财政拨款收入支出决算总表</w:t>
            </w:r>
          </w:p>
        </w:tc>
      </w:tr>
      <w:tr w14:paraId="4A493D8E">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28DB6D7">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重庆市丰都县旅游开发建设管理委员会（本级）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1ED527A8">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A5BD30">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9C6753">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7646A3">
            <w:pPr>
              <w:keepNext w:val="0"/>
              <w:keepLines w:val="0"/>
              <w:pageBreakBefore w:val="0"/>
              <w:widowControl/>
              <w:kinsoku/>
              <w:overflowPunct/>
              <w:topLinePunct w:val="0"/>
              <w:autoSpaceDE/>
              <w:autoSpaceDN/>
              <w:bidi w:val="0"/>
              <w:adjustRightInd/>
              <w:snapToGrid/>
              <w:spacing w:line="400" w:lineRule="exact"/>
              <w:ind w:firstLine="0" w:firstLineChars="0"/>
              <w:jc w:val="right"/>
              <w:textAlignment w:val="bottom"/>
              <w:rPr>
                <w:rFonts w:hint="default" w:cs="宋体"/>
                <w:color w:val="000000"/>
                <w:sz w:val="20"/>
                <w:szCs w:val="20"/>
              </w:rPr>
            </w:pPr>
            <w:r>
              <w:rPr>
                <w:rFonts w:cs="宋体"/>
                <w:color w:val="000000"/>
                <w:sz w:val="20"/>
                <w:szCs w:val="20"/>
              </w:rPr>
              <w:t>公开04表</w:t>
            </w:r>
          </w:p>
        </w:tc>
      </w:tr>
      <w:tr w14:paraId="5318508C">
        <w:tblPrEx>
          <w:tblCellMar>
            <w:top w:w="0" w:type="dxa"/>
            <w:left w:w="0" w:type="dxa"/>
            <w:bottom w:w="0" w:type="dxa"/>
            <w:right w:w="0" w:type="dxa"/>
          </w:tblCellMar>
        </w:tblPrEx>
        <w:trPr>
          <w:trHeight w:val="221"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CFFA347">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896789">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851902">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DA1B84">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8F87EE2">
            <w:pPr>
              <w:keepNext w:val="0"/>
              <w:keepLines w:val="0"/>
              <w:pageBreakBefore w:val="0"/>
              <w:widowControl/>
              <w:kinsoku/>
              <w:overflowPunct/>
              <w:topLinePunct w:val="0"/>
              <w:autoSpaceDE/>
              <w:autoSpaceDN/>
              <w:bidi w:val="0"/>
              <w:adjustRightInd/>
              <w:snapToGrid/>
              <w:spacing w:line="40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FEF62D">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9D721">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33203">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支     出</w:t>
            </w:r>
          </w:p>
        </w:tc>
      </w:tr>
      <w:tr w14:paraId="445A0D77">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1E329">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9D28C">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7CD515">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0B73D4">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r>
      <w:tr w14:paraId="05FC1144">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AFDD1">
            <w:pPr>
              <w:keepNext w:val="0"/>
              <w:keepLines w:val="0"/>
              <w:pageBreakBefore w:val="0"/>
              <w:widowControl/>
              <w:kinsoku/>
              <w:overflowPunct/>
              <w:topLinePunct w:val="0"/>
              <w:autoSpaceDE/>
              <w:autoSpaceDN/>
              <w:bidi w:val="0"/>
              <w:adjustRightInd/>
              <w:snapToGrid/>
              <w:spacing w:line="400" w:lineRule="exact"/>
              <w:ind w:firstLine="0" w:firstLineChars="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C0F84">
            <w:pPr>
              <w:keepNext w:val="0"/>
              <w:keepLines w:val="0"/>
              <w:pageBreakBefore w:val="0"/>
              <w:widowControl/>
              <w:kinsoku/>
              <w:overflowPunct/>
              <w:topLinePunct w:val="0"/>
              <w:autoSpaceDE/>
              <w:autoSpaceDN/>
              <w:bidi w:val="0"/>
              <w:adjustRightInd/>
              <w:snapToGrid/>
              <w:spacing w:line="400" w:lineRule="exact"/>
              <w:ind w:firstLine="0" w:firstLineChars="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EF8D0">
            <w:pPr>
              <w:keepNext w:val="0"/>
              <w:keepLines w:val="0"/>
              <w:pageBreakBefore w:val="0"/>
              <w:widowControl/>
              <w:kinsoku/>
              <w:overflowPunct/>
              <w:topLinePunct w:val="0"/>
              <w:autoSpaceDE/>
              <w:autoSpaceDN/>
              <w:bidi w:val="0"/>
              <w:adjustRightInd/>
              <w:snapToGrid/>
              <w:spacing w:line="40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02510">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636DB">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CAA1C">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A72E4">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国有资本经营预算财政拨款</w:t>
            </w:r>
          </w:p>
        </w:tc>
      </w:tr>
      <w:tr w14:paraId="369D6C7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9D8CE">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B9E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8,694.27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CDBDA">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57C3">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3B1D">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30D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DC6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48C32F5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E6B63">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2A4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869.35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03D66">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BA7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7FA0">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9960">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954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0F4CBA1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E325B">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BBC1">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B9A89">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D010">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D2C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8FC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6C1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436342C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3C702">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CE8CF3">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A65EB">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EAA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3801">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634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5C7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4646D32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4C31D">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AF7721">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D4917">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AB11">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E1D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E37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F7B9">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0FC137D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4BFF">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A398B">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6ADB6">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B66F">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AD29">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5AC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1E1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0EF113C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AA1FF">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593C5">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E0B6E">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DF7F">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2,025.25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FB0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2,025.25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B29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E85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446A250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2C904">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C17F6">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6504A">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721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40.95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87E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40.95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D4CE">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C8B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21801C4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720CA">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FB863A">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F6A1A">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166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9.33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9A2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9.33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804F">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42D4">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5D4EE15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AE9A9">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A477">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42BB6">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D81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4F6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49FE">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7F1A">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1AE29168">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610F3">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3650">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1D492">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A82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7,583.33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5C3B">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6,713.98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395E">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869.35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F9A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39BB281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C7A6D">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D4B7">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78BEB">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462B">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92C4">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DB0F">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607B">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713F035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D032C">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A27E">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1550B">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420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8A9A">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BC0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ED5E">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6533B26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66E63">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0A4C">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5E7FF">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6CC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A56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6E81">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6B3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470F664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64B15">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45AB">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A5AA7">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24D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5CA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1D34">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EB5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514A2D2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E5B15">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14DC">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FB6E8">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3FB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8F64">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05F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6BA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26D91F3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B700E">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60A9">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9C212">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A8D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E5E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837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FBB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7E61658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E7BD6">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3426">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0B76F">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FFE9">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6CAA">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9BFE">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DC59">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5033B9C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B9BAF">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669B">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5B951">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FA4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8.39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A060">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8.39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38B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367A">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62ED00C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26820">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A2C2">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84CDB">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5C1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101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033E">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93D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1E99528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D2B11">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D05B">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376CB">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1730">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D56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9B59">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D24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20D6321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F29C">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C1D3">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1BE11">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1F6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94D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22B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1DC4">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62BB905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FF2B2">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4494">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CCD6F">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7CB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E77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17D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470B">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1B7D7C7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243E5F">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87B0">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B5F52">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CE94">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2F4D">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0523">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2C5D">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4D412A5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7D6CD5">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5C8C">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140F0">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7E0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DE4D">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D90E">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FA1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541EE57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94E57C">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CFF9">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202C1">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66E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4A93">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BFDB">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CF2B">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488F9218">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B396B">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965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9,563.63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B6535">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E5C3">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9,667.25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DD27">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8,797.90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580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869.35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78BA">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2323739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B44B5">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4A91">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103.62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FEC48">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D5C2">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508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D8DB">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A7F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r w14:paraId="193A9C2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8DA65">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A1D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103.62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E93C9B">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9841A5">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23FAF">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21F51">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B4F25B">
            <w:pPr>
              <w:keepNext w:val="0"/>
              <w:keepLines w:val="0"/>
              <w:pageBreakBefore w:val="0"/>
              <w:widowControl/>
              <w:kinsoku/>
              <w:overflowPunct/>
              <w:topLinePunct w:val="0"/>
              <w:autoSpaceDE/>
              <w:autoSpaceDN/>
              <w:bidi w:val="0"/>
              <w:adjustRightInd/>
              <w:snapToGrid/>
              <w:spacing w:line="400" w:lineRule="exact"/>
              <w:ind w:firstLine="0" w:firstLineChars="0"/>
              <w:rPr>
                <w:rFonts w:hint="default" w:cs="宋体"/>
                <w:color w:val="000000"/>
                <w:sz w:val="18"/>
                <w:szCs w:val="18"/>
              </w:rPr>
            </w:pPr>
          </w:p>
        </w:tc>
      </w:tr>
      <w:tr w14:paraId="5C80A25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1A721">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8D75">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725CA">
            <w:pPr>
              <w:keepNext w:val="0"/>
              <w:keepLines w:val="0"/>
              <w:pageBreakBefore w:val="0"/>
              <w:widowControl/>
              <w:kinsoku/>
              <w:overflowPunct/>
              <w:topLinePunct w:val="0"/>
              <w:autoSpaceDE/>
              <w:autoSpaceDN/>
              <w:bidi w:val="0"/>
              <w:adjustRightInd/>
              <w:snapToGrid/>
              <w:spacing w:line="40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21E8">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7EBB">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D795">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7792">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r>
      <w:tr w14:paraId="4E11DFC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8D84F">
            <w:pPr>
              <w:keepNext w:val="0"/>
              <w:keepLines w:val="0"/>
              <w:pageBreakBefore w:val="0"/>
              <w:widowControl/>
              <w:kinsoku/>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262C">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5616C">
            <w:pPr>
              <w:keepNext w:val="0"/>
              <w:keepLines w:val="0"/>
              <w:pageBreakBefore w:val="0"/>
              <w:widowControl/>
              <w:kinsoku/>
              <w:overflowPunct/>
              <w:topLinePunct w:val="0"/>
              <w:autoSpaceDE/>
              <w:autoSpaceDN/>
              <w:bidi w:val="0"/>
              <w:adjustRightInd/>
              <w:snapToGrid/>
              <w:spacing w:line="40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2E68">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E982">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373B">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B9D6">
            <w:pPr>
              <w:keepNext w:val="0"/>
              <w:keepLines w:val="0"/>
              <w:pageBreakBefore w:val="0"/>
              <w:widowControl/>
              <w:kinsoku/>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r>
      <w:tr w14:paraId="7ACAF95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F7AF1">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18CF">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9,667.25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D7C59">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0C58">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9,667.25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DE2F">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8,797.90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47F9">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rPr>
              <w:t>869.35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3B66">
            <w:pPr>
              <w:keepNext w:val="0"/>
              <w:keepLines w:val="0"/>
              <w:pageBreakBefore w:val="0"/>
              <w:widowControl/>
              <w:kinsoku/>
              <w:wordWrap w:val="0"/>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color w:val="000000"/>
                <w:sz w:val="18"/>
              </w:rPr>
              <w:t xml:space="preserve"> </w:t>
            </w:r>
          </w:p>
        </w:tc>
      </w:tr>
    </w:tbl>
    <w:p w14:paraId="5818E5F5">
      <w:pPr>
        <w:bidi w:val="0"/>
        <w:rPr>
          <w:sz w:val="24"/>
          <w:szCs w:val="24"/>
        </w:rPr>
      </w:pPr>
      <w:r>
        <w:rPr>
          <w:sz w:val="24"/>
          <w:szCs w:val="24"/>
        </w:rPr>
        <w:t>备注：1.本表反映单位本年度一般公共预算财政拨款、政府性基金预算财政拨款及国有资本经营预算财政拨款的总收支和年末结转结余情况。</w:t>
      </w:r>
    </w:p>
    <w:p w14:paraId="260216C2">
      <w:pPr>
        <w:bidi w:val="0"/>
        <w:rPr>
          <w:rFonts w:hint="default" w:cs="宋体"/>
          <w:szCs w:val="20"/>
        </w:rPr>
      </w:pPr>
      <w:r>
        <w:rPr>
          <w:sz w:val="24"/>
          <w:szCs w:val="24"/>
        </w:rPr>
        <w:t xml:space="preserve">      2.本套报表金额单位转换时可能存在尾数误差。</w:t>
      </w:r>
      <w:r>
        <w:rPr>
          <w:rFonts w:cs="宋体"/>
          <w:szCs w:val="21"/>
        </w:rPr>
        <w:br w:type="page"/>
      </w:r>
    </w:p>
    <w:tbl>
      <w:tblPr>
        <w:tblStyle w:val="12"/>
        <w:tblW w:w="5000" w:type="pct"/>
        <w:tblInd w:w="0" w:type="dxa"/>
        <w:tblLayout w:type="autofit"/>
        <w:tblCellMar>
          <w:top w:w="0" w:type="dxa"/>
          <w:left w:w="0" w:type="dxa"/>
          <w:bottom w:w="0" w:type="dxa"/>
          <w:right w:w="0" w:type="dxa"/>
        </w:tblCellMar>
      </w:tblPr>
      <w:tblGrid>
        <w:gridCol w:w="1495"/>
        <w:gridCol w:w="3230"/>
        <w:gridCol w:w="2721"/>
        <w:gridCol w:w="2721"/>
        <w:gridCol w:w="2734"/>
      </w:tblGrid>
      <w:tr w14:paraId="30A078F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BD271A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4822D8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C9F10B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重庆市丰都县旅游开发建设管理委员会（本级）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712266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EFFF508">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公开05表</w:t>
            </w:r>
          </w:p>
        </w:tc>
      </w:tr>
      <w:tr w14:paraId="7CCA2B3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5D58DA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4734CB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9B312E">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D4573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E1B7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4A795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w:t>
            </w:r>
          </w:p>
        </w:tc>
      </w:tr>
      <w:tr w14:paraId="0F8883C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ACFF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8C30B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10312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CFF1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97BCD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2924A26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7EB0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D4BF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2807A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E7C08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671A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0F67B76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EE6C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C97BC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60AC7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C975F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BBDF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636370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66AD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482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8,797.90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69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217.44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CD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8,580.45</w:t>
            </w:r>
            <w:r>
              <w:rPr>
                <w:b/>
                <w:color w:val="000000"/>
                <w:sz w:val="20"/>
              </w:rPr>
              <w:t xml:space="preserve"> </w:t>
            </w:r>
          </w:p>
        </w:tc>
      </w:tr>
      <w:tr w14:paraId="39CFC4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01E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389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70F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2,025.25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4247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158.78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FC72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1,866.48</w:t>
            </w:r>
            <w:r>
              <w:rPr>
                <w:b/>
                <w:color w:val="000000"/>
                <w:sz w:val="20"/>
              </w:rPr>
              <w:t xml:space="preserve"> </w:t>
            </w:r>
          </w:p>
        </w:tc>
      </w:tr>
      <w:tr w14:paraId="503EB8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31D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E4C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41C9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1,996.25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B65E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158.78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9DF7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1,837.48</w:t>
            </w:r>
            <w:r>
              <w:rPr>
                <w:b/>
                <w:color w:val="000000"/>
                <w:sz w:val="20"/>
              </w:rPr>
              <w:t xml:space="preserve"> </w:t>
            </w:r>
          </w:p>
        </w:tc>
      </w:tr>
      <w:tr w14:paraId="2B056C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A99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6DC0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FB28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158.78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FFF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158.78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0794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1ACB09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557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D17E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旅游宣传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2BD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1,837.48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AD5A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7BE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1,837.48</w:t>
            </w:r>
            <w:r>
              <w:rPr>
                <w:color w:val="000000"/>
                <w:sz w:val="20"/>
              </w:rPr>
              <w:t xml:space="preserve"> </w:t>
            </w:r>
          </w:p>
        </w:tc>
      </w:tr>
      <w:tr w14:paraId="741F9C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5E2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1EDC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942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60A3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B2B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29.00</w:t>
            </w:r>
            <w:r>
              <w:rPr>
                <w:b/>
                <w:color w:val="000000"/>
                <w:sz w:val="20"/>
              </w:rPr>
              <w:t xml:space="preserve"> </w:t>
            </w:r>
          </w:p>
        </w:tc>
      </w:tr>
      <w:tr w14:paraId="5478DC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8D6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4C6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C93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39A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CF70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29.00</w:t>
            </w:r>
            <w:r>
              <w:rPr>
                <w:color w:val="000000"/>
                <w:sz w:val="20"/>
              </w:rPr>
              <w:t xml:space="preserve"> </w:t>
            </w:r>
          </w:p>
        </w:tc>
      </w:tr>
      <w:tr w14:paraId="2FBE47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C13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C1F5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4C0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40.95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F01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40.95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9E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688B85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FF1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9687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0DC7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40.95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EEE7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40.95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0AAB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455E32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1C0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4DE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C1C9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19.88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4E0F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19.88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D142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21A15E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D94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5697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F267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15.40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7D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15.40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5A5B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517A8C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83B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DBC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3BC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5.68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B2D4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5.68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62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1E011C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5C6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DDF4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FCD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9.33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089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9.33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24DE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3AD11F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C25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1576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339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9.33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DC81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9.33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405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36F644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B5E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EB8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E9AE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5.94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65A6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5.94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D95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4454ED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B65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5F13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F78F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3.39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9AD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3.39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6D9C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049E9DCE">
        <w:tblPrEx>
          <w:tblCellMar>
            <w:top w:w="0" w:type="dxa"/>
            <w:left w:w="0" w:type="dxa"/>
            <w:bottom w:w="0" w:type="dxa"/>
            <w:right w:w="0" w:type="dxa"/>
          </w:tblCellMar>
        </w:tblPrEx>
        <w:trPr>
          <w:trHeight w:val="256"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FF4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2B22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ED6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6,713.98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204B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631B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6,713.98</w:t>
            </w:r>
            <w:r>
              <w:rPr>
                <w:b/>
                <w:color w:val="000000"/>
                <w:sz w:val="20"/>
              </w:rPr>
              <w:t xml:space="preserve"> </w:t>
            </w:r>
          </w:p>
        </w:tc>
      </w:tr>
      <w:tr w14:paraId="2163CE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AD9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B2A4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E0BD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6,713.98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4175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4D8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6,713.98</w:t>
            </w:r>
            <w:r>
              <w:rPr>
                <w:b/>
                <w:color w:val="000000"/>
                <w:sz w:val="20"/>
              </w:rPr>
              <w:t xml:space="preserve"> </w:t>
            </w:r>
          </w:p>
        </w:tc>
      </w:tr>
      <w:tr w14:paraId="3A489E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256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C1C3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EF7A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6,610.35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16C8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DAA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6,610.35</w:t>
            </w:r>
            <w:r>
              <w:rPr>
                <w:color w:val="000000"/>
                <w:sz w:val="20"/>
              </w:rPr>
              <w:t xml:space="preserve"> </w:t>
            </w:r>
          </w:p>
        </w:tc>
      </w:tr>
      <w:tr w14:paraId="1E3CC0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312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B02F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D88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103.62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988E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81D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103.62</w:t>
            </w:r>
            <w:r>
              <w:rPr>
                <w:color w:val="000000"/>
                <w:sz w:val="20"/>
              </w:rPr>
              <w:t xml:space="preserve"> </w:t>
            </w:r>
          </w:p>
        </w:tc>
      </w:tr>
      <w:tr w14:paraId="2E197A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F88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539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6BC9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2BE0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8.39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0CFA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5D3E70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2FE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BB1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CFA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03F0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8.39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F86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07B712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CEC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C271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816D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8.39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ADBC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8.39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E01C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bl>
    <w:p w14:paraId="20E6BE83">
      <w:pPr>
        <w:bidi w:val="0"/>
      </w:pPr>
      <w:r>
        <w:t>备注：1.本表反映单位本年度一般公共预算财政拨款支出情况。</w:t>
      </w:r>
    </w:p>
    <w:p w14:paraId="3FB7D157">
      <w:pPr>
        <w:bidi w:val="0"/>
        <w:rPr>
          <w:rFonts w:hint="default" w:cs="宋体"/>
          <w:sz w:val="21"/>
          <w:szCs w:val="21"/>
        </w:rPr>
      </w:pPr>
      <w:r>
        <w:t xml:space="preserve">      2.本套报表金额单位转换时可能存在尾数误差。</w:t>
      </w:r>
      <w:r>
        <w:rPr>
          <w:rFonts w:cs="宋体"/>
          <w:sz w:val="21"/>
          <w:szCs w:val="21"/>
        </w:rPr>
        <w:br w:type="page"/>
      </w:r>
    </w:p>
    <w:tbl>
      <w:tblPr>
        <w:tblStyle w:val="12"/>
        <w:tblW w:w="4994" w:type="pct"/>
        <w:tblInd w:w="0" w:type="dxa"/>
        <w:tblLayout w:type="fixed"/>
        <w:tblCellMar>
          <w:top w:w="0" w:type="dxa"/>
          <w:left w:w="0" w:type="dxa"/>
          <w:bottom w:w="0" w:type="dxa"/>
          <w:right w:w="0" w:type="dxa"/>
        </w:tblCellMar>
      </w:tblPr>
      <w:tblGrid>
        <w:gridCol w:w="508"/>
        <w:gridCol w:w="2298"/>
        <w:gridCol w:w="1154"/>
        <w:gridCol w:w="702"/>
        <w:gridCol w:w="1614"/>
        <w:gridCol w:w="1389"/>
        <w:gridCol w:w="678"/>
        <w:gridCol w:w="2959"/>
        <w:gridCol w:w="1585"/>
      </w:tblGrid>
      <w:tr w14:paraId="315C9BF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4E5C77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26CBB3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AB2622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重庆市丰都县旅游开发建设管理委员会（本级）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0D2A5FA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4CCD72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B35B03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FA335E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BD21EA0">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公开06表</w:t>
            </w:r>
          </w:p>
        </w:tc>
      </w:tr>
      <w:tr w14:paraId="4230A238">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A2A83B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AAE1CF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062BA3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AD8BF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A1797E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D8F4BF4">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3F46C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0BA3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1C1E1A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公用经费</w:t>
            </w:r>
          </w:p>
        </w:tc>
      </w:tr>
      <w:tr w14:paraId="1D56508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A98A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778AD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0E033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7F81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F514A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EB64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904F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299F3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E03F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r>
      <w:tr w14:paraId="287E1F2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C2BD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A70E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5B842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2E8E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F730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1171A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2728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B3F8E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39EF9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r>
      <w:tr w14:paraId="273A27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AC89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2157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8C0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191.05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EB90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5A8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F8B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20.31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4CD1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4117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00A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F004F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9E5F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9E2E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4E3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41.70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AEE0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6A6C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DC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2.34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4F58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3E9B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63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43DC6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885E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6FD7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2B1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38.98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D430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C527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5EB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C2F2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C887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61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5FA70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D449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1738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CBE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50.44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8BF9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6217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99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CB5B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B97C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43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B3A8A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F636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68FE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A23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FC4D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B2D2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9C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CC3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C0C3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CF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8792E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4195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727A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B5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B19D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74CA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42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0A6D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482B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3D4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72971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1B8A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FB9F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B86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19.88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F4AA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D7EE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C2E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C0A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D65B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5C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23F7E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CB75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38B7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BCA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15.40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1B23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031B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B35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5DD6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7B68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9B8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33E03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4883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D45A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2E4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5.94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8139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BC02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3CA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220A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E173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FF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9A527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8240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7EEE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21B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AF7E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04CE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85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0BE0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20FD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BAC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32040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6049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851B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6FF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6.57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1E25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3C91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32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6.79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E6B9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59B9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F31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87AE3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DBAD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D6F6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E60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8.75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C386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92EA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0F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D34C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5B31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738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D537A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1FF3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643A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836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BA06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4191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4D5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0F83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35C1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D3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9AB48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D6B5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43AC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1C5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605D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1428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636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34EB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0C63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E05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D9439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9DA4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03E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48A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6.08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42EB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6DF1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35B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0F73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0B56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910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2E0A8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ACE5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FBB6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31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1A3F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6819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E9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9EB0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5D2D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15A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0E059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7BB7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5842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635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7482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96E0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DE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B451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2591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2E7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6D111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935F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D74E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B3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CFA0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B6C9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E61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1018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DAFB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97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C01EF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5537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CED4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A78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8E6B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BE20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4E9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BCFF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5413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028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F1F98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07E2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0EE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3A6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5.68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328F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65BA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491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66BF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7981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5C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D7B67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E773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07BF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1C4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D3EB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4541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710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B40C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0F3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CE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0106C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09EB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57A4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BD4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97FA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C167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61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37AD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0303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BE4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CD666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99D8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A3F9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0B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B71C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D00D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F9B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0.89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DA82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747A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635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4BD43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06F7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10DA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9F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DDF3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E646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A2C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A859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D540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FF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73AD1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6DDE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6ED6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E08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D907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52C9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297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0E48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2439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F21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7749D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037D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EB20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B9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3C06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E70D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891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6.78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5089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B1AC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F14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A488B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2AAE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FC3F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EE8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94F6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AFB2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163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8022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BB68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634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2379F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CC84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2A2A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BACED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2118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B1B8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21D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2A12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9117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6E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10ACF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957C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594B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EAE8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C95E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9507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F2D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6ACD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17EE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41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C8DD0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1513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F286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A1FB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FAFA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F143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9D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675D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5AA1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AB1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542191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A939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E476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6564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67B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FBC1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AB8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FC7D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43D4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91E8">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6AE203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3C72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A0C6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95FF7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BE8C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B603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E5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0508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4769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0874">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59E814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5626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BF3A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DEAD4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1986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DDC6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ED0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01AC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4AE0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689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0E72518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E6BF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D9AFA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bottom"/>
              <w:rPr>
                <w:rFonts w:hint="default" w:cs="宋体"/>
                <w:color w:val="000000"/>
                <w:sz w:val="18"/>
                <w:szCs w:val="18"/>
              </w:rPr>
            </w:pPr>
            <w:r>
              <w:rPr>
                <w:rFonts w:cs="宋体"/>
                <w:color w:val="000000"/>
                <w:sz w:val="18"/>
                <w:szCs w:val="18"/>
              </w:rPr>
              <w:t>197.13</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072EC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97E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20.31</w:t>
            </w:r>
            <w:r>
              <w:rPr>
                <w:color w:val="000000"/>
                <w:sz w:val="18"/>
              </w:rPr>
              <w:t xml:space="preserve"> </w:t>
            </w:r>
          </w:p>
        </w:tc>
      </w:tr>
    </w:tbl>
    <w:p w14:paraId="01EA2041">
      <w:pPr>
        <w:keepNext w:val="0"/>
        <w:keepLines w:val="0"/>
        <w:pageBreakBefore w:val="0"/>
        <w:widowControl/>
        <w:kinsoku/>
        <w:wordWrap/>
        <w:overflowPunct/>
        <w:topLinePunct w:val="0"/>
        <w:autoSpaceDE/>
        <w:autoSpaceDN/>
        <w:bidi w:val="0"/>
        <w:adjustRightInd/>
        <w:snapToGrid/>
        <w:spacing w:line="570" w:lineRule="exact"/>
        <w:textAlignment w:val="auto"/>
        <w:rPr>
          <w:sz w:val="24"/>
          <w:szCs w:val="24"/>
        </w:rPr>
      </w:pPr>
      <w:r>
        <w:rPr>
          <w:sz w:val="24"/>
          <w:szCs w:val="24"/>
        </w:rPr>
        <w:t>备注：1.本表反映单位本年度一般公共预算财政拨款基本支出明细情况。</w:t>
      </w:r>
    </w:p>
    <w:p w14:paraId="391DB85E">
      <w:pPr>
        <w:keepNext w:val="0"/>
        <w:keepLines w:val="0"/>
        <w:pageBreakBefore w:val="0"/>
        <w:widowControl/>
        <w:kinsoku/>
        <w:wordWrap/>
        <w:overflowPunct/>
        <w:topLinePunct w:val="0"/>
        <w:autoSpaceDE/>
        <w:autoSpaceDN/>
        <w:bidi w:val="0"/>
        <w:adjustRightInd/>
        <w:snapToGrid/>
        <w:spacing w:line="570" w:lineRule="exact"/>
        <w:textAlignment w:val="auto"/>
        <w:rPr>
          <w:rFonts w:hint="default" w:cs="宋体"/>
          <w:sz w:val="20"/>
          <w:szCs w:val="20"/>
        </w:rPr>
      </w:pPr>
      <w:r>
        <w:rPr>
          <w:sz w:val="24"/>
          <w:szCs w:val="24"/>
        </w:rPr>
        <w:t xml:space="preserve">      2.本套报表金额单位转换时可能存在尾数误差</w:t>
      </w:r>
      <w:r>
        <w:rPr>
          <w:rFonts w:cs="宋体"/>
          <w:sz w:val="20"/>
          <w:szCs w:val="20"/>
        </w:rPr>
        <w:t>。</w:t>
      </w: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487"/>
        <w:gridCol w:w="3243"/>
        <w:gridCol w:w="1368"/>
        <w:gridCol w:w="1285"/>
        <w:gridCol w:w="1339"/>
        <w:gridCol w:w="1339"/>
        <w:gridCol w:w="1393"/>
        <w:gridCol w:w="1447"/>
      </w:tblGrid>
      <w:tr w14:paraId="4130DA5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09DAC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3A9917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8AFF78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重庆市丰都县旅游开发建设管理委员会（本级）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49CD2B9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582D0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0550D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6E2EA0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A1AAC05">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公开07表</w:t>
            </w:r>
          </w:p>
        </w:tc>
      </w:tr>
      <w:tr w14:paraId="412372B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493239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6CF1D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348F3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799C1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F5A37A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544FF4D">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290D9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C3A2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43C1F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3EF4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367D6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E5EB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年末结转和结余</w:t>
            </w:r>
          </w:p>
        </w:tc>
      </w:tr>
      <w:tr w14:paraId="32145C5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6082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3769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E125C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A786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2C1D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C1D86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F8C7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1EAE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561B646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6E8C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FA25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5C761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663E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12E3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80B4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AEE67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0D97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757783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5963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9A98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42EEA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992D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972E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AFC6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A858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1241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65822F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BECE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D20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6B45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9F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E926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87B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869.35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20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r w14:paraId="0BBA307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5351">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879DD">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24F6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227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58A8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92E0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B91D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4158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103BE5F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C17B">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3262F">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8A04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AA17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7093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E8F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419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2A51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1C584DA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54EA">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F0426">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B3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2DB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869.35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0AB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869.35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B04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88B1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869.35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C268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bl>
    <w:p w14:paraId="0C4C6DD7">
      <w:pPr>
        <w:bidi w:val="0"/>
      </w:pPr>
      <w:r>
        <w:t>备注：1.本表反映单位本年度政府性基金预算财政拨款收入支出及结转和结余情况。</w:t>
      </w:r>
    </w:p>
    <w:p w14:paraId="020476A6">
      <w:pPr>
        <w:bidi w:val="0"/>
        <w:rPr>
          <w:rFonts w:hint="default" w:cs="宋体"/>
          <w:sz w:val="21"/>
          <w:szCs w:val="21"/>
        </w:rPr>
      </w:pPr>
      <w:r>
        <w:t xml:space="preserve">      2.本套报表金额单位转换时可能存在尾数误差。</w:t>
      </w: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578"/>
        <w:gridCol w:w="2567"/>
        <w:gridCol w:w="2748"/>
        <w:gridCol w:w="168"/>
        <w:gridCol w:w="2916"/>
        <w:gridCol w:w="65"/>
        <w:gridCol w:w="2859"/>
      </w:tblGrid>
      <w:tr w14:paraId="57FBF3D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C7B567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9B1F1F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7751D1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重庆市丰都县旅游开发建设管理委员会（本级）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409D31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5B74796">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公开08表</w:t>
            </w:r>
          </w:p>
        </w:tc>
      </w:tr>
      <w:tr w14:paraId="452A60C0">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E2C171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D524C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B6CED4D">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5A6B5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2A72C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389D3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本年支出</w:t>
            </w:r>
          </w:p>
        </w:tc>
      </w:tr>
      <w:tr w14:paraId="2C5E76A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9C82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F0CC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4B20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04586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2E4F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5446F0B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8944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301A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AFD3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5E6C6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F2AF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2C03F55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9EB6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DA01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9FE2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19BA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DDA9D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62C6B05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4F53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BD2E9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93BA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ED1B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C94C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76221F0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5DA6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016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58589">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FD45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bl>
    <w:p w14:paraId="361B86CB">
      <w:pPr>
        <w:bidi w:val="0"/>
        <w:rPr>
          <w:rFonts w:hint="default" w:cs="宋体"/>
          <w:szCs w:val="21"/>
        </w:rPr>
      </w:pPr>
      <w:r>
        <w:rPr>
          <w:sz w:val="24"/>
          <w:szCs w:val="24"/>
        </w:rPr>
        <w:t>备注：本表反映单位本年度国有资本经营预算财政拨款支出情况。本单位无国有资本经营收支，故本表无数据。</w:t>
      </w:r>
      <w:r>
        <w:rPr>
          <w:rFonts w:hint="default" w:cs="宋体"/>
          <w:szCs w:val="21"/>
        </w:rPr>
        <w:br w:type="page"/>
      </w:r>
    </w:p>
    <w:tbl>
      <w:tblPr>
        <w:tblStyle w:val="12"/>
        <w:tblW w:w="4877" w:type="pct"/>
        <w:tblInd w:w="0" w:type="dxa"/>
        <w:tblLayout w:type="fixed"/>
        <w:tblCellMar>
          <w:top w:w="0" w:type="dxa"/>
          <w:left w:w="170" w:type="dxa"/>
          <w:bottom w:w="0" w:type="dxa"/>
          <w:right w:w="170" w:type="dxa"/>
        </w:tblCellMar>
      </w:tblPr>
      <w:tblGrid>
        <w:gridCol w:w="3390"/>
        <w:gridCol w:w="1817"/>
        <w:gridCol w:w="1774"/>
        <w:gridCol w:w="3795"/>
        <w:gridCol w:w="1807"/>
      </w:tblGrid>
      <w:tr w14:paraId="17215861">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AF2F6F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机构运行信息表</w:t>
            </w:r>
          </w:p>
        </w:tc>
      </w:tr>
      <w:tr w14:paraId="2326BE5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156CA3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880903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8F3959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4CF3F4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20B4AC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公开09表</w:t>
            </w:r>
          </w:p>
        </w:tc>
      </w:tr>
      <w:tr w14:paraId="31D0EFE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BC3A1B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重庆市丰都县旅游开发建设管理委员会（本级）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638FC84">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585C28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C790F8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825F1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0B4ED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7A6BF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A9AD4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A93D0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8EEA4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决算数</w:t>
            </w:r>
          </w:p>
        </w:tc>
      </w:tr>
      <w:tr w14:paraId="1EC64B6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B2617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三公</w:t>
            </w:r>
            <w:r>
              <w:rPr>
                <w:rFonts w:hint="eastAsia" w:cs="宋体"/>
                <w:color w:val="000000"/>
                <w:sz w:val="16"/>
                <w:szCs w:val="16"/>
                <w:lang w:eastAsia="zh-CN"/>
              </w:rPr>
              <w:t>”</w:t>
            </w:r>
            <w:r>
              <w:rPr>
                <w:rFonts w:cs="宋体"/>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542A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385D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A600E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3B9F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20.31</w:t>
            </w:r>
            <w:r>
              <w:rPr>
                <w:color w:val="000000"/>
                <w:sz w:val="16"/>
              </w:rPr>
              <w:t xml:space="preserve"> </w:t>
            </w:r>
          </w:p>
        </w:tc>
      </w:tr>
      <w:tr w14:paraId="4CA5B5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718CE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F2603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BE92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0E224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A99C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20.31</w:t>
            </w:r>
            <w:r>
              <w:rPr>
                <w:color w:val="000000"/>
                <w:sz w:val="16"/>
              </w:rPr>
              <w:t xml:space="preserve"> </w:t>
            </w:r>
          </w:p>
        </w:tc>
      </w:tr>
      <w:tr w14:paraId="65B0B2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15E9D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F2890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263D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1DE6A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F1C2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367397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B880B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E9E2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EFEC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71F84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8ED6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r>
      <w:tr w14:paraId="12C4C1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581AA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3EDBF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6C0C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2A2D4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09E2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 xml:space="preserve">   </w:t>
            </w:r>
          </w:p>
        </w:tc>
      </w:tr>
      <w:tr w14:paraId="54849E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5A36E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9827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B8FF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A84D9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B9CD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5605D0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F119A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DC8A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A94B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5E50A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19C45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2D2FAD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4848D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21E2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B3BF5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6B8C2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0E1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33FF3F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9B3A9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4F17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5347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21481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B6EC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73C002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71B3B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B438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A656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00117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8F71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055617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98A32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0062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958D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F4FCB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B6CF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2009BE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3BC90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2290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39065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E6285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0DF4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71603B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C2D72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E2A3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D0456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99E06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0DFF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0183FB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CF978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EA3D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8A1AF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F8AC7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063E2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66C315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4BFB1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E8B7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A2BB8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3CBB6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3D7C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r>
      <w:tr w14:paraId="53D630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12963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9173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B2D5A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96849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7FBE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1F3A8C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DC83C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5D7C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458C5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A9EF9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C74A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0A4437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F5251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9836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B7B51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64AC7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62EFF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656F59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D841D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6D13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E5845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CE97D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C0E20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63ECF9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28BCF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3B00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11E27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8D8A1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94920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11B0E7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34190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18D6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AEF85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CDCE0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0B15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474EC88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F76D5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744E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1917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0BFED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BD23B">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6"/>
                <w:szCs w:val="16"/>
              </w:rPr>
            </w:pPr>
          </w:p>
        </w:tc>
      </w:tr>
      <w:tr w14:paraId="7F45B16A">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BD5A8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3A97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0543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0.10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377A7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00F7A">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6"/>
                <w:szCs w:val="16"/>
              </w:rPr>
            </w:pPr>
          </w:p>
        </w:tc>
      </w:tr>
    </w:tbl>
    <w:p w14:paraId="73E9D5BE">
      <w:pPr>
        <w:bidi w:val="0"/>
        <w:rPr>
          <w:sz w:val="24"/>
          <w:szCs w:val="24"/>
        </w:rPr>
      </w:pPr>
      <w:r>
        <w:rPr>
          <w:sz w:val="24"/>
          <w:szCs w:val="24"/>
        </w:rPr>
        <w:t>备注：1.本表反映单位本年度财政拨款</w:t>
      </w:r>
      <w:r>
        <w:rPr>
          <w:rFonts w:hint="eastAsia"/>
          <w:sz w:val="24"/>
          <w:szCs w:val="24"/>
          <w:lang w:eastAsia="zh-CN"/>
        </w:rPr>
        <w:t>“</w:t>
      </w:r>
      <w:r>
        <w:rPr>
          <w:sz w:val="24"/>
          <w:szCs w:val="24"/>
        </w:rPr>
        <w:t>三公</w:t>
      </w:r>
      <w:r>
        <w:rPr>
          <w:rFonts w:hint="eastAsia"/>
          <w:sz w:val="24"/>
          <w:szCs w:val="24"/>
          <w:lang w:eastAsia="zh-CN"/>
        </w:rPr>
        <w:t>”</w:t>
      </w:r>
      <w:r>
        <w:rPr>
          <w:sz w:val="24"/>
          <w:szCs w:val="24"/>
        </w:rPr>
        <w:t>经费支出预决算情况。其中，预算数为</w:t>
      </w:r>
      <w:r>
        <w:rPr>
          <w:rFonts w:hint="eastAsia"/>
          <w:sz w:val="24"/>
          <w:szCs w:val="24"/>
          <w:lang w:eastAsia="zh-CN"/>
        </w:rPr>
        <w:t>“</w:t>
      </w:r>
      <w:r>
        <w:rPr>
          <w:sz w:val="24"/>
          <w:szCs w:val="24"/>
        </w:rPr>
        <w:t>三公</w:t>
      </w:r>
      <w:r>
        <w:rPr>
          <w:rFonts w:hint="eastAsia"/>
          <w:sz w:val="24"/>
          <w:szCs w:val="24"/>
          <w:lang w:eastAsia="zh-CN"/>
        </w:rPr>
        <w:t>”</w:t>
      </w:r>
      <w:r>
        <w:rPr>
          <w:sz w:val="24"/>
          <w:szCs w:val="24"/>
        </w:rPr>
        <w:t>经费全年预算数，反映按规定程序调整后的预算数；决算数为包括本年度财政拨款和以前年度结转资金安排的实际支出。</w:t>
      </w:r>
    </w:p>
    <w:p w14:paraId="603CACEC">
      <w:pPr>
        <w:bidi w:val="0"/>
        <w:rPr>
          <w:rFonts w:hint="default" w:cs="宋体"/>
          <w:szCs w:val="21"/>
        </w:rPr>
      </w:pPr>
      <w:r>
        <w:rPr>
          <w:sz w:val="24"/>
          <w:szCs w:val="24"/>
        </w:rPr>
        <w:t xml:space="preserve">      2.本套报表金额单位转换时可能存在尾数误差。</w:t>
      </w:r>
    </w:p>
    <w:sectPr>
      <w:pgSz w:w="16839" w:h="11907" w:orient="landscape"/>
      <w:pgMar w:top="1531" w:right="1984" w:bottom="1531" w:left="1984" w:header="0" w:footer="1134"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306C">
    <w:pPr>
      <w:pStyle w:val="7"/>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C7233">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7C7233">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B8CA">
    <w:pPr>
      <w:pStyle w:val="7"/>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9765D">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79765D">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ABC88C4">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ABC88C4">
                    <w:pPr>
                      <w:pStyle w:val="7"/>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A27E">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B03CCD"/>
    <w:rsid w:val="000C27AE"/>
    <w:rsid w:val="00176530"/>
    <w:rsid w:val="001D3BB7"/>
    <w:rsid w:val="0020145B"/>
    <w:rsid w:val="002B254B"/>
    <w:rsid w:val="003A5599"/>
    <w:rsid w:val="00466C9B"/>
    <w:rsid w:val="004F71FB"/>
    <w:rsid w:val="00550ABE"/>
    <w:rsid w:val="00714741"/>
    <w:rsid w:val="00770383"/>
    <w:rsid w:val="007819D4"/>
    <w:rsid w:val="007B419D"/>
    <w:rsid w:val="007B7C4B"/>
    <w:rsid w:val="007D3D39"/>
    <w:rsid w:val="007D7ED5"/>
    <w:rsid w:val="00994AF7"/>
    <w:rsid w:val="009B67B8"/>
    <w:rsid w:val="009D2B67"/>
    <w:rsid w:val="009F3D80"/>
    <w:rsid w:val="00A34A42"/>
    <w:rsid w:val="00A566F9"/>
    <w:rsid w:val="00AF2751"/>
    <w:rsid w:val="00B03CCD"/>
    <w:rsid w:val="00BA0603"/>
    <w:rsid w:val="00BE2B89"/>
    <w:rsid w:val="00C10E9E"/>
    <w:rsid w:val="00C20C3E"/>
    <w:rsid w:val="00D85F3F"/>
    <w:rsid w:val="00E01049"/>
    <w:rsid w:val="00F73F90"/>
    <w:rsid w:val="00FE1F14"/>
    <w:rsid w:val="01474EBF"/>
    <w:rsid w:val="01F3521E"/>
    <w:rsid w:val="03B87EA0"/>
    <w:rsid w:val="03E3214F"/>
    <w:rsid w:val="03F81852"/>
    <w:rsid w:val="044C50BA"/>
    <w:rsid w:val="047C23E1"/>
    <w:rsid w:val="04F02724"/>
    <w:rsid w:val="05BC6D49"/>
    <w:rsid w:val="06194FF1"/>
    <w:rsid w:val="06A2550B"/>
    <w:rsid w:val="06F80EE2"/>
    <w:rsid w:val="07001CCA"/>
    <w:rsid w:val="075678DB"/>
    <w:rsid w:val="079D7CC7"/>
    <w:rsid w:val="08051BCA"/>
    <w:rsid w:val="086C12F4"/>
    <w:rsid w:val="08705944"/>
    <w:rsid w:val="08BA052C"/>
    <w:rsid w:val="08DB07BA"/>
    <w:rsid w:val="093A3733"/>
    <w:rsid w:val="0969353F"/>
    <w:rsid w:val="098305D0"/>
    <w:rsid w:val="0A3317EA"/>
    <w:rsid w:val="0A5C4B69"/>
    <w:rsid w:val="0A86124A"/>
    <w:rsid w:val="0AB54CC0"/>
    <w:rsid w:val="0B9335CE"/>
    <w:rsid w:val="0BF2311A"/>
    <w:rsid w:val="0C7927C4"/>
    <w:rsid w:val="0C9B098C"/>
    <w:rsid w:val="0D673E11"/>
    <w:rsid w:val="0DDA54E4"/>
    <w:rsid w:val="0E3A5F83"/>
    <w:rsid w:val="0EC16130"/>
    <w:rsid w:val="0F0A434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126DF7"/>
    <w:rsid w:val="163A6CEE"/>
    <w:rsid w:val="173708E3"/>
    <w:rsid w:val="17C374FC"/>
    <w:rsid w:val="182E4AB6"/>
    <w:rsid w:val="189079DC"/>
    <w:rsid w:val="189B0D0B"/>
    <w:rsid w:val="18B43F7C"/>
    <w:rsid w:val="194A1770"/>
    <w:rsid w:val="19B906A4"/>
    <w:rsid w:val="1B315AD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A12306"/>
    <w:rsid w:val="1FBB35CD"/>
    <w:rsid w:val="1FCD26AF"/>
    <w:rsid w:val="20642787"/>
    <w:rsid w:val="20B120D5"/>
    <w:rsid w:val="213F0810"/>
    <w:rsid w:val="21556F04"/>
    <w:rsid w:val="22403BD3"/>
    <w:rsid w:val="24B92327"/>
    <w:rsid w:val="24C14514"/>
    <w:rsid w:val="2533755C"/>
    <w:rsid w:val="254E2829"/>
    <w:rsid w:val="25791755"/>
    <w:rsid w:val="26396DF4"/>
    <w:rsid w:val="263F0183"/>
    <w:rsid w:val="27167136"/>
    <w:rsid w:val="271B442C"/>
    <w:rsid w:val="27B23302"/>
    <w:rsid w:val="29310A5F"/>
    <w:rsid w:val="29C37A35"/>
    <w:rsid w:val="2A076083"/>
    <w:rsid w:val="2A73162E"/>
    <w:rsid w:val="2ABE3D6C"/>
    <w:rsid w:val="2B167953"/>
    <w:rsid w:val="2B200583"/>
    <w:rsid w:val="2B7D6336"/>
    <w:rsid w:val="2B8209DE"/>
    <w:rsid w:val="2C636760"/>
    <w:rsid w:val="2C6762A3"/>
    <w:rsid w:val="2FBC45F2"/>
    <w:rsid w:val="2FCA4B37"/>
    <w:rsid w:val="2FE029D7"/>
    <w:rsid w:val="2FF06E00"/>
    <w:rsid w:val="30586FEC"/>
    <w:rsid w:val="30DC4A76"/>
    <w:rsid w:val="315F0B22"/>
    <w:rsid w:val="31D84415"/>
    <w:rsid w:val="32285F6F"/>
    <w:rsid w:val="32770556"/>
    <w:rsid w:val="329C0913"/>
    <w:rsid w:val="32AA0460"/>
    <w:rsid w:val="3337290D"/>
    <w:rsid w:val="338B4C95"/>
    <w:rsid w:val="33E31118"/>
    <w:rsid w:val="33EF7674"/>
    <w:rsid w:val="342D7BC6"/>
    <w:rsid w:val="352930DB"/>
    <w:rsid w:val="35573069"/>
    <w:rsid w:val="355F6038"/>
    <w:rsid w:val="358C217E"/>
    <w:rsid w:val="36C9128A"/>
    <w:rsid w:val="36E753C8"/>
    <w:rsid w:val="37841E99"/>
    <w:rsid w:val="37BF1123"/>
    <w:rsid w:val="383C3F15"/>
    <w:rsid w:val="38BE4696"/>
    <w:rsid w:val="3939115E"/>
    <w:rsid w:val="39B82A39"/>
    <w:rsid w:val="39C42CA8"/>
    <w:rsid w:val="39DC4FD6"/>
    <w:rsid w:val="39F03D7A"/>
    <w:rsid w:val="39F33306"/>
    <w:rsid w:val="3A2C1C67"/>
    <w:rsid w:val="3A456165"/>
    <w:rsid w:val="3ADD7F09"/>
    <w:rsid w:val="3B1705E5"/>
    <w:rsid w:val="3B18334B"/>
    <w:rsid w:val="3B36794F"/>
    <w:rsid w:val="3B6F6EE0"/>
    <w:rsid w:val="3BB0247A"/>
    <w:rsid w:val="3C075D5B"/>
    <w:rsid w:val="3C28373B"/>
    <w:rsid w:val="3C566AD6"/>
    <w:rsid w:val="3C594871"/>
    <w:rsid w:val="3C6A5B02"/>
    <w:rsid w:val="3D2757A1"/>
    <w:rsid w:val="3D3D4FC4"/>
    <w:rsid w:val="3DDE69BD"/>
    <w:rsid w:val="3DDF3AB1"/>
    <w:rsid w:val="3DF84FE9"/>
    <w:rsid w:val="3E1D0952"/>
    <w:rsid w:val="3E42660A"/>
    <w:rsid w:val="3E7555B1"/>
    <w:rsid w:val="3E787ED9"/>
    <w:rsid w:val="3F032E93"/>
    <w:rsid w:val="3F0527E5"/>
    <w:rsid w:val="3F694D83"/>
    <w:rsid w:val="3F885DCC"/>
    <w:rsid w:val="3FCD675E"/>
    <w:rsid w:val="4004000C"/>
    <w:rsid w:val="40AE7C64"/>
    <w:rsid w:val="40BD5482"/>
    <w:rsid w:val="411B6CE5"/>
    <w:rsid w:val="412070D7"/>
    <w:rsid w:val="41210759"/>
    <w:rsid w:val="41314E40"/>
    <w:rsid w:val="41E0734B"/>
    <w:rsid w:val="41E141A1"/>
    <w:rsid w:val="426C1EA8"/>
    <w:rsid w:val="42736402"/>
    <w:rsid w:val="42892A5A"/>
    <w:rsid w:val="42E86A87"/>
    <w:rsid w:val="43307B09"/>
    <w:rsid w:val="439A3EB9"/>
    <w:rsid w:val="43BB152F"/>
    <w:rsid w:val="44C37687"/>
    <w:rsid w:val="45CB699A"/>
    <w:rsid w:val="465B470D"/>
    <w:rsid w:val="469D6AD4"/>
    <w:rsid w:val="46BB3379"/>
    <w:rsid w:val="470E1780"/>
    <w:rsid w:val="471E6C84"/>
    <w:rsid w:val="4748792B"/>
    <w:rsid w:val="475D719D"/>
    <w:rsid w:val="47674801"/>
    <w:rsid w:val="47B57E4D"/>
    <w:rsid w:val="48225EF7"/>
    <w:rsid w:val="488F422B"/>
    <w:rsid w:val="48E36915"/>
    <w:rsid w:val="48EB6572"/>
    <w:rsid w:val="48EE5613"/>
    <w:rsid w:val="4913307D"/>
    <w:rsid w:val="495C4A24"/>
    <w:rsid w:val="497135DF"/>
    <w:rsid w:val="49FC129D"/>
    <w:rsid w:val="4A263DF2"/>
    <w:rsid w:val="4A6F6675"/>
    <w:rsid w:val="4A965D14"/>
    <w:rsid w:val="4AB36025"/>
    <w:rsid w:val="4B135857"/>
    <w:rsid w:val="4B383F8F"/>
    <w:rsid w:val="4B4245AB"/>
    <w:rsid w:val="4B7951CB"/>
    <w:rsid w:val="4B7C315C"/>
    <w:rsid w:val="4C790BFF"/>
    <w:rsid w:val="4DAC4ACA"/>
    <w:rsid w:val="4DBE01D2"/>
    <w:rsid w:val="4F0C6BA3"/>
    <w:rsid w:val="4F186D58"/>
    <w:rsid w:val="50F06B6E"/>
    <w:rsid w:val="51D21804"/>
    <w:rsid w:val="52234D33"/>
    <w:rsid w:val="522F6E0C"/>
    <w:rsid w:val="52463BA1"/>
    <w:rsid w:val="52F163D4"/>
    <w:rsid w:val="531A2DB4"/>
    <w:rsid w:val="534C78B7"/>
    <w:rsid w:val="53C0244D"/>
    <w:rsid w:val="53DD4D4E"/>
    <w:rsid w:val="53E578CE"/>
    <w:rsid w:val="541330F0"/>
    <w:rsid w:val="54272666"/>
    <w:rsid w:val="543B029D"/>
    <w:rsid w:val="54790B80"/>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D10284"/>
    <w:rsid w:val="5C263CE4"/>
    <w:rsid w:val="5C5D2777"/>
    <w:rsid w:val="5CF66BF3"/>
    <w:rsid w:val="5D290C69"/>
    <w:rsid w:val="5D3F6F7E"/>
    <w:rsid w:val="5E3D2C1E"/>
    <w:rsid w:val="5F2D4A41"/>
    <w:rsid w:val="60C74F6C"/>
    <w:rsid w:val="61025A59"/>
    <w:rsid w:val="613D5BBC"/>
    <w:rsid w:val="61536C39"/>
    <w:rsid w:val="61750921"/>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196069"/>
    <w:rsid w:val="6D5E495F"/>
    <w:rsid w:val="6D903FF5"/>
    <w:rsid w:val="6DA955B8"/>
    <w:rsid w:val="6DE346AB"/>
    <w:rsid w:val="6DE5391A"/>
    <w:rsid w:val="6EF2710D"/>
    <w:rsid w:val="6EFD1324"/>
    <w:rsid w:val="6F2474E3"/>
    <w:rsid w:val="6F5A53AC"/>
    <w:rsid w:val="6FAC003D"/>
    <w:rsid w:val="6FE55E12"/>
    <w:rsid w:val="6FFB2E76"/>
    <w:rsid w:val="708F6F7F"/>
    <w:rsid w:val="70D94BD3"/>
    <w:rsid w:val="71C34D91"/>
    <w:rsid w:val="721C117F"/>
    <w:rsid w:val="72473BE1"/>
    <w:rsid w:val="72D66D46"/>
    <w:rsid w:val="72DB435C"/>
    <w:rsid w:val="72E2613A"/>
    <w:rsid w:val="72F771F4"/>
    <w:rsid w:val="73934AD2"/>
    <w:rsid w:val="750837F0"/>
    <w:rsid w:val="754758CF"/>
    <w:rsid w:val="764F62AB"/>
    <w:rsid w:val="765C45EC"/>
    <w:rsid w:val="768A7619"/>
    <w:rsid w:val="772E1EBA"/>
    <w:rsid w:val="77F64F8C"/>
    <w:rsid w:val="781926BC"/>
    <w:rsid w:val="796D60A4"/>
    <w:rsid w:val="79A031D5"/>
    <w:rsid w:val="7A1525F7"/>
    <w:rsid w:val="7A463611"/>
    <w:rsid w:val="7B420052"/>
    <w:rsid w:val="7BD06A28"/>
    <w:rsid w:val="7C3A7C0B"/>
    <w:rsid w:val="7C5248E4"/>
    <w:rsid w:val="7C566698"/>
    <w:rsid w:val="7C5866A3"/>
    <w:rsid w:val="7CD442F6"/>
    <w:rsid w:val="7D2C5EE0"/>
    <w:rsid w:val="7D7406BB"/>
    <w:rsid w:val="7DE94331"/>
    <w:rsid w:val="7F19693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line="570" w:lineRule="exact"/>
      <w:ind w:firstLine="720" w:firstLineChars="200"/>
      <w:jc w:val="both"/>
    </w:pPr>
    <w:rPr>
      <w:rFonts w:hint="default" w:ascii="Times New Roman" w:hAnsi="Times New Roman" w:eastAsia="方正仿宋_GBK" w:cs="Times New Roman"/>
      <w:sz w:val="32"/>
      <w:szCs w:val="24"/>
      <w:lang w:val="en-US" w:eastAsia="zh-CN" w:bidi="ar-SA"/>
    </w:rPr>
  </w:style>
  <w:style w:type="paragraph" w:styleId="2">
    <w:name w:val="heading 1"/>
    <w:basedOn w:val="1"/>
    <w:next w:val="1"/>
    <w:link w:val="22"/>
    <w:qFormat/>
    <w:uiPriority w:val="0"/>
    <w:pPr>
      <w:widowControl/>
      <w:spacing w:line="700" w:lineRule="exact"/>
      <w:ind w:firstLine="0" w:firstLineChars="0"/>
      <w:jc w:val="center"/>
      <w:outlineLvl w:val="0"/>
    </w:pPr>
    <w:rPr>
      <w:rFonts w:ascii="Times New Roman" w:hAnsi="Times New Roman" w:eastAsia="方正小标宋_GBK" w:cs="宋体"/>
      <w:bCs/>
      <w:kern w:val="36"/>
      <w:sz w:val="44"/>
      <w:szCs w:val="27"/>
    </w:rPr>
  </w:style>
  <w:style w:type="paragraph" w:styleId="3">
    <w:name w:val="heading 2"/>
    <w:basedOn w:val="1"/>
    <w:next w:val="1"/>
    <w:unhideWhenUsed/>
    <w:qFormat/>
    <w:uiPriority w:val="0"/>
    <w:pPr>
      <w:keepNext/>
      <w:keepLines/>
      <w:spacing w:beforeLines="0" w:beforeAutospacing="0" w:afterLines="0" w:afterAutospacing="0" w:line="570" w:lineRule="exact"/>
      <w:jc w:val="both"/>
      <w:outlineLvl w:val="1"/>
    </w:pPr>
    <w:rPr>
      <w:rFonts w:ascii="Times New Roman" w:hAnsi="Times New Roman" w:eastAsia="方正黑体_GBK"/>
    </w:rPr>
  </w:style>
  <w:style w:type="paragraph" w:styleId="4">
    <w:name w:val="heading 3"/>
    <w:basedOn w:val="1"/>
    <w:next w:val="1"/>
    <w:link w:val="21"/>
    <w:unhideWhenUsed/>
    <w:qFormat/>
    <w:uiPriority w:val="0"/>
    <w:pPr>
      <w:keepNext/>
      <w:keepLines/>
      <w:spacing w:beforeLines="0" w:beforeAutospacing="0" w:afterLines="0" w:afterAutospacing="0" w:line="570" w:lineRule="exact"/>
      <w:outlineLvl w:val="2"/>
    </w:pPr>
    <w:rPr>
      <w:rFonts w:ascii="Times New Roman" w:hAnsi="Times New Roman" w:eastAsia="方正楷体_GBK"/>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仿宋_GB2312"/>
      <w:spacing w:val="-6"/>
      <w:sz w:val="32"/>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字符"/>
    <w:basedOn w:val="14"/>
    <w:link w:val="6"/>
    <w:qFormat/>
    <w:uiPriority w:val="0"/>
    <w:rPr>
      <w:rFonts w:ascii="宋体" w:hAnsi="宋体"/>
      <w:sz w:val="18"/>
      <w:szCs w:val="18"/>
    </w:rPr>
  </w:style>
  <w:style w:type="character" w:customStyle="1" w:styleId="21">
    <w:name w:val="标题 3 Char"/>
    <w:link w:val="4"/>
    <w:qFormat/>
    <w:uiPriority w:val="0"/>
    <w:rPr>
      <w:rFonts w:ascii="Times New Roman" w:hAnsi="Times New Roman" w:eastAsia="方正楷体_GBK"/>
    </w:rPr>
  </w:style>
  <w:style w:type="character" w:customStyle="1" w:styleId="22">
    <w:name w:val="标题 1 Char"/>
    <w:link w:val="2"/>
    <w:qFormat/>
    <w:uiPriority w:val="0"/>
    <w:rPr>
      <w:rFonts w:ascii="Times New Roman" w:hAnsi="Times New Roman" w:eastAsia="方正小标宋_GBK" w:cs="宋体"/>
      <w:bCs/>
      <w:kern w:val="36"/>
      <w:sz w:val="44"/>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41</Pages>
  <Words>11656</Words>
  <Characters>14966</Characters>
  <Lines>132</Lines>
  <Paragraphs>37</Paragraphs>
  <TotalTime>31</TotalTime>
  <ScaleCrop>false</ScaleCrop>
  <LinksUpToDate>false</LinksUpToDate>
  <CharactersWithSpaces>16189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阿大白</cp:lastModifiedBy>
  <dcterms:modified xsi:type="dcterms:W3CDTF">2024-09-26T08:53:59Z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A8F9F8A837DB4671AE9EE5439B8A7EBD_13</vt:lpwstr>
  </property>
</Properties>
</file>