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2BF1C">
      <w:pPr>
        <w:pStyle w:val="2"/>
        <w:bidi w:val="0"/>
      </w:pPr>
      <w:r>
        <w:t>丰都县南天湖旅游区综合执法队</w:t>
      </w:r>
    </w:p>
    <w:p w14:paraId="6EEA2365">
      <w:pPr>
        <w:pStyle w:val="2"/>
        <w:bidi w:val="0"/>
        <w:rPr>
          <w:rFonts w:hint="default"/>
        </w:rPr>
      </w:pPr>
      <w:r>
        <w:t>2023年度决算公开说明</w:t>
      </w:r>
    </w:p>
    <w:p w14:paraId="68536DF9">
      <w:pPr>
        <w:pStyle w:val="3"/>
        <w:bidi w:val="0"/>
        <w:rPr>
          <w:rFonts w:hint="default"/>
        </w:rPr>
      </w:pPr>
      <w:r>
        <w:rPr>
          <w:rFonts w:hint="eastAsia"/>
          <w:lang w:val="en-US" w:eastAsia="zh-CN"/>
        </w:rPr>
        <w:t>一、</w:t>
      </w:r>
      <w:r>
        <w:t>单位基本情况</w:t>
      </w:r>
    </w:p>
    <w:p w14:paraId="2B8FD73A">
      <w:pPr>
        <w:rPr>
          <w:rFonts w:hint="default"/>
        </w:rPr>
      </w:pPr>
      <w:r>
        <w:t>丰都县南天湖旅游区综合执法队，为县旅管委管理的副科级公益一类财政全额拨款事业单位，负责旅游区内行政执法工作。</w:t>
      </w:r>
    </w:p>
    <w:p w14:paraId="01B8B9DC">
      <w:pPr>
        <w:pStyle w:val="4"/>
        <w:bidi w:val="0"/>
        <w:rPr>
          <w:rFonts w:hint="default"/>
        </w:rPr>
      </w:pPr>
      <w:r>
        <w:t>（一）职能职责</w:t>
      </w:r>
    </w:p>
    <w:p w14:paraId="02779D33">
      <w:pPr>
        <w:rPr>
          <w:rFonts w:hint="default"/>
        </w:rPr>
      </w:pPr>
      <w:r>
        <w:t>宗旨：为维护旅游区市场秩序和市容环境提供监督保障。</w:t>
      </w:r>
    </w:p>
    <w:p w14:paraId="56D4B735">
      <w:pPr>
        <w:rPr>
          <w:rFonts w:hint="default"/>
        </w:rPr>
      </w:pPr>
      <w:r>
        <w:t>主要职责任务：受县级相关行政部门的委托，负责旅游区范围规划、建设、旅游秩序、市政管理、矿产资源（非法占地）、交通等行政执法工作。</w:t>
      </w:r>
    </w:p>
    <w:p w14:paraId="3B4318D8">
      <w:pPr>
        <w:rPr>
          <w:rFonts w:hint="default"/>
        </w:rPr>
      </w:pPr>
      <w:r>
        <w:t>具体职责任务：</w:t>
      </w:r>
    </w:p>
    <w:p w14:paraId="6C3C8BE3">
      <w:pPr>
        <w:rPr>
          <w:rFonts w:hint="default"/>
        </w:rPr>
      </w:pPr>
      <w:r>
        <w:t>（1）负责宣传贯彻旅游和市政管理等法律、法规和政策。</w:t>
      </w:r>
    </w:p>
    <w:p w14:paraId="6E7E4889">
      <w:pPr>
        <w:rPr>
          <w:rFonts w:hint="default"/>
        </w:rPr>
      </w:pPr>
      <w:r>
        <w:t>（2）负责南天湖旅游区行业行政执法检查工作，承担依法查处旅游开发、经营、服务中的违法违规行为，维护旅游市场秩序，整顿旅游市场环境，协同有关部门对旅游市场进行综合整治。</w:t>
      </w:r>
    </w:p>
    <w:p w14:paraId="2417CA68">
      <w:pPr>
        <w:rPr>
          <w:rFonts w:hint="default"/>
        </w:rPr>
      </w:pPr>
      <w:r>
        <w:t>（3）负责处理重大旅游投诉案件，协助做好旅行社质量保证金理赔工作。</w:t>
      </w:r>
    </w:p>
    <w:p w14:paraId="3072012B">
      <w:pPr>
        <w:rPr>
          <w:rFonts w:hint="default"/>
        </w:rPr>
      </w:pPr>
      <w:r>
        <w:t>（4）负责查处占用、损坏市政设施等违法、违章行为。</w:t>
      </w:r>
    </w:p>
    <w:p w14:paraId="691D034F">
      <w:pPr>
        <w:rPr>
          <w:rFonts w:hint="default"/>
        </w:rPr>
      </w:pPr>
      <w:r>
        <w:t>（5）负责查处影响市容环境卫生等违法、违章行为。</w:t>
      </w:r>
    </w:p>
    <w:p w14:paraId="076E6A1A">
      <w:pPr>
        <w:rPr>
          <w:rFonts w:hint="default"/>
        </w:rPr>
      </w:pPr>
      <w:r>
        <w:t>（6）负责查处规划、建设、矿产资源（非法占地）、交通等违法、违章行为。</w:t>
      </w:r>
    </w:p>
    <w:p w14:paraId="524A7054">
      <w:pPr>
        <w:rPr>
          <w:rFonts w:hint="default"/>
        </w:rPr>
      </w:pPr>
      <w:r>
        <w:t>以上具体职责任务均属基本公益服务。</w:t>
      </w:r>
    </w:p>
    <w:p w14:paraId="4FA68E41">
      <w:pPr>
        <w:pStyle w:val="4"/>
        <w:bidi w:val="0"/>
        <w:rPr>
          <w:rFonts w:hint="default"/>
        </w:rPr>
      </w:pPr>
      <w:r>
        <w:t>（二）机构设置</w:t>
      </w:r>
    </w:p>
    <w:p w14:paraId="5F6A510A">
      <w:pPr>
        <w:rPr>
          <w:rFonts w:hint="default"/>
        </w:rPr>
      </w:pPr>
      <w:r>
        <w:t>根据上述职责，丰都县南天湖旅游区综合执法队（二级单位）设2个内设机构。</w:t>
      </w:r>
    </w:p>
    <w:p w14:paraId="000C9CA6">
      <w:pPr>
        <w:rPr>
          <w:rFonts w:hint="default"/>
        </w:rPr>
      </w:pPr>
      <w:r>
        <w:t>（1）法制科。负责执法案件审核、法规宣传和行政执法的监督工作；负责公文处理、后勤保障等日常工作。</w:t>
      </w:r>
    </w:p>
    <w:p w14:paraId="262A7D76">
      <w:pPr>
        <w:rPr>
          <w:rFonts w:hint="default"/>
        </w:rPr>
      </w:pPr>
      <w:r>
        <w:t>（2）执法科。负责旅游秩序、规划、建设、市容环境卫生、园林绿化、市政工程设施、矿产资源（非法占地）、交通等行政执法工作。</w:t>
      </w:r>
    </w:p>
    <w:p w14:paraId="2909D2E4">
      <w:pPr>
        <w:pStyle w:val="3"/>
        <w:bidi w:val="0"/>
        <w:rPr>
          <w:rFonts w:hint="default"/>
        </w:rPr>
      </w:pPr>
      <w:r>
        <w:t>二、单位决算情况说明</w:t>
      </w:r>
    </w:p>
    <w:p w14:paraId="403994B0">
      <w:pPr>
        <w:pStyle w:val="4"/>
        <w:bidi w:val="0"/>
      </w:pPr>
      <w:r>
        <w:rPr>
          <w:rFonts w:hint="eastAsia"/>
        </w:rPr>
        <w:t>（一）收入支出决算总体情况说明。</w:t>
      </w:r>
    </w:p>
    <w:p w14:paraId="3F52D877">
      <w:pPr>
        <w:rPr>
          <w:rFonts w:hint="default"/>
        </w:rPr>
      </w:pPr>
      <w:r>
        <w:t>1.总体情况。2023年度收入总计184.63万元，支出总计184.63万元。收支较上年决算数增加184.63万元，增长100.00%，主要原因是本单位为2023年新增编报单位。</w:t>
      </w:r>
    </w:p>
    <w:p w14:paraId="51BA8705">
      <w:pPr>
        <w:rPr>
          <w:rFonts w:hint="default"/>
        </w:rPr>
      </w:pPr>
      <w:r>
        <w:t>2.收入情况。2023年度收入合计183.29万元，较上年决算数增加183.29万元，增长100.00%，主要原因是本单位为2023年新增编报单位。其中：财政拨款收入183.29万元，占100.00%；事业收入0.00万元，占0.00%；经营收入0.00万元，占0.00%；其他收入0.00万元，占0.00%。此外，使用非财政拨款结余和专用结余0.00万元，年初结转和结余1.34万元。</w:t>
      </w:r>
    </w:p>
    <w:p w14:paraId="3E4B169B">
      <w:pPr>
        <w:rPr>
          <w:rFonts w:hint="default"/>
        </w:rPr>
      </w:pPr>
      <w:r>
        <w:t>3.支出情况。2023年度支出合计184.63万元，较上年决算数增加184.63万元，增长100.00%，主要原因是本单位为2023年新增编报单位。其中：基本支出183.29万元，占99.27%；项目支出1.34万元，占0.73%；经营支出0.00万元，占0.00%。此外，结余分配0.00万元。</w:t>
      </w:r>
    </w:p>
    <w:p w14:paraId="11EA5DCB">
      <w:pPr>
        <w:rPr>
          <w:rFonts w:hint="default"/>
        </w:rPr>
      </w:pPr>
      <w:r>
        <w:t>4.结转结余情况。2023年度年末结转和结余0.00万元，与上年决算数持平。</w:t>
      </w:r>
    </w:p>
    <w:p w14:paraId="2455F72A">
      <w:pPr>
        <w:pStyle w:val="4"/>
        <w:bidi w:val="0"/>
      </w:pPr>
      <w:r>
        <w:rPr>
          <w:rFonts w:hint="eastAsia"/>
        </w:rPr>
        <w:t>（二）财政拨款收入支出决算总体情况说明</w:t>
      </w:r>
    </w:p>
    <w:p w14:paraId="325A3075">
      <w:pPr>
        <w:rPr>
          <w:rFonts w:hint="default"/>
        </w:rPr>
      </w:pPr>
      <w:r>
        <w:t>2023年度财政拨款收、支总计184.63万元。与2022年相比，财政拨款收、支总计各增加184.63万元，增长100.00%。主要原因是本单位为2023年新增编报单位。</w:t>
      </w:r>
    </w:p>
    <w:p w14:paraId="5AF7EFF7">
      <w:pPr>
        <w:pStyle w:val="4"/>
        <w:bidi w:val="0"/>
      </w:pPr>
      <w:r>
        <w:rPr>
          <w:rFonts w:hint="eastAsia"/>
        </w:rPr>
        <w:t>（三）一般公共预算财政拨款收入支出决算情况说明</w:t>
      </w:r>
    </w:p>
    <w:p w14:paraId="3E25DFD9">
      <w:pPr>
        <w:rPr>
          <w:rFonts w:hint="default"/>
        </w:rPr>
      </w:pPr>
      <w:r>
        <w:t>1.收入情况。2023年度一般公共预算财政拨款收入183.29万元，较上年决算数增加183.29万元，增长100.00%。主要原因是本单位为2023年新增编报单位。较年初预算数增加40.19万元，增长28.09%。主要原因是2023年人员增加，相应的经费。此外，年初财政拨款结转和结余1.34万元。</w:t>
      </w:r>
    </w:p>
    <w:p w14:paraId="2019958A">
      <w:pPr>
        <w:rPr>
          <w:rFonts w:hint="default"/>
        </w:rPr>
      </w:pPr>
      <w:r>
        <w:t>2.支出情况。2023年度一般公共预算财政拨款支出184.63万元，较上年决算数增加184.63万元，增长100.00%。主要原因是本单位为2023年新增编报单位。较年初预算数增加41.53万元，增长29.02%。主要原因是2023年人员增加，费用增加。</w:t>
      </w:r>
    </w:p>
    <w:p w14:paraId="5C994689">
      <w:pPr>
        <w:rPr>
          <w:rFonts w:hint="default"/>
        </w:rPr>
      </w:pPr>
      <w:r>
        <w:t>3.结转结余情况。2023年度年末一般公共预算财政拨款结转和结余0.00万元，与上年决算数持平。</w:t>
      </w:r>
    </w:p>
    <w:p w14:paraId="4CA2B1D9">
      <w:pPr>
        <w:rPr>
          <w:rFonts w:hint="default"/>
        </w:rPr>
      </w:pPr>
      <w:r>
        <w:t>4.比较情况。本单位2023年度一般公共预算财政拨款支出主要用于以下几个方面：</w:t>
      </w:r>
    </w:p>
    <w:p w14:paraId="4FE78053">
      <w:pPr>
        <w:rPr>
          <w:rFonts w:hint="default"/>
        </w:rPr>
      </w:pPr>
      <w:r>
        <w:t>（1）文化旅游体育与传媒支出155.87万元，占84.43%，较年初预算数增加40.06万元，增长34.59%，主要原因是创新人才补助1.34万元，2021年度超额绩效13.29万元，人员调动增加25.43万元。</w:t>
      </w:r>
    </w:p>
    <w:p w14:paraId="228AA1CA">
      <w:pPr>
        <w:rPr>
          <w:rFonts w:hint="default"/>
        </w:rPr>
      </w:pPr>
      <w:r>
        <w:t>（2）社会保障与就业支出18.16万元，占9.84%，较年初预算数增加4.68万元，增长34.72%，主要原因是2023年人员增加，费用增加。</w:t>
      </w:r>
    </w:p>
    <w:p w14:paraId="7A5F45D6">
      <w:pPr>
        <w:rPr>
          <w:rFonts w:hint="default"/>
        </w:rPr>
      </w:pPr>
      <w:r>
        <w:t>（3）卫生健康支出7.06万元，占3.83%，与预算数持平。</w:t>
      </w:r>
    </w:p>
    <w:p w14:paraId="4B578351">
      <w:pPr>
        <w:rPr>
          <w:rFonts w:hint="default"/>
        </w:rPr>
      </w:pPr>
      <w:r>
        <w:t>（4）住房保障支出3.53万元，占1.91%，较年初预算数减少3.21万元，下降47.63%，主要原因是清退2021-2023年单位职工住房公积金多交部分，财政扣减该项经费导致。</w:t>
      </w:r>
    </w:p>
    <w:p w14:paraId="42D37B7C">
      <w:pPr>
        <w:pStyle w:val="4"/>
        <w:bidi w:val="0"/>
      </w:pPr>
      <w:r>
        <w:rPr>
          <w:rFonts w:hint="eastAsia"/>
        </w:rPr>
        <w:t>（四）一般公共预算财政拨款基本支出决算情况说明</w:t>
      </w:r>
    </w:p>
    <w:p w14:paraId="5979B34E">
      <w:pPr>
        <w:rPr>
          <w:rFonts w:hint="default"/>
        </w:rPr>
      </w:pPr>
      <w:r>
        <w:t>2023年度一般公共财政拨款基本支出183.29万元。其中：人员经费152.18万元，较上年决算数增加152.18万元，增长100.00%，主要原因是本单位为2023年新增编报单位。人员经费用途主要包括基本工资、津贴补贴、绩效工资、奖金、社会保障缴费、机关事业单位基本养老保险、职业年金缴费、住房公积金等。公用经费31.11万元，较上年决算数增加31.11万元，增长100.00%，主要原因是本单位为2023年新增单位。公用经费用途主要包括办公费、印刷费、咨询费、手续费、邮电费、差旅费、其他交通费用等支出。</w:t>
      </w:r>
    </w:p>
    <w:p w14:paraId="7C7EBBEF">
      <w:pPr>
        <w:pStyle w:val="4"/>
        <w:bidi w:val="0"/>
      </w:pPr>
      <w:r>
        <w:rPr>
          <w:rFonts w:hint="eastAsia"/>
        </w:rPr>
        <w:t>（五）政府性基金预算收支决算情况说明</w:t>
      </w:r>
    </w:p>
    <w:p w14:paraId="0CA45B76">
      <w:pPr>
        <w:bidi w:val="0"/>
        <w:rPr>
          <w:rFonts w:hint="default"/>
        </w:rPr>
      </w:pPr>
      <w:r>
        <w:t>本单位2023年度无政府性基金预算财政拨款支出。</w:t>
      </w:r>
    </w:p>
    <w:p w14:paraId="647516A8">
      <w:pPr>
        <w:pStyle w:val="4"/>
        <w:bidi w:val="0"/>
      </w:pPr>
      <w:r>
        <w:rPr>
          <w:rFonts w:hint="eastAsia"/>
        </w:rPr>
        <w:t>（六）国有资本经营预算财政拨款支出决算情况说明</w:t>
      </w:r>
    </w:p>
    <w:p w14:paraId="22975331">
      <w:pPr>
        <w:bidi w:val="0"/>
        <w:rPr>
          <w:rFonts w:hint="default"/>
        </w:rPr>
      </w:pPr>
      <w:r>
        <w:t>本单位2023年度无国有资本经营预算财政拨本年支出。</w:t>
      </w:r>
    </w:p>
    <w:p w14:paraId="35651633">
      <w:pPr>
        <w:pStyle w:val="3"/>
        <w:bidi w:val="0"/>
        <w:rPr>
          <w:rFonts w:hint="default"/>
        </w:rPr>
      </w:pPr>
      <w:r>
        <w:t>三、</w:t>
      </w:r>
      <w:r>
        <w:rPr>
          <w:rFonts w:hint="eastAsia"/>
          <w:lang w:eastAsia="zh-CN"/>
        </w:rPr>
        <w:t>“</w:t>
      </w:r>
      <w:r>
        <w:t>三公</w:t>
      </w:r>
      <w:bookmarkStart w:id="0" w:name="_GoBack"/>
      <w:bookmarkEnd w:id="0"/>
      <w:r>
        <w:rPr>
          <w:rFonts w:hint="eastAsia"/>
          <w:lang w:eastAsia="zh-CN"/>
        </w:rPr>
        <w:t>”</w:t>
      </w:r>
      <w:r>
        <w:t>经费情况说明</w:t>
      </w:r>
    </w:p>
    <w:p w14:paraId="6C92E801">
      <w:pPr>
        <w:pStyle w:val="4"/>
        <w:bidi w:val="0"/>
      </w:pPr>
      <w:r>
        <w:rPr>
          <w:rFonts w:hint="eastAsia"/>
        </w:rPr>
        <w:t>（一）</w:t>
      </w:r>
      <w:r>
        <w:rPr>
          <w:rFonts w:hint="eastAsia"/>
          <w:lang w:eastAsia="zh-CN"/>
        </w:rPr>
        <w:t>“</w:t>
      </w:r>
      <w:r>
        <w:rPr>
          <w:rFonts w:hint="eastAsia"/>
        </w:rPr>
        <w:t>三公</w:t>
      </w:r>
      <w:r>
        <w:rPr>
          <w:rFonts w:hint="eastAsia"/>
          <w:lang w:eastAsia="zh-CN"/>
        </w:rPr>
        <w:t>”</w:t>
      </w:r>
      <w:r>
        <w:rPr>
          <w:rFonts w:hint="eastAsia"/>
        </w:rPr>
        <w:t>经费支出总体情况说明</w:t>
      </w:r>
    </w:p>
    <w:p w14:paraId="72504AEB">
      <w:pPr>
        <w:rPr>
          <w:rFonts w:hint="default"/>
        </w:rPr>
      </w:pPr>
      <w:r>
        <w:t>2023年度</w:t>
      </w:r>
      <w:r>
        <w:rPr>
          <w:rFonts w:hint="eastAsia"/>
          <w:lang w:eastAsia="zh-CN"/>
        </w:rPr>
        <w:t>“</w:t>
      </w:r>
      <w:r>
        <w:t>三公</w:t>
      </w:r>
      <w:r>
        <w:rPr>
          <w:rFonts w:hint="eastAsia"/>
          <w:lang w:eastAsia="zh-CN"/>
        </w:rPr>
        <w:t>”</w:t>
      </w:r>
      <w:r>
        <w:t>经费支出共计0.00万元，较年初预算数无增减，主要原因：一是认真贯彻落实中央八项规定精神，按照只减不增的要求从严控制</w:t>
      </w:r>
      <w:r>
        <w:rPr>
          <w:rFonts w:hint="eastAsia"/>
          <w:lang w:eastAsia="zh-CN"/>
        </w:rPr>
        <w:t>“</w:t>
      </w:r>
      <w:r>
        <w:t>三公</w:t>
      </w:r>
      <w:r>
        <w:rPr>
          <w:rFonts w:hint="eastAsia"/>
          <w:lang w:eastAsia="zh-CN"/>
        </w:rPr>
        <w:t>”</w:t>
      </w:r>
      <w:r>
        <w:t>经费。二是强化公务接待支出管理，严格遵守公务接待开支范围和开支标准，严格控制陪餐人数，对应由接待对象承担的费用一律由接待对象自行支付。 与上年支出数相比持平。</w:t>
      </w:r>
    </w:p>
    <w:p w14:paraId="69252693">
      <w:pPr>
        <w:pStyle w:val="4"/>
        <w:bidi w:val="0"/>
      </w:pPr>
      <w:r>
        <w:rPr>
          <w:rFonts w:hint="eastAsia"/>
        </w:rPr>
        <w:t>（二）</w:t>
      </w:r>
      <w:r>
        <w:rPr>
          <w:rFonts w:hint="eastAsia"/>
          <w:lang w:eastAsia="zh-CN"/>
        </w:rPr>
        <w:t>“</w:t>
      </w:r>
      <w:r>
        <w:rPr>
          <w:rFonts w:hint="eastAsia"/>
        </w:rPr>
        <w:t>三公</w:t>
      </w:r>
      <w:r>
        <w:rPr>
          <w:rFonts w:hint="eastAsia"/>
          <w:lang w:eastAsia="zh-CN"/>
        </w:rPr>
        <w:t>”</w:t>
      </w:r>
      <w:r>
        <w:rPr>
          <w:rFonts w:hint="eastAsia"/>
        </w:rPr>
        <w:t>经费分项支出情况</w:t>
      </w:r>
    </w:p>
    <w:p w14:paraId="2D5653E8">
      <w:pPr>
        <w:rPr>
          <w:rFonts w:hint="default"/>
        </w:rPr>
      </w:pPr>
      <w:r>
        <w:t>2023年度本单位无因公出国（境）费用0.00万元，与上年持平。</w:t>
      </w:r>
    </w:p>
    <w:p w14:paraId="5120161B">
      <w:pPr>
        <w:rPr>
          <w:rFonts w:hint="default"/>
        </w:rPr>
      </w:pPr>
      <w:r>
        <w:t>公务车购置费0.00万元，与上年持平。</w:t>
      </w:r>
    </w:p>
    <w:p w14:paraId="1C823D56">
      <w:pPr>
        <w:rPr>
          <w:rFonts w:hint="default"/>
        </w:rPr>
      </w:pPr>
      <w:r>
        <w:t>公务车运行维护费0.00万元，与上年持平。</w:t>
      </w:r>
    </w:p>
    <w:p w14:paraId="5B104EF4">
      <w:pPr>
        <w:rPr>
          <w:rFonts w:hint="default"/>
        </w:rPr>
      </w:pPr>
      <w:r>
        <w:t>公务接待费0.00万元，与上年持平。</w:t>
      </w:r>
    </w:p>
    <w:p w14:paraId="714738E8">
      <w:pPr>
        <w:pStyle w:val="4"/>
        <w:bidi w:val="0"/>
      </w:pPr>
      <w:r>
        <w:rPr>
          <w:rFonts w:hint="eastAsia"/>
        </w:rPr>
        <w:t>（三）</w:t>
      </w:r>
      <w:r>
        <w:rPr>
          <w:rFonts w:hint="eastAsia"/>
          <w:lang w:eastAsia="zh-CN"/>
        </w:rPr>
        <w:t>“</w:t>
      </w:r>
      <w:r>
        <w:rPr>
          <w:rFonts w:hint="eastAsia"/>
        </w:rPr>
        <w:t>三公</w:t>
      </w:r>
      <w:r>
        <w:rPr>
          <w:rFonts w:hint="eastAsia"/>
          <w:lang w:eastAsia="zh-CN"/>
        </w:rPr>
        <w:t>”</w:t>
      </w:r>
      <w:r>
        <w:rPr>
          <w:rFonts w:hint="eastAsia"/>
        </w:rPr>
        <w:t>经费实物量情况</w:t>
      </w:r>
    </w:p>
    <w:p w14:paraId="7B80DE42">
      <w:pPr>
        <w:rPr>
          <w:rFonts w:hint="default"/>
        </w:rPr>
      </w:pPr>
      <w: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3C501BA2">
      <w:pPr>
        <w:pStyle w:val="3"/>
        <w:bidi w:val="0"/>
        <w:rPr>
          <w:rFonts w:hint="default"/>
        </w:rPr>
      </w:pPr>
      <w:r>
        <w:t>四、其他需要说明的事项</w:t>
      </w:r>
    </w:p>
    <w:p w14:paraId="67C201A6">
      <w:pPr>
        <w:pStyle w:val="4"/>
        <w:bidi w:val="0"/>
      </w:pPr>
      <w:r>
        <w:rPr>
          <w:rFonts w:hint="eastAsia"/>
        </w:rPr>
        <w:t>（一）财政拨款会议费和培训费情况说明</w:t>
      </w:r>
    </w:p>
    <w:p w14:paraId="67114879">
      <w:pPr>
        <w:rPr>
          <w:rFonts w:hint="default"/>
        </w:rPr>
      </w:pPr>
      <w:r>
        <w:t>本年度会议费支出0.00万元，与上年决算数持平。本年度培训费支出0.06万元，较上年决算数增加0.06万元，增长100.00%，主要原因是本单位为2023年新增编报单位。</w:t>
      </w:r>
    </w:p>
    <w:p w14:paraId="66A24583">
      <w:pPr>
        <w:pStyle w:val="4"/>
        <w:bidi w:val="0"/>
      </w:pPr>
      <w:r>
        <w:rPr>
          <w:rFonts w:hint="eastAsia"/>
        </w:rPr>
        <w:t>（二）机关运行经费情况说明</w:t>
      </w:r>
    </w:p>
    <w:p w14:paraId="1CF8981C">
      <w:pPr>
        <w:rPr>
          <w:rFonts w:hint="default"/>
        </w:rPr>
      </w:pPr>
      <w:r>
        <w:t>按照部门决算列报口径，我单位不在机关运行经费统计范围之内。</w:t>
      </w:r>
    </w:p>
    <w:p w14:paraId="60FB1BA0">
      <w:pPr>
        <w:pStyle w:val="4"/>
        <w:bidi w:val="0"/>
      </w:pPr>
      <w:r>
        <w:rPr>
          <w:rFonts w:hint="eastAsia"/>
        </w:rPr>
        <w:t>（三）国有资产占用情况说明</w:t>
      </w:r>
    </w:p>
    <w:p w14:paraId="50D74266">
      <w:pPr>
        <w:rPr>
          <w:rFonts w:hint="default"/>
        </w:rPr>
      </w:pPr>
      <w:r>
        <w:t>截至2023年12月31日，本单位共有车辆0辆，其中，副部（省）级及以上领导用车0辆、主要领导干部用车0辆、机要通信用车0辆、应急保障用车0辆、执法执勤用车0辆，特种专业技术用车0辆，离退休干部用车0辆。单价100万元（含）以上专用设备0台（套）。</w:t>
      </w:r>
    </w:p>
    <w:p w14:paraId="53F8C735">
      <w:pPr>
        <w:pStyle w:val="4"/>
        <w:bidi w:val="0"/>
      </w:pPr>
      <w:r>
        <w:rPr>
          <w:rFonts w:hint="eastAsia"/>
        </w:rPr>
        <w:t>（四）政府采购支出情况说明</w:t>
      </w:r>
    </w:p>
    <w:p w14:paraId="0AECD23E">
      <w:pPr>
        <w:rPr>
          <w:rFonts w:hint="default"/>
        </w:rPr>
      </w:pPr>
      <w:r>
        <w:t>2023年度本单位未发生政府采购事项，无相关经费支出。</w:t>
      </w:r>
    </w:p>
    <w:p w14:paraId="31A5F3AE">
      <w:pPr>
        <w:pStyle w:val="3"/>
        <w:bidi w:val="0"/>
        <w:rPr>
          <w:rFonts w:hint="default"/>
        </w:rPr>
      </w:pPr>
      <w:r>
        <w:rPr>
          <w:rFonts w:hint="eastAsia"/>
          <w:lang w:val="en-US" w:eastAsia="zh-CN"/>
        </w:rPr>
        <w:t>五、</w:t>
      </w:r>
      <w:r>
        <w:t>预算绩效管理情况说明</w:t>
      </w:r>
    </w:p>
    <w:p w14:paraId="04A1CCA3">
      <w:pPr>
        <w:pStyle w:val="4"/>
        <w:bidi w:val="0"/>
      </w:pPr>
      <w:r>
        <w:rPr>
          <w:rFonts w:hint="eastAsia"/>
        </w:rPr>
        <w:t>（一）单位自评情况</w:t>
      </w:r>
    </w:p>
    <w:p w14:paraId="6AD2AAF4">
      <w:r>
        <w:rPr>
          <w:rFonts w:hint="eastAsia"/>
        </w:rPr>
        <w:t>根据预算绩效管理要求，我单位对1个二级项目开展了绩效自评，涉及财政拨款项目支出资金1.34万元。</w:t>
      </w:r>
    </w:p>
    <w:tbl>
      <w:tblPr>
        <w:tblStyle w:val="12"/>
        <w:tblW w:w="8120" w:type="dxa"/>
        <w:jc w:val="center"/>
        <w:tblLayout w:type="autofit"/>
        <w:tblCellMar>
          <w:top w:w="0" w:type="dxa"/>
          <w:left w:w="108" w:type="dxa"/>
          <w:bottom w:w="0" w:type="dxa"/>
          <w:right w:w="108" w:type="dxa"/>
        </w:tblCellMar>
      </w:tblPr>
      <w:tblGrid>
        <w:gridCol w:w="781"/>
        <w:gridCol w:w="547"/>
        <w:gridCol w:w="507"/>
        <w:gridCol w:w="693"/>
        <w:gridCol w:w="969"/>
        <w:gridCol w:w="1157"/>
        <w:gridCol w:w="758"/>
        <w:gridCol w:w="542"/>
        <w:gridCol w:w="623"/>
        <w:gridCol w:w="635"/>
        <w:gridCol w:w="1206"/>
      </w:tblGrid>
      <w:tr w14:paraId="27659C6A">
        <w:tblPrEx>
          <w:tblCellMar>
            <w:top w:w="0" w:type="dxa"/>
            <w:left w:w="108" w:type="dxa"/>
            <w:bottom w:w="0" w:type="dxa"/>
            <w:right w:w="108" w:type="dxa"/>
          </w:tblCellMar>
        </w:tblPrEx>
        <w:trPr>
          <w:trHeight w:val="957" w:hRule="atLeast"/>
          <w:jc w:val="center"/>
        </w:trPr>
        <w:tc>
          <w:tcPr>
            <w:tcW w:w="81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2729">
            <w:pPr>
              <w:pStyle w:val="2"/>
              <w:bidi w:val="0"/>
              <w:rPr>
                <w:rFonts w:hint="default"/>
              </w:rPr>
            </w:pPr>
            <w:r>
              <w:t>2023年度二级项目绩效自评表</w:t>
            </w:r>
          </w:p>
        </w:tc>
      </w:tr>
      <w:tr w14:paraId="13C42F50">
        <w:tblPrEx>
          <w:tblCellMar>
            <w:top w:w="0" w:type="dxa"/>
            <w:left w:w="108" w:type="dxa"/>
            <w:bottom w:w="0" w:type="dxa"/>
            <w:right w:w="108" w:type="dxa"/>
          </w:tblCellMar>
        </w:tblPrEx>
        <w:trPr>
          <w:trHeight w:val="520" w:hRule="atLeast"/>
          <w:jc w:val="center"/>
        </w:trPr>
        <w:tc>
          <w:tcPr>
            <w:tcW w:w="81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3DC67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状态：绩效审核已审</w:t>
            </w:r>
          </w:p>
        </w:tc>
      </w:tr>
      <w:tr w14:paraId="5D28190C">
        <w:tblPrEx>
          <w:tblCellMar>
            <w:top w:w="0" w:type="dxa"/>
            <w:left w:w="108" w:type="dxa"/>
            <w:bottom w:w="0" w:type="dxa"/>
            <w:right w:w="108" w:type="dxa"/>
          </w:tblCellMar>
        </w:tblPrEx>
        <w:trPr>
          <w:trHeight w:val="957"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E828">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项目名称：</w:t>
            </w:r>
          </w:p>
        </w:tc>
        <w:tc>
          <w:tcPr>
            <w:tcW w:w="1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7D3BD">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2023年创新人才安家补助</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4F46">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项目编码：</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D9C1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50023023T000003772646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8A2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自评总分：</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3047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100.00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8042">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b/>
                <w:bCs/>
                <w:color w:val="00000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9574">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r>
      <w:tr w14:paraId="4B2A57A6">
        <w:tblPrEx>
          <w:tblCellMar>
            <w:top w:w="0" w:type="dxa"/>
            <w:left w:w="108" w:type="dxa"/>
            <w:bottom w:w="0" w:type="dxa"/>
            <w:right w:w="108" w:type="dxa"/>
          </w:tblCellMar>
        </w:tblPrEx>
        <w:trPr>
          <w:trHeight w:val="126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25DE">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项目主管部门：</w:t>
            </w:r>
          </w:p>
        </w:tc>
        <w:tc>
          <w:tcPr>
            <w:tcW w:w="1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22032">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135-丰都县旅游开发建设管理委员会</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CD99">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财政归口处室：</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D8B7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005-产业发展科</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75B8">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部门联系人：</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9A51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余春英</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68E2">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联系电话：</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D41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133</w:t>
            </w:r>
            <w:r>
              <w:rPr>
                <w:rFonts w:hint="default" w:cs="宋体"/>
                <w:color w:val="000000"/>
                <w:sz w:val="18"/>
                <w:szCs w:val="18"/>
                <w:lang w:bidi="ar"/>
              </w:rPr>
              <w:t>*******</w:t>
            </w:r>
            <w:r>
              <w:rPr>
                <w:rFonts w:cs="宋体"/>
                <w:color w:val="000000"/>
                <w:sz w:val="18"/>
                <w:szCs w:val="18"/>
                <w:lang w:bidi="ar"/>
              </w:rPr>
              <w:t>6</w:t>
            </w:r>
          </w:p>
        </w:tc>
      </w:tr>
      <w:tr w14:paraId="0667F544">
        <w:tblPrEx>
          <w:tblCellMar>
            <w:top w:w="0" w:type="dxa"/>
            <w:left w:w="108" w:type="dxa"/>
            <w:bottom w:w="0" w:type="dxa"/>
            <w:right w:w="108" w:type="dxa"/>
          </w:tblCellMar>
        </w:tblPrEx>
        <w:trPr>
          <w:trHeight w:val="620" w:hRule="atLeast"/>
          <w:jc w:val="center"/>
        </w:trPr>
        <w:tc>
          <w:tcPr>
            <w:tcW w:w="81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9051B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资金情况</w:t>
            </w:r>
          </w:p>
        </w:tc>
      </w:tr>
      <w:tr w14:paraId="2C1680ED">
        <w:tblPrEx>
          <w:tblCellMar>
            <w:top w:w="0" w:type="dxa"/>
            <w:left w:w="108" w:type="dxa"/>
            <w:bottom w:w="0" w:type="dxa"/>
            <w:right w:w="108" w:type="dxa"/>
          </w:tblCellMar>
        </w:tblPrEx>
        <w:trPr>
          <w:trHeight w:val="957"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2CBD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14FE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年初预算数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005E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全年（调整）预算数</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262E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全年执行数</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4E4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9C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18"/>
                <w:szCs w:val="18"/>
              </w:rPr>
            </w:pPr>
            <w:r>
              <w:rPr>
                <w:rFonts w:cs="宋体"/>
                <w:b/>
                <w:bCs/>
                <w:color w:val="000000"/>
                <w:sz w:val="18"/>
                <w:szCs w:val="18"/>
                <w:lang w:bidi="ar"/>
              </w:rPr>
              <w:t>执行率权重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9FD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执行率得分</w:t>
            </w:r>
          </w:p>
        </w:tc>
      </w:tr>
      <w:tr w14:paraId="6F508205">
        <w:tblPrEx>
          <w:tblCellMar>
            <w:top w:w="0" w:type="dxa"/>
            <w:left w:w="108" w:type="dxa"/>
            <w:bottom w:w="0" w:type="dxa"/>
            <w:right w:w="108" w:type="dxa"/>
          </w:tblCellMar>
        </w:tblPrEx>
        <w:trPr>
          <w:trHeight w:val="644" w:hRule="atLeast"/>
          <w:jc w:val="center"/>
        </w:trPr>
        <w:tc>
          <w:tcPr>
            <w:tcW w:w="781" w:type="dxa"/>
            <w:tcBorders>
              <w:top w:val="single" w:color="000000" w:sz="4" w:space="0"/>
              <w:left w:val="single" w:color="000000" w:sz="4" w:space="0"/>
              <w:bottom w:val="single" w:color="000000" w:sz="4" w:space="0"/>
              <w:right w:val="nil"/>
            </w:tcBorders>
            <w:shd w:val="clear" w:color="auto" w:fill="auto"/>
            <w:vAlign w:val="center"/>
          </w:tcPr>
          <w:p w14:paraId="2BC2CD0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年度总金额</w:t>
            </w:r>
          </w:p>
        </w:tc>
        <w:tc>
          <w:tcPr>
            <w:tcW w:w="547" w:type="dxa"/>
            <w:tcBorders>
              <w:top w:val="single" w:color="000000" w:sz="4" w:space="0"/>
              <w:left w:val="nil"/>
              <w:bottom w:val="single" w:color="000000" w:sz="4" w:space="0"/>
              <w:right w:val="single" w:color="000000" w:sz="4" w:space="0"/>
            </w:tcBorders>
            <w:shd w:val="clear" w:color="auto" w:fill="auto"/>
            <w:vAlign w:val="center"/>
          </w:tcPr>
          <w:p w14:paraId="1BF9419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07" w:type="dxa"/>
            <w:tcBorders>
              <w:top w:val="single" w:color="000000" w:sz="4" w:space="0"/>
              <w:left w:val="single" w:color="000000" w:sz="4" w:space="0"/>
              <w:bottom w:val="single" w:color="000000" w:sz="4" w:space="0"/>
              <w:right w:val="nil"/>
            </w:tcBorders>
            <w:shd w:val="clear" w:color="auto" w:fill="auto"/>
            <w:vAlign w:val="center"/>
          </w:tcPr>
          <w:p w14:paraId="5E268AC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14:paraId="56EBA24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001D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0E11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A62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5E6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66E1">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74B395A8">
        <w:tblPrEx>
          <w:tblCellMar>
            <w:top w:w="0" w:type="dxa"/>
            <w:left w:w="108" w:type="dxa"/>
            <w:bottom w:w="0" w:type="dxa"/>
            <w:right w:w="108" w:type="dxa"/>
          </w:tblCellMar>
        </w:tblPrEx>
        <w:trPr>
          <w:trHeight w:val="942" w:hRule="atLeast"/>
          <w:jc w:val="center"/>
        </w:trPr>
        <w:tc>
          <w:tcPr>
            <w:tcW w:w="781" w:type="dxa"/>
            <w:tcBorders>
              <w:top w:val="single" w:color="000000" w:sz="4" w:space="0"/>
              <w:left w:val="single" w:color="000000" w:sz="4" w:space="0"/>
              <w:bottom w:val="single" w:color="000000" w:sz="4" w:space="0"/>
              <w:right w:val="nil"/>
            </w:tcBorders>
            <w:shd w:val="clear" w:color="auto" w:fill="auto"/>
            <w:vAlign w:val="center"/>
          </w:tcPr>
          <w:p w14:paraId="3842B77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其中：财政拨款</w:t>
            </w:r>
          </w:p>
        </w:tc>
        <w:tc>
          <w:tcPr>
            <w:tcW w:w="547" w:type="dxa"/>
            <w:tcBorders>
              <w:top w:val="single" w:color="000000" w:sz="4" w:space="0"/>
              <w:left w:val="nil"/>
              <w:bottom w:val="single" w:color="000000" w:sz="4" w:space="0"/>
              <w:right w:val="single" w:color="000000" w:sz="4" w:space="0"/>
            </w:tcBorders>
            <w:shd w:val="clear" w:color="auto" w:fill="auto"/>
            <w:vAlign w:val="center"/>
          </w:tcPr>
          <w:p w14:paraId="23CB5F6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07" w:type="dxa"/>
            <w:tcBorders>
              <w:top w:val="single" w:color="000000" w:sz="4" w:space="0"/>
              <w:left w:val="single" w:color="000000" w:sz="4" w:space="0"/>
              <w:bottom w:val="single" w:color="000000" w:sz="4" w:space="0"/>
              <w:right w:val="nil"/>
            </w:tcBorders>
            <w:shd w:val="clear" w:color="auto" w:fill="auto"/>
            <w:vAlign w:val="center"/>
          </w:tcPr>
          <w:p w14:paraId="33CCCF8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14:paraId="7FE0596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C2CF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7D40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819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DD2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829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10.00 </w:t>
            </w:r>
          </w:p>
        </w:tc>
      </w:tr>
      <w:tr w14:paraId="556F5C8C">
        <w:tblPrEx>
          <w:tblCellMar>
            <w:top w:w="0" w:type="dxa"/>
            <w:left w:w="108" w:type="dxa"/>
            <w:bottom w:w="0" w:type="dxa"/>
            <w:right w:w="108" w:type="dxa"/>
          </w:tblCellMar>
        </w:tblPrEx>
        <w:trPr>
          <w:trHeight w:val="644" w:hRule="atLeast"/>
          <w:jc w:val="center"/>
        </w:trPr>
        <w:tc>
          <w:tcPr>
            <w:tcW w:w="781" w:type="dxa"/>
            <w:tcBorders>
              <w:top w:val="single" w:color="000000" w:sz="4" w:space="0"/>
              <w:left w:val="single" w:color="000000" w:sz="4" w:space="0"/>
              <w:bottom w:val="single" w:color="000000" w:sz="4" w:space="0"/>
              <w:right w:val="nil"/>
            </w:tcBorders>
            <w:shd w:val="clear" w:color="auto" w:fill="auto"/>
            <w:vAlign w:val="center"/>
          </w:tcPr>
          <w:p w14:paraId="2375F79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一般公共预算</w:t>
            </w:r>
          </w:p>
        </w:tc>
        <w:tc>
          <w:tcPr>
            <w:tcW w:w="547" w:type="dxa"/>
            <w:tcBorders>
              <w:top w:val="single" w:color="000000" w:sz="4" w:space="0"/>
              <w:left w:val="nil"/>
              <w:bottom w:val="single" w:color="000000" w:sz="4" w:space="0"/>
              <w:right w:val="single" w:color="000000" w:sz="4" w:space="0"/>
            </w:tcBorders>
            <w:shd w:val="clear" w:color="auto" w:fill="auto"/>
            <w:vAlign w:val="center"/>
          </w:tcPr>
          <w:p w14:paraId="48F0594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07" w:type="dxa"/>
            <w:tcBorders>
              <w:top w:val="single" w:color="000000" w:sz="4" w:space="0"/>
              <w:left w:val="single" w:color="000000" w:sz="4" w:space="0"/>
              <w:bottom w:val="single" w:color="000000" w:sz="4" w:space="0"/>
              <w:right w:val="nil"/>
            </w:tcBorders>
            <w:shd w:val="clear" w:color="auto" w:fill="auto"/>
            <w:vAlign w:val="center"/>
          </w:tcPr>
          <w:p w14:paraId="4DCA99A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14:paraId="7368DAA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8540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7225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624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F92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203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7C869ED6">
        <w:tblPrEx>
          <w:tblCellMar>
            <w:top w:w="0" w:type="dxa"/>
            <w:left w:w="108" w:type="dxa"/>
            <w:bottom w:w="0" w:type="dxa"/>
            <w:right w:w="108" w:type="dxa"/>
          </w:tblCellMar>
        </w:tblPrEx>
        <w:trPr>
          <w:trHeight w:val="620" w:hRule="atLeast"/>
          <w:jc w:val="center"/>
        </w:trPr>
        <w:tc>
          <w:tcPr>
            <w:tcW w:w="81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8324A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绩效目标</w:t>
            </w:r>
          </w:p>
        </w:tc>
      </w:tr>
      <w:tr w14:paraId="5B0A9664">
        <w:tblPrEx>
          <w:tblCellMar>
            <w:top w:w="0" w:type="dxa"/>
            <w:left w:w="108" w:type="dxa"/>
            <w:bottom w:w="0" w:type="dxa"/>
            <w:right w:w="108" w:type="dxa"/>
          </w:tblCellMar>
        </w:tblPrEx>
        <w:trPr>
          <w:trHeight w:val="520" w:hRule="atLeast"/>
          <w:jc w:val="center"/>
        </w:trPr>
        <w:tc>
          <w:tcPr>
            <w:tcW w:w="2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EF2A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年初绩效目标</w:t>
            </w:r>
          </w:p>
        </w:tc>
        <w:tc>
          <w:tcPr>
            <w:tcW w:w="31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7FD9A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全年（调整）绩效目标</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8EF9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14:paraId="582C8713">
        <w:tblPrEx>
          <w:tblCellMar>
            <w:top w:w="0" w:type="dxa"/>
            <w:left w:w="108" w:type="dxa"/>
            <w:bottom w:w="0" w:type="dxa"/>
            <w:right w:w="108" w:type="dxa"/>
          </w:tblCellMar>
        </w:tblPrEx>
        <w:trPr>
          <w:trHeight w:val="2204" w:hRule="atLeast"/>
          <w:jc w:val="center"/>
        </w:trPr>
        <w:tc>
          <w:tcPr>
            <w:tcW w:w="2528" w:type="dxa"/>
            <w:gridSpan w:val="4"/>
            <w:tcBorders>
              <w:top w:val="single" w:color="000000" w:sz="4" w:space="0"/>
              <w:left w:val="single" w:color="000000" w:sz="4" w:space="0"/>
              <w:bottom w:val="single" w:color="000000" w:sz="4" w:space="0"/>
              <w:right w:val="single" w:color="000000" w:sz="4" w:space="0"/>
            </w:tcBorders>
            <w:shd w:val="clear" w:color="auto" w:fill="auto"/>
          </w:tcPr>
          <w:p w14:paraId="50533F1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按照《丰都县创新人才引进工程实施方案》引进政策，对引进的其他硕士研究生应给予4万元安家补助，并分三年兑现。建议由县财政局将补助经费及时划拨给用人单位，再由用人单位及时兑现给创新人才。</w:t>
            </w:r>
          </w:p>
        </w:tc>
        <w:tc>
          <w:tcPr>
            <w:tcW w:w="3184" w:type="dxa"/>
            <w:gridSpan w:val="4"/>
            <w:tcBorders>
              <w:top w:val="single" w:color="000000" w:sz="4" w:space="0"/>
              <w:left w:val="single" w:color="000000" w:sz="4" w:space="0"/>
              <w:bottom w:val="single" w:color="000000" w:sz="4" w:space="0"/>
              <w:right w:val="single" w:color="000000" w:sz="4" w:space="0"/>
            </w:tcBorders>
            <w:shd w:val="clear" w:color="auto" w:fill="auto"/>
          </w:tcPr>
          <w:p w14:paraId="2323BDA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按照《丰都县创新人才引进工程实施方案》引进政策，对引进的其他硕士研究生应给予4万元安家补助，并分三年兑现。建议由县财政局将补助经费及时划拨给用人单位，再由用人单位及时兑现给创新人才。</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tcPr>
          <w:p w14:paraId="261D57D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本年度用人单位已及时兑现卢柳1.34万元。</w:t>
            </w:r>
          </w:p>
        </w:tc>
      </w:tr>
      <w:tr w14:paraId="457B5A45">
        <w:tblPrEx>
          <w:tblCellMar>
            <w:top w:w="0" w:type="dxa"/>
            <w:left w:w="108" w:type="dxa"/>
            <w:bottom w:w="0" w:type="dxa"/>
            <w:right w:w="108" w:type="dxa"/>
          </w:tblCellMar>
        </w:tblPrEx>
        <w:trPr>
          <w:trHeight w:val="620" w:hRule="atLeast"/>
          <w:jc w:val="center"/>
        </w:trPr>
        <w:tc>
          <w:tcPr>
            <w:tcW w:w="81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9EDB9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绩效指标</w:t>
            </w:r>
          </w:p>
        </w:tc>
      </w:tr>
      <w:tr w14:paraId="1A3BF74D">
        <w:tblPrEx>
          <w:tblCellMar>
            <w:top w:w="0" w:type="dxa"/>
            <w:left w:w="108" w:type="dxa"/>
            <w:bottom w:w="0" w:type="dxa"/>
            <w:right w:w="108" w:type="dxa"/>
          </w:tblCellMar>
        </w:tblPrEx>
        <w:trPr>
          <w:trHeight w:val="126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276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指标名称</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97A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计量单位</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531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指标性质</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DEA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指标值</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13A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全年完成值</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E2C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偏离度（%）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172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得分系数（%）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D64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指标权重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B5F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指标得分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A95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是否核心指标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D77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说明</w:t>
            </w:r>
          </w:p>
        </w:tc>
      </w:tr>
      <w:tr w14:paraId="58C698FB">
        <w:tblPrEx>
          <w:tblCellMar>
            <w:top w:w="0" w:type="dxa"/>
            <w:left w:w="108" w:type="dxa"/>
            <w:bottom w:w="0" w:type="dxa"/>
            <w:right w:w="108" w:type="dxa"/>
          </w:tblCellMar>
        </w:tblPrEx>
        <w:trPr>
          <w:trHeight w:val="957"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CFB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引进创新人才1人</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F8B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人</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81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643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360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8B9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278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5D2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C21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6AB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95E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13ECA319">
        <w:tblPrEx>
          <w:tblCellMar>
            <w:top w:w="0" w:type="dxa"/>
            <w:left w:w="108" w:type="dxa"/>
            <w:bottom w:w="0" w:type="dxa"/>
            <w:right w:w="108" w:type="dxa"/>
          </w:tblCellMar>
        </w:tblPrEx>
        <w:trPr>
          <w:trHeight w:val="126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458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引进创新人才学历学位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552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每个</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574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定性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579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硕士研究生及以上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DA9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618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F09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93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19A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BFC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FC0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673E42CE">
        <w:tblPrEx>
          <w:tblCellMar>
            <w:top w:w="0" w:type="dxa"/>
            <w:left w:w="108" w:type="dxa"/>
            <w:bottom w:w="0" w:type="dxa"/>
            <w:right w:w="108" w:type="dxa"/>
          </w:tblCellMar>
        </w:tblPrEx>
        <w:trPr>
          <w:trHeight w:val="644"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795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持续年限</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919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FD3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C97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3</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419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1D2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1C0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893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D89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71C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9D2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56FF1633">
        <w:tblPrEx>
          <w:tblCellMar>
            <w:top w:w="0" w:type="dxa"/>
            <w:left w:w="108" w:type="dxa"/>
            <w:bottom w:w="0" w:type="dxa"/>
            <w:right w:w="108" w:type="dxa"/>
          </w:tblCellMar>
        </w:tblPrEx>
        <w:trPr>
          <w:trHeight w:val="520"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D0E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满意度</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69D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53E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10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85</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F04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85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82B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C3C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B6D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9F4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E5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456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330AE4B8">
        <w:tblPrEx>
          <w:tblCellMar>
            <w:top w:w="0" w:type="dxa"/>
            <w:left w:w="108" w:type="dxa"/>
            <w:bottom w:w="0" w:type="dxa"/>
            <w:right w:w="108" w:type="dxa"/>
          </w:tblCellMar>
        </w:tblPrEx>
        <w:trPr>
          <w:trHeight w:val="977"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BE6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当年每人安家费</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EF0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万元/人</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0B0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04A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1.34</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1D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1.34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A9F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DE2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EAD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7C7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FB1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EFE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bl>
    <w:p w14:paraId="62AB290A">
      <w:pPr>
        <w:pStyle w:val="4"/>
        <w:bidi w:val="0"/>
      </w:pPr>
      <w:r>
        <w:rPr>
          <w:rFonts w:hint="eastAsia"/>
          <w:lang w:val="en-US" w:eastAsia="zh-CN"/>
        </w:rPr>
        <w:t>（二）</w:t>
      </w:r>
      <w:r>
        <w:rPr>
          <w:rFonts w:hint="eastAsia"/>
        </w:rPr>
        <w:t>单位绩效评价情况</w:t>
      </w:r>
    </w:p>
    <w:p w14:paraId="5FB0AD50">
      <w:r>
        <w:rPr>
          <w:rFonts w:hint="eastAsia"/>
        </w:rPr>
        <w:t>我单位未组织开展绩效评价。</w:t>
      </w:r>
    </w:p>
    <w:p w14:paraId="7044CB71">
      <w:pPr>
        <w:pStyle w:val="4"/>
        <w:bidi w:val="0"/>
      </w:pPr>
      <w:r>
        <w:rPr>
          <w:rFonts w:hint="eastAsia"/>
        </w:rPr>
        <w:t>（三）财政绩效评价情况</w:t>
      </w:r>
    </w:p>
    <w:p w14:paraId="041523C1">
      <w:pPr>
        <w:bidi w:val="0"/>
      </w:pPr>
      <w:r>
        <w:rPr>
          <w:rFonts w:hint="eastAsia"/>
        </w:rPr>
        <w:t>市财政局未委托第三方对我单位开展绩效评价。</w:t>
      </w:r>
    </w:p>
    <w:p w14:paraId="592F5788">
      <w:pPr>
        <w:pStyle w:val="3"/>
        <w:bidi w:val="0"/>
      </w:pPr>
      <w:r>
        <w:t>六、专业名词解释</w:t>
      </w:r>
    </w:p>
    <w:p w14:paraId="6E3D4D53">
      <w:pPr>
        <w:rPr>
          <w:rFonts w:hint="default"/>
        </w:rPr>
      </w:pPr>
      <w:r>
        <w:rPr>
          <w:rStyle w:val="21"/>
        </w:rPr>
        <w:t>（一）财政拨款收入：</w:t>
      </w:r>
      <w:r>
        <w:t>指本年度从本级财政部门取得的财政拨款，包括一般公共预算财政拨款和政府性基金预算财政拨款。</w:t>
      </w:r>
    </w:p>
    <w:p w14:paraId="0441B1E8">
      <w:pPr>
        <w:rPr>
          <w:rFonts w:hint="default"/>
        </w:rPr>
      </w:pPr>
      <w:r>
        <w:rPr>
          <w:rStyle w:val="21"/>
        </w:rPr>
        <w:t>（二）事业收入：</w:t>
      </w:r>
      <w:r>
        <w:t>指事业单位开展专业业务活动及其辅助活动取得的现金流入；事业单位收到的财政专户实际核拨的教育收费等资金在此反映。</w:t>
      </w:r>
    </w:p>
    <w:p w14:paraId="1BFA2DCD">
      <w:pPr>
        <w:rPr>
          <w:rFonts w:hint="default"/>
        </w:rPr>
      </w:pPr>
      <w:r>
        <w:rPr>
          <w:rStyle w:val="21"/>
        </w:rPr>
        <w:t>（三）经营收入：</w:t>
      </w:r>
      <w:r>
        <w:t>指事业单位在专业业务活动及其辅助活动之外开展非独立核算经营活动取得的现金流入。</w:t>
      </w:r>
    </w:p>
    <w:p w14:paraId="00FA4775">
      <w:pPr>
        <w:rPr>
          <w:rFonts w:hint="default"/>
        </w:rPr>
      </w:pPr>
      <w:r>
        <w:rPr>
          <w:rStyle w:val="21"/>
        </w:rPr>
        <w:t>（四）其他收入：</w:t>
      </w:r>
      <w:r>
        <w:t>指单位取得的除</w:t>
      </w:r>
      <w:r>
        <w:rPr>
          <w:rFonts w:hint="eastAsia"/>
          <w:lang w:eastAsia="zh-CN"/>
        </w:rPr>
        <w:t>“</w:t>
      </w:r>
      <w:r>
        <w:t>财政拨款收入</w:t>
      </w:r>
      <w:r>
        <w:rPr>
          <w:rFonts w:hint="eastAsia"/>
          <w:lang w:eastAsia="zh-CN"/>
        </w:rPr>
        <w:t>”</w:t>
      </w:r>
      <w:r>
        <w:t>、</w:t>
      </w:r>
      <w:r>
        <w:rPr>
          <w:rFonts w:hint="eastAsia"/>
          <w:lang w:eastAsia="zh-CN"/>
        </w:rPr>
        <w:t>“</w:t>
      </w:r>
      <w:r>
        <w:t>事业收入</w:t>
      </w:r>
      <w:r>
        <w:rPr>
          <w:rFonts w:hint="eastAsia"/>
          <w:lang w:eastAsia="zh-CN"/>
        </w:rPr>
        <w:t>”</w:t>
      </w:r>
      <w:r>
        <w:t>、</w:t>
      </w:r>
      <w:r>
        <w:rPr>
          <w:rFonts w:hint="eastAsia"/>
          <w:lang w:eastAsia="zh-CN"/>
        </w:rPr>
        <w:t>“</w:t>
      </w:r>
      <w:r>
        <w:t>经营收入</w:t>
      </w:r>
      <w:r>
        <w:rPr>
          <w:rFonts w:hint="eastAsia"/>
          <w:lang w:eastAsia="zh-CN"/>
        </w:rPr>
        <w:t>”</w:t>
      </w:r>
      <w: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BB973B2">
      <w:pPr>
        <w:rPr>
          <w:rFonts w:hint="default"/>
        </w:rPr>
      </w:pPr>
      <w:r>
        <w:rPr>
          <w:rStyle w:val="21"/>
        </w:rPr>
        <w:t>（五）使用非财政拨款结余：</w:t>
      </w:r>
      <w:r>
        <w:t>指单位在当年的</w:t>
      </w:r>
      <w:r>
        <w:rPr>
          <w:rFonts w:hint="eastAsia"/>
          <w:lang w:eastAsia="zh-CN"/>
        </w:rPr>
        <w:t>“</w:t>
      </w:r>
      <w:r>
        <w:t>财政拨款收入</w:t>
      </w:r>
      <w:r>
        <w:rPr>
          <w:rFonts w:hint="eastAsia"/>
          <w:lang w:eastAsia="zh-CN"/>
        </w:rPr>
        <w:t>”</w:t>
      </w:r>
      <w:r>
        <w:t>、</w:t>
      </w:r>
      <w:r>
        <w:rPr>
          <w:rFonts w:hint="eastAsia"/>
          <w:lang w:eastAsia="zh-CN"/>
        </w:rPr>
        <w:t>“</w:t>
      </w:r>
      <w:r>
        <w:t>事业收入</w:t>
      </w:r>
      <w:r>
        <w:rPr>
          <w:rFonts w:hint="eastAsia"/>
          <w:lang w:eastAsia="zh-CN"/>
        </w:rPr>
        <w:t>”</w:t>
      </w:r>
      <w:r>
        <w:t>、</w:t>
      </w:r>
      <w:r>
        <w:rPr>
          <w:rFonts w:hint="eastAsia"/>
          <w:lang w:eastAsia="zh-CN"/>
        </w:rPr>
        <w:t>“</w:t>
      </w:r>
      <w:r>
        <w:t>经营收入</w:t>
      </w:r>
      <w:r>
        <w:rPr>
          <w:rFonts w:hint="eastAsia"/>
          <w:lang w:eastAsia="zh-CN"/>
        </w:rPr>
        <w:t>”</w:t>
      </w:r>
      <w:r>
        <w:t>、</w:t>
      </w:r>
      <w:r>
        <w:rPr>
          <w:rFonts w:hint="eastAsia"/>
          <w:lang w:eastAsia="zh-CN"/>
        </w:rPr>
        <w:t>“</w:t>
      </w:r>
      <w:r>
        <w:t>其他收入</w:t>
      </w:r>
      <w:r>
        <w:rPr>
          <w:rFonts w:hint="eastAsia"/>
          <w:lang w:eastAsia="zh-CN"/>
        </w:rPr>
        <w:t>”</w:t>
      </w:r>
      <w:r>
        <w:t>等不足以安排当年支出的情况下，使用以前年度积累的非财政拨款结余弥补本年度收支缺口的资金。</w:t>
      </w:r>
    </w:p>
    <w:p w14:paraId="44B7F376">
      <w:pPr>
        <w:rPr>
          <w:rFonts w:hint="default"/>
        </w:rPr>
      </w:pPr>
      <w:r>
        <w:rPr>
          <w:rStyle w:val="21"/>
        </w:rPr>
        <w:t>（六）年初结转和结余：</w:t>
      </w:r>
      <w:r>
        <w:t>指单位上年结转本年使用的基本支出结转、项目支出结转和结余、经营结余。</w:t>
      </w:r>
    </w:p>
    <w:p w14:paraId="4EAEEAF3">
      <w:pPr>
        <w:rPr>
          <w:rFonts w:hint="default"/>
        </w:rPr>
      </w:pPr>
      <w:r>
        <w:rPr>
          <w:rStyle w:val="21"/>
        </w:rPr>
        <w:t>（七）结余分配：</w:t>
      </w:r>
      <w:r>
        <w:t>指单位按照国家有关规定，缴纳所得税、提取专用基金、转入非财政拨款结余等当年结余的分配情况。</w:t>
      </w:r>
    </w:p>
    <w:p w14:paraId="229E360A">
      <w:pPr>
        <w:rPr>
          <w:rFonts w:hint="default"/>
        </w:rPr>
      </w:pPr>
      <w:r>
        <w:rPr>
          <w:rStyle w:val="21"/>
        </w:rPr>
        <w:t>（八）年末结转和结余：</w:t>
      </w:r>
      <w:r>
        <w:t>指单位结转下年的基本支出结转、项目支出结转和结余、经营结余。</w:t>
      </w:r>
    </w:p>
    <w:p w14:paraId="49E97520">
      <w:pPr>
        <w:rPr>
          <w:rFonts w:hint="default"/>
        </w:rPr>
      </w:pPr>
      <w:r>
        <w:rPr>
          <w:rStyle w:val="21"/>
        </w:rPr>
        <w:t>（九）基本支出：</w:t>
      </w:r>
      <w:r>
        <w:t>指为保障机构正常运转、完成日常工作任务而发生的人员经费和公用经费。其中：人员经费指政府收支分类经济科目中的</w:t>
      </w:r>
      <w:r>
        <w:rPr>
          <w:rFonts w:hint="eastAsia"/>
          <w:lang w:eastAsia="zh-CN"/>
        </w:rPr>
        <w:t>“</w:t>
      </w:r>
      <w:r>
        <w:t>工资福利支出</w:t>
      </w:r>
      <w:r>
        <w:rPr>
          <w:rFonts w:hint="eastAsia"/>
          <w:lang w:eastAsia="zh-CN"/>
        </w:rPr>
        <w:t>”</w:t>
      </w:r>
      <w:r>
        <w:t>和</w:t>
      </w:r>
      <w:r>
        <w:rPr>
          <w:rFonts w:hint="eastAsia"/>
          <w:lang w:eastAsia="zh-CN"/>
        </w:rPr>
        <w:t>“</w:t>
      </w:r>
      <w:r>
        <w:t>对个人和家庭的补助</w:t>
      </w:r>
      <w:r>
        <w:rPr>
          <w:rFonts w:hint="eastAsia"/>
          <w:lang w:eastAsia="zh-CN"/>
        </w:rPr>
        <w:t>”</w:t>
      </w:r>
      <w:r>
        <w:t>；公用经费指政府收支分类经济科目中除</w:t>
      </w:r>
      <w:r>
        <w:rPr>
          <w:rFonts w:hint="eastAsia"/>
          <w:lang w:eastAsia="zh-CN"/>
        </w:rPr>
        <w:t>“</w:t>
      </w:r>
      <w:r>
        <w:t>工资福利支出</w:t>
      </w:r>
      <w:r>
        <w:rPr>
          <w:rFonts w:hint="eastAsia"/>
          <w:lang w:eastAsia="zh-CN"/>
        </w:rPr>
        <w:t>”</w:t>
      </w:r>
      <w:r>
        <w:t>和</w:t>
      </w:r>
      <w:r>
        <w:rPr>
          <w:rFonts w:hint="eastAsia"/>
          <w:lang w:eastAsia="zh-CN"/>
        </w:rPr>
        <w:t>“</w:t>
      </w:r>
      <w:r>
        <w:t>对个人和家庭的补助</w:t>
      </w:r>
      <w:r>
        <w:rPr>
          <w:rFonts w:hint="eastAsia"/>
          <w:lang w:eastAsia="zh-CN"/>
        </w:rPr>
        <w:t>”</w:t>
      </w:r>
      <w:r>
        <w:t>外的其他支出。</w:t>
      </w:r>
    </w:p>
    <w:p w14:paraId="31906FAE">
      <w:pPr>
        <w:rPr>
          <w:rFonts w:hint="default"/>
        </w:rPr>
      </w:pPr>
      <w:r>
        <w:rPr>
          <w:rStyle w:val="21"/>
        </w:rPr>
        <w:t>（十）项目支出：</w:t>
      </w:r>
      <w:r>
        <w:t>指在基本支出之外为完成特定行政任务和事业发展目标所发生的支出。</w:t>
      </w:r>
    </w:p>
    <w:p w14:paraId="3A7F44A4">
      <w:pPr>
        <w:rPr>
          <w:rFonts w:hint="default"/>
        </w:rPr>
      </w:pPr>
      <w:r>
        <w:rPr>
          <w:rStyle w:val="21"/>
        </w:rPr>
        <w:t>（十一）经营支出：</w:t>
      </w:r>
      <w:r>
        <w:t>指事业单位在专业业务活动及其辅助活动之外开展非独立核算经营活动发生的支出。</w:t>
      </w:r>
    </w:p>
    <w:p w14:paraId="38D70C68">
      <w:pPr>
        <w:rPr>
          <w:rFonts w:hint="default"/>
        </w:rPr>
      </w:pPr>
      <w:r>
        <w:rPr>
          <w:rStyle w:val="21"/>
        </w:rPr>
        <w:t>（十二）</w:t>
      </w:r>
      <w:r>
        <w:rPr>
          <w:rStyle w:val="21"/>
          <w:rFonts w:hint="eastAsia" w:eastAsia="方正楷体_GBK"/>
          <w:lang w:eastAsia="zh-CN"/>
        </w:rPr>
        <w:t>“</w:t>
      </w:r>
      <w:r>
        <w:rPr>
          <w:rStyle w:val="21"/>
        </w:rPr>
        <w:t>三公</w:t>
      </w:r>
      <w:r>
        <w:rPr>
          <w:rStyle w:val="21"/>
          <w:rFonts w:hint="eastAsia" w:eastAsia="方正楷体_GBK"/>
          <w:lang w:eastAsia="zh-CN"/>
        </w:rPr>
        <w:t>”</w:t>
      </w:r>
      <w:r>
        <w:rPr>
          <w:rStyle w:val="21"/>
        </w:rPr>
        <w:t>经费：</w:t>
      </w:r>
      <w: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FFA5047">
      <w:pPr>
        <w:rPr>
          <w:rFonts w:hint="default"/>
        </w:rPr>
      </w:pPr>
      <w:r>
        <w:rPr>
          <w:rStyle w:val="21"/>
        </w:rPr>
        <w:t>（十三）机关运行经费：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55F6BF6">
      <w:pPr>
        <w:rPr>
          <w:rFonts w:hint="default"/>
        </w:rPr>
      </w:pPr>
      <w:r>
        <w:rPr>
          <w:rStyle w:val="21"/>
        </w:rPr>
        <w:t>（十四）工资福利支出（支出经济分类科目类级）：</w:t>
      </w:r>
      <w:r>
        <w:t>反映单位开支的在职职工和编制外长期聘用人员的各类劳动报酬，以及为上述人员缴纳的各项社会保险费等。</w:t>
      </w:r>
    </w:p>
    <w:p w14:paraId="70D91288">
      <w:pPr>
        <w:rPr>
          <w:rFonts w:hint="default"/>
        </w:rPr>
      </w:pPr>
      <w:r>
        <w:rPr>
          <w:rStyle w:val="21"/>
        </w:rPr>
        <w:t>（十五）商品和服务支出（支出经济分类科目类级）：</w:t>
      </w:r>
      <w:r>
        <w:t>反映单位购买商品和服务的支出（不包括用于购置固定资产的支出、战略性和应急储备支出）。</w:t>
      </w:r>
    </w:p>
    <w:p w14:paraId="5568BE47">
      <w:pPr>
        <w:rPr>
          <w:rFonts w:hint="default"/>
        </w:rPr>
      </w:pPr>
      <w:r>
        <w:rPr>
          <w:rStyle w:val="21"/>
        </w:rPr>
        <w:t>（十六）对个人和家庭的补助（支出经济分类科目类级）：</w:t>
      </w:r>
      <w:r>
        <w:t>反映用于对个人和家庭的补助支出。</w:t>
      </w:r>
    </w:p>
    <w:p w14:paraId="2B29186D">
      <w:pPr>
        <w:rPr>
          <w:rFonts w:hint="default"/>
        </w:rPr>
      </w:pPr>
      <w:r>
        <w:rPr>
          <w:rStyle w:val="21"/>
        </w:rPr>
        <w:t>（十七）其他资本性支出（支出经济分类科目类级）：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14:paraId="2C9C3EC3">
      <w:pPr>
        <w:pStyle w:val="3"/>
        <w:bidi w:val="0"/>
        <w:rPr>
          <w:rFonts w:hint="default"/>
        </w:rPr>
      </w:pPr>
      <w:r>
        <w:t>七、决算公开联系方式及信息反馈渠道</w:t>
      </w:r>
    </w:p>
    <w:p w14:paraId="078B0BE8">
      <w:pPr>
        <w:bidi w:val="0"/>
      </w:pPr>
      <w:r>
        <w:t>本单位决算公开信息反馈和联系方式：</w:t>
      </w:r>
    </w:p>
    <w:p w14:paraId="3DDBCAB8">
      <w:pPr>
        <w:bidi w:val="0"/>
        <w:rPr>
          <w:rStyle w:val="15"/>
          <w:rFonts w:ascii="方正仿宋_GBK" w:hAnsi="方正仿宋_GBK" w:eastAsia="方正仿宋_GBK" w:cs="方正仿宋_GBK"/>
          <w:sz w:val="32"/>
          <w:szCs w:val="32"/>
          <w:shd w:val="clear" w:color="auto" w:fill="FFFF00"/>
        </w:rPr>
        <w:sectPr>
          <w:footerReference r:id="rId5" w:type="default"/>
          <w:pgSz w:w="11915" w:h="16840"/>
          <w:pgMar w:top="1440" w:right="1800" w:bottom="1440" w:left="1800" w:header="851" w:footer="992" w:gutter="0"/>
          <w:pgNumType w:fmt="decimal"/>
          <w:cols w:space="720" w:num="1"/>
          <w:docGrid w:type="lines" w:linePitch="312" w:charSpace="0"/>
        </w:sectPr>
      </w:pPr>
      <w:r>
        <w:rPr>
          <w:rFonts w:hint="eastAsia"/>
        </w:rPr>
        <w:t>余春英023-707502</w:t>
      </w:r>
    </w:p>
    <w:tbl>
      <w:tblPr>
        <w:tblStyle w:val="12"/>
        <w:tblW w:w="5005" w:type="pct"/>
        <w:jc w:val="center"/>
        <w:tblLayout w:type="autofit"/>
        <w:tblCellMar>
          <w:top w:w="0" w:type="dxa"/>
          <w:left w:w="0" w:type="dxa"/>
          <w:bottom w:w="0" w:type="dxa"/>
          <w:right w:w="0" w:type="dxa"/>
        </w:tblCellMar>
      </w:tblPr>
      <w:tblGrid>
        <w:gridCol w:w="4298"/>
        <w:gridCol w:w="1694"/>
        <w:gridCol w:w="4034"/>
        <w:gridCol w:w="2888"/>
      </w:tblGrid>
      <w:tr w14:paraId="03837210">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C3D3CF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收入支出决算总表</w:t>
            </w:r>
          </w:p>
        </w:tc>
      </w:tr>
      <w:tr w14:paraId="253384EB">
        <w:tblPrEx>
          <w:tblCellMar>
            <w:top w:w="0" w:type="dxa"/>
            <w:left w:w="0" w:type="dxa"/>
            <w:bottom w:w="0" w:type="dxa"/>
            <w:right w:w="0" w:type="dxa"/>
          </w:tblCellMar>
        </w:tblPrEx>
        <w:trPr>
          <w:trHeight w:val="232" w:hRule="atLeast"/>
          <w:jc w:val="center"/>
        </w:trPr>
        <w:tc>
          <w:tcPr>
            <w:tcW w:w="1664" w:type="pct"/>
            <w:tcBorders>
              <w:top w:val="nil"/>
              <w:left w:val="nil"/>
              <w:bottom w:val="nil"/>
              <w:right w:val="nil"/>
            </w:tcBorders>
            <w:shd w:val="clear" w:color="auto" w:fill="auto"/>
            <w:noWrap/>
            <w:tcMar>
              <w:top w:w="15" w:type="dxa"/>
              <w:left w:w="15" w:type="dxa"/>
              <w:right w:w="15" w:type="dxa"/>
            </w:tcMar>
            <w:vAlign w:val="bottom"/>
          </w:tcPr>
          <w:p w14:paraId="371145C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1F35500">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882860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2C1E61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公开01表</w:t>
            </w:r>
          </w:p>
        </w:tc>
      </w:tr>
      <w:tr w14:paraId="3E213690">
        <w:tblPrEx>
          <w:tblCellMar>
            <w:top w:w="0" w:type="dxa"/>
            <w:left w:w="0" w:type="dxa"/>
            <w:bottom w:w="0" w:type="dxa"/>
            <w:right w:w="0" w:type="dxa"/>
          </w:tblCellMar>
        </w:tblPrEx>
        <w:trPr>
          <w:trHeight w:val="232" w:hRule="atLeast"/>
          <w:jc w:val="center"/>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8A28D4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2"/>
                <w:szCs w:val="22"/>
              </w:rPr>
            </w:pPr>
            <w:r>
              <w:rPr>
                <w:rFonts w:cs="宋体"/>
                <w:sz w:val="20"/>
                <w:szCs w:val="20"/>
              </w:rPr>
              <w:t>公开单位：</w:t>
            </w:r>
            <w:r>
              <w:rPr>
                <w:sz w:val="20"/>
              </w:rPr>
              <w:t>重庆市丰都县南天湖旅游区综合执法队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02A9B6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15E6A5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51130D">
        <w:tblPrEx>
          <w:tblCellMar>
            <w:top w:w="0" w:type="dxa"/>
            <w:left w:w="0" w:type="dxa"/>
            <w:bottom w:w="0" w:type="dxa"/>
            <w:right w:w="0" w:type="dxa"/>
          </w:tblCellMar>
        </w:tblPrEx>
        <w:trPr>
          <w:trHeight w:val="243" w:hRule="atLeast"/>
          <w:jc w:val="center"/>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4F77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3F3EA7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支出</w:t>
            </w:r>
          </w:p>
        </w:tc>
      </w:tr>
      <w:tr w14:paraId="7370AA5F">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B3B1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32E3F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B16F4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0E2F6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决算数</w:t>
            </w:r>
          </w:p>
        </w:tc>
      </w:tr>
      <w:tr w14:paraId="27DA0040">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7DF2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899D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183.29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1E592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CECC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147D6FF">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E5CE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57EB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797A8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E7AB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ED58533">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726E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4E39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9181F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8101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33AD90E">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5204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A701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83F02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1088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7F5F1B1">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70B4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11B5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BF585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A687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A902171">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102F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CEC8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5FD30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C3E8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09B0DDE">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9AB4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3671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02061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77F2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155.87</w:t>
            </w:r>
            <w:r>
              <w:rPr>
                <w:color w:val="000000"/>
                <w:sz w:val="20"/>
              </w:rPr>
              <w:t xml:space="preserve"> </w:t>
            </w:r>
          </w:p>
        </w:tc>
      </w:tr>
      <w:tr w14:paraId="73A72234">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2F16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289099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ADB59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5C11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18.16</w:t>
            </w:r>
            <w:r>
              <w:rPr>
                <w:color w:val="000000"/>
                <w:sz w:val="20"/>
              </w:rPr>
              <w:t xml:space="preserve"> </w:t>
            </w:r>
          </w:p>
        </w:tc>
      </w:tr>
      <w:tr w14:paraId="20D3F8A7">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C0C8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08BF66">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0C05A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AF38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7.06</w:t>
            </w:r>
            <w:r>
              <w:rPr>
                <w:color w:val="000000"/>
                <w:sz w:val="20"/>
              </w:rPr>
              <w:t xml:space="preserve"> </w:t>
            </w:r>
          </w:p>
        </w:tc>
      </w:tr>
      <w:tr w14:paraId="1C0A1701">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2904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EB218A">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57D00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073C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C030751">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28C4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729B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8B2AB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508E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BAC3D4F">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06DE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25DCD">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CE598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065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9B8180F">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FA65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752F">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C0F9B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0B46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6C67DAB">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180A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58375">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8D01D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FF26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5EBB447">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205B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CCE4">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B12FA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D712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9D65F1F">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CDC1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30886">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71346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91C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94F827A">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D3C5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899F6">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50877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97A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7D3A003">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1AB5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8877B">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40064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9077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873AA9A">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8FD7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4ED5B">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FBBFB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7E9A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3.53</w:t>
            </w:r>
            <w:r>
              <w:rPr>
                <w:color w:val="000000"/>
                <w:sz w:val="20"/>
              </w:rPr>
              <w:t xml:space="preserve"> </w:t>
            </w:r>
          </w:p>
        </w:tc>
      </w:tr>
      <w:tr w14:paraId="59CA8055">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ED9F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4C29">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A5DFE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7429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2D7C853">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F1CD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00CBC">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5D347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31E9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AA588E8">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CDCB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73F8F">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0B30D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F45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0221CB0">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35F6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9561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D17C5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415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9296EEF">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42B2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9BC4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17866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B76E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6011A2F">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747C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D3EB0">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036FF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73D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90D5A94">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A583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44A03">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BDC7B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23EA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A4F4E24">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2984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52C8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183.29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ED909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E934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184.63</w:t>
            </w:r>
            <w:r>
              <w:rPr>
                <w:color w:val="000000"/>
                <w:sz w:val="20"/>
              </w:rPr>
              <w:t xml:space="preserve"> </w:t>
            </w:r>
          </w:p>
        </w:tc>
      </w:tr>
      <w:tr w14:paraId="11F60B56">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0CA2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FA92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A8091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7D82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E10506A">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D6D2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E7B8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00E80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C904C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E8AD583">
        <w:tblPrEx>
          <w:tblCellMar>
            <w:top w:w="0" w:type="dxa"/>
            <w:left w:w="0" w:type="dxa"/>
            <w:bottom w:w="0" w:type="dxa"/>
            <w:right w:w="0" w:type="dxa"/>
          </w:tblCellMar>
        </w:tblPrEx>
        <w:trPr>
          <w:trHeight w:val="25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D10D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A06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184.63</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85A689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849F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184.63</w:t>
            </w:r>
            <w:r>
              <w:rPr>
                <w:color w:val="000000"/>
                <w:sz w:val="20"/>
              </w:rPr>
              <w:t xml:space="preserve"> </w:t>
            </w:r>
          </w:p>
        </w:tc>
      </w:tr>
    </w:tbl>
    <w:p w14:paraId="2A809257">
      <w:pPr>
        <w:bidi w:val="0"/>
        <w:rPr>
          <w:sz w:val="24"/>
          <w:szCs w:val="24"/>
        </w:rPr>
      </w:pPr>
      <w:r>
        <w:rPr>
          <w:sz w:val="24"/>
          <w:szCs w:val="24"/>
        </w:rPr>
        <w:t>备注：1.本表反映单位本年度的总收支和年末结转结余情况。</w:t>
      </w:r>
    </w:p>
    <w:p w14:paraId="345918C2">
      <w:pPr>
        <w:bidi w:val="0"/>
        <w:rPr>
          <w:rFonts w:hint="eastAsia"/>
          <w:sz w:val="24"/>
          <w:szCs w:val="24"/>
          <w:lang w:val="en-US" w:eastAsia="zh-CN"/>
        </w:rPr>
      </w:pPr>
      <w:r>
        <w:rPr>
          <w:sz w:val="24"/>
          <w:szCs w:val="24"/>
        </w:rPr>
        <w:t xml:space="preserve">      2.本套报表金额单位转换时可能存在尾数误差。</w:t>
      </w:r>
      <w:r>
        <w:rPr>
          <w:rFonts w:hint="eastAsia"/>
          <w:sz w:val="24"/>
          <w:szCs w:val="24"/>
          <w:lang w:val="en-US" w:eastAsia="zh-CN"/>
        </w:rPr>
        <w:t>3.5</w:t>
      </w:r>
    </w:p>
    <w:p w14:paraId="5B674618">
      <w:pPr>
        <w:bidi w:val="0"/>
        <w:rPr>
          <w:rFonts w:hint="default"/>
          <w:sz w:val="24"/>
          <w:szCs w:val="24"/>
          <w:lang w:val="en-US" w:eastAsia="zh-CN"/>
        </w:rPr>
        <w:sectPr>
          <w:headerReference r:id="rId6" w:type="default"/>
          <w:footerReference r:id="rId7" w:type="default"/>
          <w:pgSz w:w="16839" w:h="11907" w:orient="landscape"/>
          <w:pgMar w:top="1531" w:right="1984" w:bottom="1531" w:left="1984" w:header="0" w:footer="1134" w:gutter="0"/>
          <w:pgNumType w:fmt="decimal"/>
          <w:cols w:space="720" w:num="1"/>
          <w:docGrid w:type="lines" w:linePitch="326" w:charSpace="0"/>
        </w:sectPr>
      </w:pPr>
    </w:p>
    <w:tbl>
      <w:tblPr>
        <w:tblStyle w:val="12"/>
        <w:tblW w:w="5000" w:type="pct"/>
        <w:jc w:val="center"/>
        <w:tblLayout w:type="fixed"/>
        <w:tblCellMar>
          <w:top w:w="0" w:type="dxa"/>
          <w:left w:w="0" w:type="dxa"/>
          <w:bottom w:w="0" w:type="dxa"/>
          <w:right w:w="0" w:type="dxa"/>
        </w:tblCellMar>
      </w:tblPr>
      <w:tblGrid>
        <w:gridCol w:w="1428"/>
        <w:gridCol w:w="2660"/>
        <w:gridCol w:w="1034"/>
        <w:gridCol w:w="1034"/>
        <w:gridCol w:w="1034"/>
        <w:gridCol w:w="1034"/>
        <w:gridCol w:w="1146"/>
        <w:gridCol w:w="1097"/>
        <w:gridCol w:w="1207"/>
        <w:gridCol w:w="1226"/>
      </w:tblGrid>
      <w:tr w14:paraId="266E0918">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BDCE6E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收入决算表</w:t>
            </w:r>
          </w:p>
        </w:tc>
      </w:tr>
      <w:tr w14:paraId="4E757C61">
        <w:tblPrEx>
          <w:tblCellMar>
            <w:top w:w="0" w:type="dxa"/>
            <w:left w:w="0" w:type="dxa"/>
            <w:bottom w:w="0" w:type="dxa"/>
            <w:right w:w="0" w:type="dxa"/>
          </w:tblCellMar>
        </w:tblPrEx>
        <w:trPr>
          <w:trHeight w:val="328" w:hRule="atLeast"/>
          <w:jc w:val="center"/>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0B957E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sz w:val="20"/>
              </w:rPr>
              <w:t>重庆市丰都县南天湖旅游区综合执法队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4BF935A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773705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4E6912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A62648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13CFE1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B9D201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5546306">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公开02表</w:t>
            </w:r>
          </w:p>
        </w:tc>
      </w:tr>
      <w:tr w14:paraId="11EBB4D9">
        <w:tblPrEx>
          <w:tblCellMar>
            <w:top w:w="0" w:type="dxa"/>
            <w:left w:w="0" w:type="dxa"/>
            <w:bottom w:w="0" w:type="dxa"/>
            <w:right w:w="0" w:type="dxa"/>
          </w:tblCellMar>
        </w:tblPrEx>
        <w:trPr>
          <w:trHeight w:val="328" w:hRule="atLeast"/>
          <w:jc w:val="center"/>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7E8CA9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702D9E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CFEBF4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84F06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B7FDAE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48476C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942B2E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DB5F294">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53A115">
        <w:tblPrEx>
          <w:tblCellMar>
            <w:top w:w="0" w:type="dxa"/>
            <w:left w:w="0" w:type="dxa"/>
            <w:bottom w:w="0" w:type="dxa"/>
            <w:right w:w="0" w:type="dxa"/>
          </w:tblCellMar>
        </w:tblPrEx>
        <w:trPr>
          <w:trHeight w:val="431" w:hRule="atLeast"/>
          <w:jc w:val="center"/>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A26905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12C2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D768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6CD4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ADD5B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0832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1B00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5588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其他收入</w:t>
            </w:r>
          </w:p>
        </w:tc>
      </w:tr>
      <w:tr w14:paraId="721DC6FE">
        <w:tblPrEx>
          <w:tblCellMar>
            <w:top w:w="0" w:type="dxa"/>
            <w:left w:w="0" w:type="dxa"/>
            <w:bottom w:w="0" w:type="dxa"/>
            <w:right w:w="0" w:type="dxa"/>
          </w:tblCellMar>
        </w:tblPrEx>
        <w:trPr>
          <w:trHeight w:val="334" w:hRule="atLeast"/>
          <w:jc w:val="center"/>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8639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4731CD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B29D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F31F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9675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DF77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38D3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91FB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FF1B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0018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6EC015D1">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EA7B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F3B82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47BD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8728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B173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ED4D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9B6A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DDE9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6CCE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4F43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A4E5A66">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69C5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055DC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13F6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DCC3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93D8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21EF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3ACB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F9DB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31DF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8E1E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63F2F8EF">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B61B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AABF0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C4BE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66DB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FC30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9C32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2ADE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3A16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461C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C089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672094B9">
        <w:tblPrEx>
          <w:tblCellMar>
            <w:top w:w="0" w:type="dxa"/>
            <w:left w:w="0" w:type="dxa"/>
            <w:bottom w:w="0" w:type="dxa"/>
            <w:right w:w="0" w:type="dxa"/>
          </w:tblCellMar>
        </w:tblPrEx>
        <w:trPr>
          <w:trHeight w:val="338" w:hRule="atLeast"/>
          <w:jc w:val="center"/>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486F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3E2A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183.29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21E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183.29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2567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9283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2A2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2C8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FF45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02ED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r w14:paraId="0046519C">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E2E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4A5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F29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154.53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4D0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154.53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198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0A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D84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AC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6BF0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ACC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BB04E6D">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407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F1AC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6BF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154.53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923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154.53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D2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2F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C23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BB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E87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1B6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A42B0D6">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2B7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AA0E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0D9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154.53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C10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154.53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B1B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C1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31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CAD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ED8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78B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63C8288">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931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BF07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29A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112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600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98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C5B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C0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739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94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977D895">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F54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C4F6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11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884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7EB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93B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E96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7E9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0C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641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99AF949">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3D9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1BCB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DD5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13.67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D11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13.67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6B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F1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78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9F6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49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ED3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36ECE42">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858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EB2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9F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8A0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A8D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363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D9E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1FC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FE0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6C7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D0468AA">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642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59A5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A2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268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426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8F9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053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BF7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4CC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BF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D970D1D">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946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9C90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41B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94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D5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6CE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434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37E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AEC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0F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CA16A9A">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E36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BD7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2C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BB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3EF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03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82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27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5F7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3B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49C5893">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B63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69C4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1B5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8E0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B54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337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FFA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6A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074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23E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1C77F43">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98E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9DBD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C0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A43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06A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4C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0A8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76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DE0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F90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349242F">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970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CE7A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253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5A6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278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7F9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EE5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804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A6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D9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45A1FD9">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E7E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B230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B30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2F8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829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624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3B3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DD0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E0C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72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bl>
    <w:p w14:paraId="62B5FF4C">
      <w:pPr>
        <w:bidi w:val="0"/>
      </w:pPr>
      <w:r>
        <w:t>备注：1.本表反映单位本年度取得的各项收入情况。</w:t>
      </w:r>
    </w:p>
    <w:p w14:paraId="2B7CD438">
      <w:pPr>
        <w:bidi w:val="0"/>
        <w:ind w:firstLine="1600" w:firstLineChars="500"/>
        <w:rPr>
          <w:rFonts w:hint="default" w:cs="宋体"/>
          <w:szCs w:val="20"/>
        </w:rPr>
      </w:pPr>
      <w:r>
        <w:t>2.本套报表金额单位转换时可能存在尾数误差。</w:t>
      </w:r>
    </w:p>
    <w:p w14:paraId="6DFFCA81">
      <w:pPr>
        <w:rPr>
          <w:rFonts w:hint="default" w:cs="宋体"/>
          <w:sz w:val="20"/>
          <w:szCs w:val="20"/>
        </w:rPr>
      </w:pPr>
      <w:r>
        <w:rPr>
          <w:rFonts w:cs="宋体"/>
          <w:sz w:val="20"/>
          <w:szCs w:val="20"/>
        </w:rPr>
        <w:br w:type="page"/>
      </w:r>
    </w:p>
    <w:tbl>
      <w:tblPr>
        <w:tblStyle w:val="12"/>
        <w:tblW w:w="5000" w:type="pct"/>
        <w:tblInd w:w="0" w:type="dxa"/>
        <w:tblLayout w:type="autofit"/>
        <w:tblCellMar>
          <w:top w:w="0" w:type="dxa"/>
          <w:left w:w="0" w:type="dxa"/>
          <w:bottom w:w="0" w:type="dxa"/>
          <w:right w:w="0" w:type="dxa"/>
        </w:tblCellMar>
      </w:tblPr>
      <w:tblGrid>
        <w:gridCol w:w="1637"/>
        <w:gridCol w:w="3230"/>
        <w:gridCol w:w="1336"/>
        <w:gridCol w:w="1337"/>
        <w:gridCol w:w="1337"/>
        <w:gridCol w:w="1324"/>
        <w:gridCol w:w="1324"/>
        <w:gridCol w:w="1376"/>
      </w:tblGrid>
      <w:tr w14:paraId="1F8A25C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6AFB4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支出决算表</w:t>
            </w:r>
          </w:p>
        </w:tc>
      </w:tr>
      <w:tr w14:paraId="7031FB4A">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464D13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重庆市丰都县南天湖旅游区综合执法队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104932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0DD37F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C2D847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5557EC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1C1660A">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公开03表</w:t>
            </w:r>
          </w:p>
        </w:tc>
      </w:tr>
      <w:tr w14:paraId="2E9BFDB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AF0549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FB49DD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E2435C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D94872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67DB4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74D4269">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5A1E3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9FD90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E644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D39B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BA84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F0FC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77EF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3BA1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对附属单位补助支出</w:t>
            </w:r>
          </w:p>
        </w:tc>
      </w:tr>
      <w:tr w14:paraId="530CEC85">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C12F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BF57F3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AA4E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BBEF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FA62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4B52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7B43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A8C0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588B49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F2DB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AE0B3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5DD6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2063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C7B5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67BF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8716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24D5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29A21DD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58AC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6F8D7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8396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F681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2D02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49E5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BA63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16C7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4025F3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2E4C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4BB75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6214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E327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B65E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29D4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2AFA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905F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7AB0993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35F4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130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184.63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0A8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183.29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A4A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1.34</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54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7D67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3828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r w14:paraId="3DC794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1C6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AE4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A3F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155.87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576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154.53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F9B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7FE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AAD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0D5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CF832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075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5F49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D3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155.87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929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154.53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ECC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1.34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B94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70D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890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4B4CF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C55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2F20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896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155.87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3DD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154.53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722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1.34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E9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27F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CE1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DFED0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9AF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B1AB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722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D4A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EDE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ACE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FC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F8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0B889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8AB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5FFA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971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2E4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9EA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992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92D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2DF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26DFF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0CE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9667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C2D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13.67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E1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13.67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4D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296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9C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F84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0BAC5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06C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017E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460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0D3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C15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63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1FA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644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5A5B2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161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F8CC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8E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8A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B6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77F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214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D42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2C0F4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AD1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1C6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6F4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517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264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E9C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FF2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CE0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0D1A5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7F0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3956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30D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74A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2AA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48C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33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631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A9B83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2B8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1BE8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0C5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844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928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9FD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6E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66E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0405B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A3A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529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A25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642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71E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F0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5DB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54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0372A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EFA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B74F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340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0C1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901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4DC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438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C34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592A4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4E0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8309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9CC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642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62F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C9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FF1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85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bl>
    <w:p w14:paraId="3080819D">
      <w:pPr>
        <w:bidi w:val="0"/>
        <w:rPr>
          <w:sz w:val="24"/>
          <w:szCs w:val="24"/>
        </w:rPr>
      </w:pPr>
      <w:r>
        <w:rPr>
          <w:sz w:val="24"/>
          <w:szCs w:val="24"/>
        </w:rPr>
        <w:t>备注：1.本表反映单位本年度各项支出情况。</w:t>
      </w:r>
    </w:p>
    <w:p w14:paraId="40D7E07F">
      <w:pPr>
        <w:bidi w:val="0"/>
        <w:rPr>
          <w:sz w:val="24"/>
          <w:szCs w:val="24"/>
        </w:rPr>
        <w:sectPr>
          <w:pgSz w:w="16839" w:h="11907" w:orient="landscape"/>
          <w:pgMar w:top="1531" w:right="1984" w:bottom="1531" w:left="1984" w:header="0" w:footer="1134" w:gutter="0"/>
          <w:pgNumType w:fmt="decimal"/>
          <w:cols w:space="720" w:num="1"/>
          <w:docGrid w:type="lines" w:linePitch="326" w:charSpace="0"/>
        </w:sectPr>
      </w:pPr>
      <w:r>
        <w:rPr>
          <w:sz w:val="24"/>
          <w:szCs w:val="24"/>
        </w:rPr>
        <w:t xml:space="preserve">      2.本套报表金额单位转换时可能存在尾数误差。</w:t>
      </w:r>
    </w:p>
    <w:tbl>
      <w:tblPr>
        <w:tblStyle w:val="12"/>
        <w:tblW w:w="4790" w:type="pct"/>
        <w:jc w:val="center"/>
        <w:tblLayout w:type="autofit"/>
        <w:tblCellMar>
          <w:top w:w="0" w:type="dxa"/>
          <w:left w:w="0" w:type="dxa"/>
          <w:bottom w:w="0" w:type="dxa"/>
          <w:right w:w="0" w:type="dxa"/>
        </w:tblCellMar>
      </w:tblPr>
      <w:tblGrid>
        <w:gridCol w:w="2550"/>
        <w:gridCol w:w="1259"/>
        <w:gridCol w:w="2730"/>
        <w:gridCol w:w="1405"/>
        <w:gridCol w:w="1405"/>
        <w:gridCol w:w="1406"/>
        <w:gridCol w:w="1604"/>
      </w:tblGrid>
      <w:tr w14:paraId="39EE2F6E">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9B9FF4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财政拨款收入支出决算总表</w:t>
            </w:r>
          </w:p>
        </w:tc>
      </w:tr>
      <w:tr w14:paraId="77D1FEF9">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1817EF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重庆市丰都县南天湖旅游区综合执法队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60C201E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34196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0B5C0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4C6BF6B">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公开04表</w:t>
            </w:r>
          </w:p>
        </w:tc>
      </w:tr>
      <w:tr w14:paraId="7A832A7D">
        <w:tblPrEx>
          <w:tblCellMar>
            <w:top w:w="0" w:type="dxa"/>
            <w:left w:w="0" w:type="dxa"/>
            <w:bottom w:w="0" w:type="dxa"/>
            <w:right w:w="0" w:type="dxa"/>
          </w:tblCellMar>
        </w:tblPrEx>
        <w:trPr>
          <w:trHeight w:val="90"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20B976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1A3E2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A6762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44C60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258FAD">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3BEB1A">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AC2A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D46B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支     出</w:t>
            </w:r>
          </w:p>
        </w:tc>
      </w:tr>
      <w:tr w14:paraId="047EE3D1">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9A06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C081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F677A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D8F63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决算数</w:t>
            </w:r>
          </w:p>
        </w:tc>
      </w:tr>
      <w:tr w14:paraId="46EF3893">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ED7A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3583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0AB83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56E1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EC82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19BF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1A3C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国有资本经营预算财政拨款</w:t>
            </w:r>
          </w:p>
        </w:tc>
      </w:tr>
      <w:tr w14:paraId="5D93CF9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39FE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6A8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183.29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A3EE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10F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9A2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5B0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632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1036AB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288B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B50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226F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53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F8D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AD5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A6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B27017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CC89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D4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A9FE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42E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4B3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8E9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6E3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4F3F2E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AEF9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177E8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EBCF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E0A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FDD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9EC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1DC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7BA3DB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9C88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90CE8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037E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5BC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8E6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98A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3B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BFA564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75C4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4143E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1C81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67F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27F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DB6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34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FC9ED0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078F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E704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DE37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AD1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155.87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531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155.87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548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2A5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6D2673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D1F0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FBF3C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09CD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04F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18.16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1D2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18.16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212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CDD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C000A5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1D4B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34324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206A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2C8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7.06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2D4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7.06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4CC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AFA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7CCFC4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985E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ED13">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F68F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D05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B51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8D5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39F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528C32E">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0340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25D8">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87B6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B91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7AD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D56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7F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52676E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4054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4423">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DC23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1A2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977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B11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06A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7F7B84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5BBC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FCBB">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DF84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46F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21E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91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CD6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19801E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F997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F844">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C5CA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E86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B5D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E23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81D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79369C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E2B4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F7E4">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6FA2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9EF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AA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E1C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EA7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BDAE76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D301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A53">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FF2A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507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CF6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646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E7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E53C37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CD73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D1FF">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AABA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1ED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9BF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52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8F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DFFA22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D557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1D34">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54EF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4D3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7B3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66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462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5F20F1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2D48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1744">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541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3A1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AC1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C26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BC4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5DB81E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58E2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C93F">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FADA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D1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6F4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555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F73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F8979A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4A56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3553">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A6DE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F41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407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A1A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2E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902B09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BD18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A7DF">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A5E9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0BA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7E1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E30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2D1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0F3F48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6558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2D9D">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B2FB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1E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E2E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37E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99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2BE2F4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56413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7762">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73FA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A75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510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F65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03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A6C6A08">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AE577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D932">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04DF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191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1145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1DE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4F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DEA25B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DF8D4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9655">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92B0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2AC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114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D78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13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B052A7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0FFF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7D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183.29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F35F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99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184.63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46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184.63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7C5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A3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854116E">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BA90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BD1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1.34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4C3D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E00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417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B1F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85E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6D93A7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57E4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3F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1.34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9766B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4D269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3F36D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D2DF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71233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1DCEFC6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C7E5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543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7B00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8C74">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5DED">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9E68">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7C42">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676A756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D123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901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A882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DB15">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D248">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E33D">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AE6A">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451A5A6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2837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425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184.63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5AC7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D4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184.63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3C7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184.63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E3E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9C1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bl>
    <w:p w14:paraId="5EBF9D19">
      <w:pPr>
        <w:bidi w:val="0"/>
      </w:pPr>
      <w:r>
        <w:t>备注：1.本表反映单位本年度一般公共预算财政拨款、政府性基金预算财政拨款及国有资本经营预算财政拨款的总收支和年末结转结余情况。</w:t>
      </w:r>
    </w:p>
    <w:p w14:paraId="6D84892B">
      <w:pPr>
        <w:bidi w:val="0"/>
        <w:rPr>
          <w:rFonts w:hint="default" w:cs="宋体"/>
          <w:szCs w:val="20"/>
        </w:rPr>
      </w:pPr>
      <w:r>
        <w:t xml:space="preserve">      2.本套报表金额单位转换时可能存在尾数误差。</w:t>
      </w:r>
      <w:r>
        <w:rPr>
          <w:rFonts w:cs="宋体"/>
          <w:szCs w:val="21"/>
        </w:rPr>
        <w:br w:type="page"/>
      </w:r>
    </w:p>
    <w:tbl>
      <w:tblPr>
        <w:tblStyle w:val="12"/>
        <w:tblW w:w="5000" w:type="pct"/>
        <w:jc w:val="center"/>
        <w:tblLayout w:type="autofit"/>
        <w:tblCellMar>
          <w:top w:w="0" w:type="dxa"/>
          <w:left w:w="0" w:type="dxa"/>
          <w:bottom w:w="0" w:type="dxa"/>
          <w:right w:w="0" w:type="dxa"/>
        </w:tblCellMar>
      </w:tblPr>
      <w:tblGrid>
        <w:gridCol w:w="1495"/>
        <w:gridCol w:w="3230"/>
        <w:gridCol w:w="2721"/>
        <w:gridCol w:w="2721"/>
        <w:gridCol w:w="2734"/>
      </w:tblGrid>
      <w:tr w14:paraId="3C49923B">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D44CE8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6D2AE16">
        <w:tblPrEx>
          <w:tblCellMar>
            <w:top w:w="0" w:type="dxa"/>
            <w:left w:w="0" w:type="dxa"/>
            <w:bottom w:w="0" w:type="dxa"/>
            <w:right w:w="0" w:type="dxa"/>
          </w:tblCellMar>
        </w:tblPrEx>
        <w:trPr>
          <w:trHeight w:val="255" w:hRule="atLeast"/>
          <w:jc w:val="center"/>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ED24F2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重庆市丰都县南天湖旅游区综合执法队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9EAD68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2D7F2C4">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公开05表</w:t>
            </w:r>
          </w:p>
        </w:tc>
      </w:tr>
      <w:tr w14:paraId="1BB2AE6B">
        <w:tblPrEx>
          <w:tblCellMar>
            <w:top w:w="0" w:type="dxa"/>
            <w:left w:w="0" w:type="dxa"/>
            <w:bottom w:w="0" w:type="dxa"/>
            <w:right w:w="0" w:type="dxa"/>
          </w:tblCellMar>
        </w:tblPrEx>
        <w:trPr>
          <w:trHeight w:val="285" w:hRule="atLeast"/>
          <w:jc w:val="center"/>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E829E5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483BC9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28AB748">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3E914E">
        <w:tblPrEx>
          <w:tblCellMar>
            <w:top w:w="0" w:type="dxa"/>
            <w:left w:w="0" w:type="dxa"/>
            <w:bottom w:w="0" w:type="dxa"/>
            <w:right w:w="0" w:type="dxa"/>
          </w:tblCellMar>
        </w:tblPrEx>
        <w:trPr>
          <w:trHeight w:val="308" w:hRule="atLeast"/>
          <w:jc w:val="center"/>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2296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EF45C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w:t>
            </w:r>
          </w:p>
        </w:tc>
      </w:tr>
      <w:tr w14:paraId="5075DB30">
        <w:tblPrEx>
          <w:tblCellMar>
            <w:top w:w="0" w:type="dxa"/>
            <w:left w:w="0" w:type="dxa"/>
            <w:bottom w:w="0" w:type="dxa"/>
            <w:right w:w="0" w:type="dxa"/>
          </w:tblCellMar>
        </w:tblPrEx>
        <w:trPr>
          <w:trHeight w:val="326" w:hRule="atLeast"/>
          <w:jc w:val="center"/>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8CEF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DD25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A1F56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5B19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D5E2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r>
      <w:tr w14:paraId="1753BABA">
        <w:tblPrEx>
          <w:tblCellMar>
            <w:top w:w="0" w:type="dxa"/>
            <w:left w:w="0" w:type="dxa"/>
            <w:bottom w:w="0" w:type="dxa"/>
            <w:right w:w="0" w:type="dxa"/>
          </w:tblCellMar>
        </w:tblPrEx>
        <w:trPr>
          <w:trHeight w:val="326"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6AAC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481A0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C5CF5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A3C9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46474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382B1C6A">
        <w:tblPrEx>
          <w:tblCellMar>
            <w:top w:w="0" w:type="dxa"/>
            <w:left w:w="0" w:type="dxa"/>
            <w:bottom w:w="0" w:type="dxa"/>
            <w:right w:w="0" w:type="dxa"/>
          </w:tblCellMar>
        </w:tblPrEx>
        <w:trPr>
          <w:trHeight w:val="615"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D57B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70B46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311D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6C0D2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487C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507DCF48">
        <w:tblPrEx>
          <w:tblCellMar>
            <w:top w:w="0" w:type="dxa"/>
            <w:left w:w="0" w:type="dxa"/>
            <w:bottom w:w="0" w:type="dxa"/>
            <w:right w:w="0" w:type="dxa"/>
          </w:tblCellMar>
        </w:tblPrEx>
        <w:trPr>
          <w:trHeight w:val="308" w:hRule="atLeast"/>
          <w:jc w:val="center"/>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E5E7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432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184.63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831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183.29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B343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1.34</w:t>
            </w:r>
            <w:r>
              <w:rPr>
                <w:b/>
                <w:color w:val="000000"/>
                <w:sz w:val="20"/>
              </w:rPr>
              <w:t xml:space="preserve"> </w:t>
            </w:r>
          </w:p>
        </w:tc>
      </w:tr>
      <w:tr w14:paraId="58C6A8E3">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F07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18C9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49F8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155.87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2C5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154.53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5EB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1.34</w:t>
            </w:r>
            <w:r>
              <w:rPr>
                <w:b/>
                <w:color w:val="000000"/>
                <w:sz w:val="20"/>
              </w:rPr>
              <w:t xml:space="preserve"> </w:t>
            </w:r>
          </w:p>
        </w:tc>
      </w:tr>
      <w:tr w14:paraId="301E6C68">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4F9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89F5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CD6F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155.87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5EA5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154.53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E8D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1.34</w:t>
            </w:r>
            <w:r>
              <w:rPr>
                <w:b/>
                <w:color w:val="000000"/>
                <w:sz w:val="20"/>
              </w:rPr>
              <w:t xml:space="preserve"> </w:t>
            </w:r>
          </w:p>
        </w:tc>
      </w:tr>
      <w:tr w14:paraId="6A6D50FD">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D34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C3D2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5A15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155.87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A18A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154.53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C134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1.34</w:t>
            </w:r>
            <w:r>
              <w:rPr>
                <w:color w:val="000000"/>
                <w:sz w:val="20"/>
              </w:rPr>
              <w:t xml:space="preserve"> </w:t>
            </w:r>
          </w:p>
        </w:tc>
      </w:tr>
      <w:tr w14:paraId="5FD4B0CD">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7A8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6E2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7F53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18.16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F96D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18.16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7FF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10EC90E8">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799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7BC4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5B11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18.16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51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18.16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4E61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5D1F2EE2">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8FA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3576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20BE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13.67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FBED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13.67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B4A4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37AF70F0">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35C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0436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DDE1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92BF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4.49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F009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55E86B19">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15A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C00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2EE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7.06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D266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7.06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86AD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23B0413B">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FEB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09E7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A578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7.06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229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7.06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26B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65A241D5">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870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652B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BADB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6676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4.49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B5A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7B5EB452">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269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07F9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904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2.57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EB2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2.57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43B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5866F3EC">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DEC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F3E0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659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739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CEBC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54A2EF6F">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4F4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886A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1542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72F6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1FCD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050EA078">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ABA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59A7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6653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3.53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4FA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3.53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228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bl>
    <w:p w14:paraId="12AEB81C">
      <w:pPr>
        <w:bidi w:val="0"/>
        <w:rPr>
          <w:sz w:val="24"/>
          <w:szCs w:val="24"/>
        </w:rPr>
      </w:pPr>
      <w:r>
        <w:rPr>
          <w:sz w:val="24"/>
          <w:szCs w:val="24"/>
        </w:rPr>
        <w:t>备注：1.本表反映单位本年度一般公共预算财政拨款支出情况。</w:t>
      </w:r>
    </w:p>
    <w:p w14:paraId="62B558F2">
      <w:pPr>
        <w:bidi w:val="0"/>
        <w:rPr>
          <w:rFonts w:hint="default" w:cs="宋体"/>
          <w:szCs w:val="21"/>
        </w:rPr>
      </w:pPr>
      <w:r>
        <w:rPr>
          <w:sz w:val="24"/>
          <w:szCs w:val="24"/>
        </w:rPr>
        <w:t xml:space="preserve">      2.本套报表金额单位转换时可能存在尾数误差。</w:t>
      </w:r>
    </w:p>
    <w:p w14:paraId="0F232ACF">
      <w:pPr>
        <w:ind w:firstLine="630" w:firstLineChars="300"/>
        <w:rPr>
          <w:rFonts w:hint="default" w:cs="宋体"/>
          <w:sz w:val="21"/>
          <w:szCs w:val="21"/>
        </w:rPr>
      </w:pPr>
      <w:r>
        <w:rPr>
          <w:rFonts w:cs="宋体"/>
          <w:sz w:val="21"/>
          <w:szCs w:val="21"/>
        </w:rPr>
        <w:br w:type="page"/>
      </w:r>
    </w:p>
    <w:tbl>
      <w:tblPr>
        <w:tblStyle w:val="12"/>
        <w:tblW w:w="4994" w:type="pct"/>
        <w:tblInd w:w="0" w:type="dxa"/>
        <w:tblLayout w:type="fixed"/>
        <w:tblCellMar>
          <w:top w:w="0" w:type="dxa"/>
          <w:left w:w="0" w:type="dxa"/>
          <w:bottom w:w="0" w:type="dxa"/>
          <w:right w:w="0" w:type="dxa"/>
        </w:tblCellMar>
      </w:tblPr>
      <w:tblGrid>
        <w:gridCol w:w="508"/>
        <w:gridCol w:w="2298"/>
        <w:gridCol w:w="1154"/>
        <w:gridCol w:w="702"/>
        <w:gridCol w:w="1614"/>
        <w:gridCol w:w="1389"/>
        <w:gridCol w:w="678"/>
        <w:gridCol w:w="2959"/>
        <w:gridCol w:w="1585"/>
      </w:tblGrid>
      <w:tr w14:paraId="1F5DFEB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47FD96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0728BB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876FAB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重庆市丰都县南天湖旅游区综合执法队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22EAACB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3BD496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0F1579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78EDC3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CE298B5">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公开06表</w:t>
            </w:r>
          </w:p>
        </w:tc>
      </w:tr>
      <w:tr w14:paraId="6FCDF67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7839FD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EDA6B9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85C570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2ECB8F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38F155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D6FD7B5">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7B3AF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7568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84D91A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公用经费</w:t>
            </w:r>
          </w:p>
        </w:tc>
      </w:tr>
      <w:tr w14:paraId="27DAE08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CAD0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EB3E5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9DB21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3C83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55217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1A30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CD42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500D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AC558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r>
      <w:tr w14:paraId="0AD539D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9E83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8E3D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0AD1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329F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87801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98F8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EA13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3820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376C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r>
      <w:tr w14:paraId="5FB234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B21E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5DFA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816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152.18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3CFE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5C88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A93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31.11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6375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383F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70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28DBC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CB79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4A50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96D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41.12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1952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175C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1E6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11.83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9D6E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6121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BB3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27B5A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1BD2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401E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7EB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3689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69EB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C57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6BF2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C331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FBD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7EB0B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DDAA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9FF8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306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43D8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D705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98E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CFB5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51FF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579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45035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6A2D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A83A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2EE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7BD5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0E9D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CF6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326C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E5B0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8D4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72683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5391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834A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AC1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81.06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CAB5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F21F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4C4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5BD1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2F5A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87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7AD5B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CE62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A1FF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11A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13.67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67C1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3AF0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AD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F034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6E64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8AF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30FEB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BB8D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02C9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A91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4.49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F295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31C5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1B7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2395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EA8F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92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56432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40AB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EF4E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B71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4.49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3CB3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39FA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86B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FC09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5DB0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A7B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4347E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67A1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25F4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625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D128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96CE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3CC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ACEE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8AD1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3C1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A48FA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9144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C1EC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11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F5E6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5C6F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D3B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16.97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4E23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1471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701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54C3E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9466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5A08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7A4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DBA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DC60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168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9B7B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D591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9CB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CB0B3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6A7D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0589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D37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3D4E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CEDC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55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7A94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3E66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F3D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4A8FD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E280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ADE4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CE6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2C12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64F8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C3D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1481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BCFA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708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504B8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0003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6148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CFC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1CDB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B722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0B0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D90E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916E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7D1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5B9E0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4675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AB96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9F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BE98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2959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04D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2AAA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0BA7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ABD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82966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97D8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0BA5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0DD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7831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4186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3B8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EDA9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5AC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E81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090E7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4041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8DB3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F1C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D181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C143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444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2A86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105F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496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AB69B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0AC3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4AEE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C9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3927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2A7D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9FC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CCAB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FE8E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AC2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7812F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2C31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B90D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0EB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D781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5AF0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D8C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AF61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E8B3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07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23477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D0EF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4E67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DD9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7765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8BD4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5FB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8664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A12F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2EF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B6B60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7779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A40C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8D6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445B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0A89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D78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970C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197F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F11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29FA8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8522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6436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BB7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0F6F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FBE9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F2C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0.67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3893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9F82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428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A3BBF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4EED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F6E0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01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1AE8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94EF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B5C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1.57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9E49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0640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A33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F4CC6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B9C8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D911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56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C484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F0E5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FDC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A489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E936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34B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C716C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3C31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0194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233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008A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3FB7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9E6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17DC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EA2E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1B0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1BDD1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BFA7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0A02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097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94B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A054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D23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1984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6F06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54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C30C8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626B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0997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5354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5C97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CAC1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CEC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F659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C01F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A08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7B598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40CB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E31F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A0FD5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A5CF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4A22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13D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56B5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E472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D7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A5C90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355D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64D4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FB27A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55C1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4F5F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027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5FC3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BC9C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7F0B">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6387CC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8CCE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7140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5BFED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AD13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B44A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592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1032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3C0D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E0BE">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77DEB1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23FE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CAC5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D7470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B87B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6E13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576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2343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7BA0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E4F5">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2D0845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0A7F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0FDE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DB26F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AAD0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338C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AF6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824A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5849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1C31">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5C0B814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03A8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2F48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bottom"/>
              <w:rPr>
                <w:rFonts w:hint="default" w:cs="宋体"/>
                <w:color w:val="000000"/>
                <w:sz w:val="18"/>
                <w:szCs w:val="18"/>
              </w:rPr>
            </w:pPr>
            <w:r>
              <w:rPr>
                <w:rFonts w:cs="宋体"/>
                <w:color w:val="000000"/>
                <w:sz w:val="18"/>
                <w:szCs w:val="18"/>
              </w:rPr>
              <w:t>152.18</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D3A7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E6DB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31.11</w:t>
            </w:r>
            <w:r>
              <w:rPr>
                <w:color w:val="000000"/>
                <w:sz w:val="18"/>
              </w:rPr>
              <w:t xml:space="preserve"> </w:t>
            </w:r>
          </w:p>
        </w:tc>
      </w:tr>
    </w:tbl>
    <w:p w14:paraId="011EBC6B">
      <w:pPr>
        <w:bidi w:val="0"/>
        <w:rPr>
          <w:sz w:val="24"/>
          <w:szCs w:val="24"/>
        </w:rPr>
      </w:pPr>
      <w:r>
        <w:rPr>
          <w:sz w:val="24"/>
          <w:szCs w:val="24"/>
        </w:rPr>
        <w:t>备注：1.本表反映单位本年度一般公共预算财政拨款基本支出明细情况。</w:t>
      </w:r>
    </w:p>
    <w:p w14:paraId="677950C3">
      <w:pPr>
        <w:bidi w:val="0"/>
        <w:rPr>
          <w:rFonts w:hint="default" w:cs="宋体"/>
          <w:szCs w:val="20"/>
        </w:rPr>
      </w:pPr>
      <w:r>
        <w:rPr>
          <w:sz w:val="24"/>
          <w:szCs w:val="24"/>
        </w:rPr>
        <w:t xml:space="preserve">      2.本套报表金额单位转换时可能存在尾数误差。</w:t>
      </w:r>
      <w:r>
        <w:rPr>
          <w:rFonts w:cs="宋体"/>
          <w:szCs w:val="21"/>
        </w:rPr>
        <w:br w:type="page"/>
      </w:r>
    </w:p>
    <w:tbl>
      <w:tblPr>
        <w:tblStyle w:val="12"/>
        <w:tblW w:w="5000" w:type="pct"/>
        <w:tblInd w:w="0" w:type="dxa"/>
        <w:tblLayout w:type="autofit"/>
        <w:tblCellMar>
          <w:top w:w="0" w:type="dxa"/>
          <w:left w:w="0" w:type="dxa"/>
          <w:bottom w:w="0" w:type="dxa"/>
          <w:right w:w="0" w:type="dxa"/>
        </w:tblCellMar>
      </w:tblPr>
      <w:tblGrid>
        <w:gridCol w:w="1556"/>
        <w:gridCol w:w="2591"/>
        <w:gridCol w:w="1432"/>
        <w:gridCol w:w="1432"/>
        <w:gridCol w:w="1432"/>
        <w:gridCol w:w="1432"/>
        <w:gridCol w:w="1486"/>
        <w:gridCol w:w="1540"/>
      </w:tblGrid>
      <w:tr w14:paraId="44888A9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B49C69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7B87238">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B8D432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重庆市丰都县南天湖旅游区综合执法队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7E866E6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EE260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ACEF2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C20C39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E327632">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公开07表</w:t>
            </w:r>
          </w:p>
        </w:tc>
      </w:tr>
      <w:tr w14:paraId="029254E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BC3198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41DBE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DAB2C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C3A69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BD61E7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04F77C8">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1A1B5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2140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1AE86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03B3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B43D8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B5C0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年末结转和结余</w:t>
            </w:r>
          </w:p>
        </w:tc>
      </w:tr>
      <w:tr w14:paraId="491CAF4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AD0F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009D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8F5C7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506D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5E549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655AA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2C99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A9CD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5AF0F8C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5F14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2610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C530D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B545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A239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A1FA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A941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6FE2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A53243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2AE8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1A1D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AE4BF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1353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91114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5885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890BD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0CE7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24DDA91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510B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9D3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1ECA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40F4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DC15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E359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59EA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bl>
    <w:p w14:paraId="01F1406E">
      <w:pPr>
        <w:bidi w:val="0"/>
        <w:rPr>
          <w:rFonts w:hint="default" w:cs="宋体"/>
          <w:szCs w:val="21"/>
        </w:rPr>
      </w:pPr>
      <w:r>
        <w:rPr>
          <w:sz w:val="24"/>
          <w:szCs w:val="24"/>
        </w:rPr>
        <w:t>备注：本表反映单位本年度政府性基金预算财政拨款收入支出及结转和结余情况。本单位无政府性基金收支，故本表无数据。</w:t>
      </w:r>
    </w:p>
    <w:p w14:paraId="12FE7ECF">
      <w:pPr>
        <w:rPr>
          <w:rFonts w:hint="default" w:cs="宋体"/>
          <w:sz w:val="21"/>
          <w:szCs w:val="21"/>
        </w:rPr>
      </w:pP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578"/>
        <w:gridCol w:w="2567"/>
        <w:gridCol w:w="2748"/>
        <w:gridCol w:w="168"/>
        <w:gridCol w:w="2916"/>
        <w:gridCol w:w="65"/>
        <w:gridCol w:w="2859"/>
      </w:tblGrid>
      <w:tr w14:paraId="2422E04B">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97B879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D54C659">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550052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重庆市丰都县南天湖旅游区综合执法队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D5B3A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B46AB9A">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公开08表</w:t>
            </w:r>
          </w:p>
        </w:tc>
      </w:tr>
      <w:tr w14:paraId="614CD11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BB6DF8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19F55A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20DDF1D">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D03D1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4DD5E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FDD1F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本年支出</w:t>
            </w:r>
          </w:p>
        </w:tc>
      </w:tr>
      <w:tr w14:paraId="56FDEBD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6FAE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56D75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7220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2DFC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76EE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r>
      <w:tr w14:paraId="4031AAB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34E5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DF9D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1778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48F2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E78BC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6188BC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07B0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6042F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7F4F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3007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B5D1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5FD7523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7447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F768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12EE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C3B2B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60BE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B04A1F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EDD9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C80E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4A00C">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294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bl>
    <w:p w14:paraId="36FF2690">
      <w:pPr>
        <w:bidi w:val="0"/>
        <w:rPr>
          <w:rFonts w:hint="default" w:cs="宋体"/>
          <w:szCs w:val="21"/>
        </w:rPr>
      </w:pPr>
      <w:r>
        <w:rPr>
          <w:sz w:val="24"/>
          <w:szCs w:val="24"/>
        </w:rPr>
        <w:t>备注：本表反映单位本年度国有资本经营预算财政拨款支出情况。本单位无国有资本经营收支，故本表无数据。</w:t>
      </w:r>
      <w:r>
        <w:rPr>
          <w:rFonts w:hint="default" w:cs="宋体"/>
          <w:szCs w:val="21"/>
        </w:rPr>
        <w:br w:type="page"/>
      </w:r>
    </w:p>
    <w:tbl>
      <w:tblPr>
        <w:tblStyle w:val="12"/>
        <w:tblW w:w="4877" w:type="pct"/>
        <w:jc w:val="center"/>
        <w:tblLayout w:type="fixed"/>
        <w:tblCellMar>
          <w:top w:w="0" w:type="dxa"/>
          <w:left w:w="170" w:type="dxa"/>
          <w:bottom w:w="0" w:type="dxa"/>
          <w:right w:w="170" w:type="dxa"/>
        </w:tblCellMar>
      </w:tblPr>
      <w:tblGrid>
        <w:gridCol w:w="3390"/>
        <w:gridCol w:w="1818"/>
        <w:gridCol w:w="1775"/>
        <w:gridCol w:w="3795"/>
        <w:gridCol w:w="1807"/>
      </w:tblGrid>
      <w:tr w14:paraId="03CCE212">
        <w:trPr>
          <w:trHeight w:val="343"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35D167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机构运行信息表</w:t>
            </w:r>
          </w:p>
        </w:tc>
      </w:tr>
      <w:tr w14:paraId="24DB8358">
        <w:tblPrEx>
          <w:tblCellMar>
            <w:top w:w="0" w:type="dxa"/>
            <w:left w:w="170" w:type="dxa"/>
            <w:bottom w:w="0" w:type="dxa"/>
            <w:right w:w="170" w:type="dxa"/>
          </w:tblCellMar>
        </w:tblPrEx>
        <w:trPr>
          <w:trHeight w:val="244" w:hRule="atLeast"/>
          <w:jc w:val="center"/>
        </w:trPr>
        <w:tc>
          <w:tcPr>
            <w:tcW w:w="1347" w:type="pct"/>
            <w:tcBorders>
              <w:top w:val="nil"/>
              <w:left w:val="nil"/>
              <w:bottom w:val="nil"/>
              <w:right w:val="nil"/>
            </w:tcBorders>
            <w:shd w:val="clear" w:color="auto" w:fill="auto"/>
            <w:noWrap/>
            <w:tcMar>
              <w:top w:w="15" w:type="dxa"/>
              <w:left w:w="15" w:type="dxa"/>
              <w:right w:w="15" w:type="dxa"/>
            </w:tcMar>
            <w:vAlign w:val="bottom"/>
          </w:tcPr>
          <w:p w14:paraId="1FA5710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EBCC5A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20CB74C">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20C0B5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E1DD39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公开09表</w:t>
            </w:r>
          </w:p>
        </w:tc>
      </w:tr>
      <w:tr w14:paraId="35EAB6C8">
        <w:tblPrEx>
          <w:tblCellMar>
            <w:top w:w="0" w:type="dxa"/>
            <w:left w:w="170" w:type="dxa"/>
            <w:bottom w:w="0" w:type="dxa"/>
            <w:right w:w="170" w:type="dxa"/>
          </w:tblCellMar>
        </w:tblPrEx>
        <w:trPr>
          <w:trHeight w:val="244" w:hRule="atLeast"/>
          <w:jc w:val="center"/>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C6E1F0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重庆市丰都县南天湖旅游区综合执法队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F21CC2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D7CF6B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BFEEA4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D48F8D">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4E400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CB314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20C38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59934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43EF1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决算数</w:t>
            </w:r>
          </w:p>
        </w:tc>
      </w:tr>
      <w:tr w14:paraId="522AF6E6">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7233C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三公</w:t>
            </w:r>
            <w:r>
              <w:rPr>
                <w:rFonts w:hint="eastAsia" w:cs="宋体"/>
                <w:color w:val="000000"/>
                <w:sz w:val="16"/>
                <w:szCs w:val="16"/>
                <w:lang w:eastAsia="zh-CN"/>
              </w:rPr>
              <w:t>”</w:t>
            </w:r>
            <w:r>
              <w:rPr>
                <w:rFonts w:cs="宋体"/>
                <w:color w:val="000000"/>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3A37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AB89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68BB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071B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17E8655B">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511E1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E86F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AA92D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01384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91BF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6CEFD9CE">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1BFA8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3DA8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2182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2EA02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6F7F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68A253A5">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AAD9C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194F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750C8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6D809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943B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r>
      <w:tr w14:paraId="5B8BC226">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1F446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60143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2304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8ED23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AA47C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 xml:space="preserve">   </w:t>
            </w:r>
          </w:p>
        </w:tc>
      </w:tr>
      <w:tr w14:paraId="310BA6D7">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48CBE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0F1E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7423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1AAB1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A659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259C7E3E">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45A8B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129D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99573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B858C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4932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190DDDE5">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264BC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A257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F3E1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0CB72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CEEE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60A81D11">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D493F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A0FF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BBD3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D8DD0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1D543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6DE6A305">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924EA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19905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FDB8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32482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5417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6C50B573">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B5C77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701D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264F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AE879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B556C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35FED667">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647D4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85E0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CAF37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1912D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67C08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2CFE71BE">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0DB4C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C6DE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A3A29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F5AD7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536B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0D78BFB9">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E3AD5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AAE8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E0BC5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56818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14D6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36A2DFDB">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937BA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A4DE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94FD6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4EFAA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B86C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r>
      <w:tr w14:paraId="5AA64435">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941EE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9AB1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052AE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BCA91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295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0BBCC897">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7E658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E5F6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E7998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7F831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5D7EA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4A6649DB">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243DA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DD42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DDE07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DAF80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18F69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5D12CF56">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CFA95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35ED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0F840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DE210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4F75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585F26A1">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D6663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C9E68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003F7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95382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51B5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2E3559C5">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8F1B9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4FD4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78695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09767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E7E12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299D17D8">
        <w:tblPrEx>
          <w:tblCellMar>
            <w:top w:w="0" w:type="dxa"/>
            <w:left w:w="170" w:type="dxa"/>
            <w:bottom w:w="0" w:type="dxa"/>
            <w:right w:w="170" w:type="dxa"/>
          </w:tblCellMar>
        </w:tblPrEx>
        <w:trPr>
          <w:trHeight w:val="286"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C6848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3C19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4D44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4FB97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32B8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6"/>
                <w:szCs w:val="16"/>
              </w:rPr>
            </w:pPr>
          </w:p>
        </w:tc>
      </w:tr>
      <w:tr w14:paraId="003A59C9">
        <w:tblPrEx>
          <w:tblCellMar>
            <w:top w:w="0" w:type="dxa"/>
            <w:left w:w="170" w:type="dxa"/>
            <w:bottom w:w="0" w:type="dxa"/>
            <w:right w:w="170" w:type="dxa"/>
          </w:tblCellMar>
        </w:tblPrEx>
        <w:trPr>
          <w:trHeight w:val="389"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40E2E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AF64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3DD7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0.06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DA6C5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F9F7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6"/>
                <w:szCs w:val="16"/>
              </w:rPr>
            </w:pPr>
          </w:p>
        </w:tc>
      </w:tr>
    </w:tbl>
    <w:p w14:paraId="0FF7E833">
      <w:pPr>
        <w:bidi w:val="0"/>
        <w:rPr>
          <w:sz w:val="24"/>
          <w:szCs w:val="24"/>
        </w:rPr>
      </w:pPr>
      <w:r>
        <w:rPr>
          <w:sz w:val="24"/>
          <w:szCs w:val="24"/>
        </w:rPr>
        <w:t>备注：1.本表反映单位本年度财政拨款</w:t>
      </w:r>
      <w:r>
        <w:rPr>
          <w:rFonts w:hint="eastAsia"/>
          <w:sz w:val="24"/>
          <w:szCs w:val="24"/>
          <w:lang w:eastAsia="zh-CN"/>
        </w:rPr>
        <w:t>“</w:t>
      </w:r>
      <w:r>
        <w:rPr>
          <w:sz w:val="24"/>
          <w:szCs w:val="24"/>
        </w:rPr>
        <w:t>三公</w:t>
      </w:r>
      <w:r>
        <w:rPr>
          <w:rFonts w:hint="eastAsia"/>
          <w:sz w:val="24"/>
          <w:szCs w:val="24"/>
          <w:lang w:eastAsia="zh-CN"/>
        </w:rPr>
        <w:t>”</w:t>
      </w:r>
      <w:r>
        <w:rPr>
          <w:sz w:val="24"/>
          <w:szCs w:val="24"/>
        </w:rPr>
        <w:t>经费支出预决算情况。其中，预算数为</w:t>
      </w:r>
      <w:r>
        <w:rPr>
          <w:rFonts w:hint="eastAsia"/>
          <w:sz w:val="24"/>
          <w:szCs w:val="24"/>
          <w:lang w:eastAsia="zh-CN"/>
        </w:rPr>
        <w:t>“</w:t>
      </w:r>
      <w:r>
        <w:rPr>
          <w:sz w:val="24"/>
          <w:szCs w:val="24"/>
        </w:rPr>
        <w:t>三公</w:t>
      </w:r>
      <w:r>
        <w:rPr>
          <w:rFonts w:hint="eastAsia"/>
          <w:sz w:val="24"/>
          <w:szCs w:val="24"/>
          <w:lang w:eastAsia="zh-CN"/>
        </w:rPr>
        <w:t>”</w:t>
      </w:r>
      <w:r>
        <w:rPr>
          <w:sz w:val="24"/>
          <w:szCs w:val="24"/>
        </w:rPr>
        <w:t>经费全年预算数，反映按规定程序调整后的预算数；决算数为包括本年度财政拨款和以前年度结转资金安排的实际支出。</w:t>
      </w:r>
    </w:p>
    <w:p w14:paraId="528A7F32">
      <w:pPr>
        <w:bidi w:val="0"/>
        <w:rPr>
          <w:rFonts w:hint="default" w:cs="宋体"/>
          <w:szCs w:val="21"/>
        </w:rPr>
      </w:pPr>
      <w:r>
        <w:rPr>
          <w:sz w:val="24"/>
          <w:szCs w:val="24"/>
        </w:rPr>
        <w:t xml:space="preserve">      2.本套报表金额单位转换时可能存在尾数误差。</w:t>
      </w:r>
    </w:p>
    <w:sectPr>
      <w:pgSz w:w="16839" w:h="11907" w:orient="landscape"/>
      <w:pgMar w:top="1531" w:right="1984" w:bottom="1531" w:left="1984" w:header="0" w:footer="1134"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A8588">
    <w:pPr>
      <w:pStyle w:val="7"/>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645C2D">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5645C2D">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58B4">
    <w:pPr>
      <w:pStyle w:val="7"/>
      <w:tabs>
        <w:tab w:val="left" w:pos="9007"/>
        <w:tab w:val="clear" w:pos="4153"/>
      </w:tabs>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CDC3FC">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3CDC3FC">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7916E5D">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916E5D">
                    <w:pPr>
                      <w:pStyle w:val="7"/>
                      <w:jc w:val="both"/>
                      <w:rPr>
                        <w:rFonts w:hint="default" w:cs="宋体"/>
                      </w:rPr>
                    </w:pPr>
                    <w:r>
                      <w:rPr>
                        <w:rFonts w:cs="宋体"/>
                      </w:rPr>
                      <w:t>— 27.1 —</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01536">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B03CCD"/>
    <w:rsid w:val="00081720"/>
    <w:rsid w:val="001D3BB7"/>
    <w:rsid w:val="001F2D39"/>
    <w:rsid w:val="002B254B"/>
    <w:rsid w:val="002D7354"/>
    <w:rsid w:val="003E3DF4"/>
    <w:rsid w:val="0045009B"/>
    <w:rsid w:val="00466C9B"/>
    <w:rsid w:val="00467446"/>
    <w:rsid w:val="00550ABE"/>
    <w:rsid w:val="006E65B7"/>
    <w:rsid w:val="00770383"/>
    <w:rsid w:val="007819D4"/>
    <w:rsid w:val="007B419D"/>
    <w:rsid w:val="007B7BB1"/>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6C22C1"/>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65429C"/>
    <w:rsid w:val="11ED0F98"/>
    <w:rsid w:val="11F03528"/>
    <w:rsid w:val="12C921C4"/>
    <w:rsid w:val="13871C70"/>
    <w:rsid w:val="13A71CB4"/>
    <w:rsid w:val="13AF1D43"/>
    <w:rsid w:val="13CE1647"/>
    <w:rsid w:val="13FD55AB"/>
    <w:rsid w:val="14200702"/>
    <w:rsid w:val="14C30A80"/>
    <w:rsid w:val="15853F88"/>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686669"/>
    <w:rsid w:val="1DA52501"/>
    <w:rsid w:val="1DBD6767"/>
    <w:rsid w:val="1DC52125"/>
    <w:rsid w:val="1DD26311"/>
    <w:rsid w:val="1E374ACB"/>
    <w:rsid w:val="1ECF0A66"/>
    <w:rsid w:val="1EF67CA4"/>
    <w:rsid w:val="1F020D3A"/>
    <w:rsid w:val="1F2C5189"/>
    <w:rsid w:val="1F4B0B02"/>
    <w:rsid w:val="1FBB35CD"/>
    <w:rsid w:val="1FCD26AF"/>
    <w:rsid w:val="202D76F6"/>
    <w:rsid w:val="20642787"/>
    <w:rsid w:val="21556F04"/>
    <w:rsid w:val="22403BD3"/>
    <w:rsid w:val="233C481F"/>
    <w:rsid w:val="245E4322"/>
    <w:rsid w:val="24B92327"/>
    <w:rsid w:val="24C14514"/>
    <w:rsid w:val="2533755C"/>
    <w:rsid w:val="25791755"/>
    <w:rsid w:val="26396DF4"/>
    <w:rsid w:val="27167136"/>
    <w:rsid w:val="271B442C"/>
    <w:rsid w:val="27B23302"/>
    <w:rsid w:val="29310A5F"/>
    <w:rsid w:val="29967721"/>
    <w:rsid w:val="29C37A35"/>
    <w:rsid w:val="2A076083"/>
    <w:rsid w:val="2A73162E"/>
    <w:rsid w:val="2B167953"/>
    <w:rsid w:val="2B200583"/>
    <w:rsid w:val="2B8209DE"/>
    <w:rsid w:val="2C636760"/>
    <w:rsid w:val="2C6762A3"/>
    <w:rsid w:val="2E6F5622"/>
    <w:rsid w:val="2ECE02F6"/>
    <w:rsid w:val="2FCA4B37"/>
    <w:rsid w:val="2FE029D7"/>
    <w:rsid w:val="2FF06E00"/>
    <w:rsid w:val="30586FEC"/>
    <w:rsid w:val="315F0B22"/>
    <w:rsid w:val="31D84415"/>
    <w:rsid w:val="32285F6F"/>
    <w:rsid w:val="32770556"/>
    <w:rsid w:val="329C0913"/>
    <w:rsid w:val="32AA0460"/>
    <w:rsid w:val="3337290D"/>
    <w:rsid w:val="33753436"/>
    <w:rsid w:val="33E31118"/>
    <w:rsid w:val="33EF7674"/>
    <w:rsid w:val="342D7BC6"/>
    <w:rsid w:val="352930DB"/>
    <w:rsid w:val="35573069"/>
    <w:rsid w:val="355F6038"/>
    <w:rsid w:val="358C217E"/>
    <w:rsid w:val="36C9128A"/>
    <w:rsid w:val="37737C8C"/>
    <w:rsid w:val="37841E99"/>
    <w:rsid w:val="37BF1123"/>
    <w:rsid w:val="380845B4"/>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731076"/>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8D742E"/>
    <w:rsid w:val="4F0C6BA3"/>
    <w:rsid w:val="4F186D58"/>
    <w:rsid w:val="50F06B6E"/>
    <w:rsid w:val="51D21804"/>
    <w:rsid w:val="52234D33"/>
    <w:rsid w:val="522F6E0C"/>
    <w:rsid w:val="52463BA1"/>
    <w:rsid w:val="52F163D4"/>
    <w:rsid w:val="531A2DB4"/>
    <w:rsid w:val="53394028"/>
    <w:rsid w:val="533C7BC2"/>
    <w:rsid w:val="53B13BBE"/>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DD2000"/>
    <w:rsid w:val="5842572D"/>
    <w:rsid w:val="5A3B59D6"/>
    <w:rsid w:val="5AD134D8"/>
    <w:rsid w:val="5C263CE4"/>
    <w:rsid w:val="5C5D2777"/>
    <w:rsid w:val="5CF66BF3"/>
    <w:rsid w:val="5D290C69"/>
    <w:rsid w:val="5D950196"/>
    <w:rsid w:val="5F2D4A41"/>
    <w:rsid w:val="60C74F6C"/>
    <w:rsid w:val="61025A59"/>
    <w:rsid w:val="613D4CE3"/>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672500"/>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line="570" w:lineRule="exact"/>
      <w:ind w:firstLine="720" w:firstLineChars="200"/>
      <w:jc w:val="both"/>
    </w:pPr>
    <w:rPr>
      <w:rFonts w:hint="default" w:ascii="Times New Roman" w:hAnsi="Times New Roman" w:eastAsia="方正仿宋_GBK" w:cs="Times New Roman"/>
      <w:sz w:val="32"/>
      <w:szCs w:val="24"/>
      <w:lang w:val="en-US" w:eastAsia="zh-CN" w:bidi="ar-SA"/>
    </w:rPr>
  </w:style>
  <w:style w:type="paragraph" w:styleId="2">
    <w:name w:val="heading 1"/>
    <w:basedOn w:val="1"/>
    <w:next w:val="1"/>
    <w:qFormat/>
    <w:uiPriority w:val="0"/>
    <w:pPr>
      <w:widowControl/>
      <w:spacing w:line="700" w:lineRule="exact"/>
      <w:ind w:firstLine="0" w:firstLineChars="0"/>
      <w:jc w:val="center"/>
      <w:outlineLvl w:val="0"/>
    </w:pPr>
    <w:rPr>
      <w:rFonts w:ascii="Times New Roman" w:hAnsi="Times New Roman" w:eastAsia="方正小标宋_GBK" w:cs="宋体"/>
      <w:bCs/>
      <w:kern w:val="36"/>
      <w:sz w:val="44"/>
      <w:szCs w:val="27"/>
    </w:rPr>
  </w:style>
  <w:style w:type="paragraph" w:styleId="3">
    <w:name w:val="heading 2"/>
    <w:basedOn w:val="1"/>
    <w:next w:val="1"/>
    <w:unhideWhenUsed/>
    <w:qFormat/>
    <w:uiPriority w:val="0"/>
    <w:pPr>
      <w:keepNext/>
      <w:keepLines/>
      <w:spacing w:beforeLines="0" w:beforeAutospacing="0" w:afterLines="0" w:afterAutospacing="0" w:line="570" w:lineRule="exact"/>
      <w:outlineLvl w:val="1"/>
    </w:pPr>
    <w:rPr>
      <w:rFonts w:ascii="Times New Roman" w:hAnsi="Times New Roman" w:eastAsia="方正黑体_GBK"/>
    </w:rPr>
  </w:style>
  <w:style w:type="paragraph" w:styleId="4">
    <w:name w:val="heading 3"/>
    <w:basedOn w:val="1"/>
    <w:next w:val="1"/>
    <w:link w:val="21"/>
    <w:unhideWhenUsed/>
    <w:qFormat/>
    <w:uiPriority w:val="0"/>
    <w:pPr>
      <w:keepNext/>
      <w:keepLines/>
      <w:spacing w:beforeLines="0" w:beforeAutospacing="0" w:afterLines="0" w:afterAutospacing="0" w:line="570" w:lineRule="exact"/>
      <w:outlineLvl w:val="2"/>
    </w:pPr>
    <w:rPr>
      <w:rFonts w:ascii="Times New Roman" w:hAnsi="Times New Roman" w:eastAsia="方正楷体_GBK"/>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仿宋_GB2312"/>
      <w:spacing w:val="-6"/>
      <w:sz w:val="32"/>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字符"/>
    <w:basedOn w:val="14"/>
    <w:link w:val="6"/>
    <w:qFormat/>
    <w:uiPriority w:val="0"/>
    <w:rPr>
      <w:rFonts w:ascii="宋体" w:hAnsi="宋体"/>
      <w:sz w:val="18"/>
      <w:szCs w:val="18"/>
    </w:rPr>
  </w:style>
  <w:style w:type="character" w:customStyle="1" w:styleId="21">
    <w:name w:val="标题 3 Char"/>
    <w:link w:val="4"/>
    <w:uiPriority w:val="0"/>
    <w:rPr>
      <w:rFonts w:ascii="Times New Roman" w:hAnsi="Times New Roman"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8444</Words>
  <Characters>10137</Characters>
  <Lines>92</Lines>
  <Paragraphs>26</Paragraphs>
  <TotalTime>24</TotalTime>
  <ScaleCrop>false</ScaleCrop>
  <LinksUpToDate>false</LinksUpToDate>
  <CharactersWithSpaces>11165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阿大白</cp:lastModifiedBy>
  <dcterms:modified xsi:type="dcterms:W3CDTF">2024-09-26T08:52:51Z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F4D8210AE7AC43C99A900DE0FD1B1603_13</vt:lpwstr>
  </property>
</Properties>
</file>