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40" w:lineRule="exact"/>
        <w:jc w:val="center"/>
        <w:outlineLvl w:val="0"/>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重庆市丰都县金融服务中心</w:t>
      </w:r>
      <w:r>
        <w:rPr>
          <w:rFonts w:hint="eastAsia" w:ascii="Times New Roman" w:hAnsi="Times New Roman" w:eastAsia="方正小标宋_GBK" w:cs="Times New Roman"/>
          <w:sz w:val="44"/>
          <w:szCs w:val="44"/>
          <w:lang w:eastAsia="zh-CN"/>
        </w:rPr>
        <w:t>（本级）</w:t>
      </w:r>
      <w:r>
        <w:rPr>
          <w:rFonts w:hint="default" w:ascii="Times New Roman" w:hAnsi="Times New Roman" w:eastAsia="方正小标宋_GBK" w:cs="Times New Roman"/>
          <w:sz w:val="44"/>
          <w:szCs w:val="44"/>
          <w:shd w:val="clear" w:color="auto" w:fill="FFFFFF"/>
        </w:rPr>
        <w:t>2023年度决算公开说明</w:t>
      </w:r>
    </w:p>
    <w:p>
      <w:pPr>
        <w:pStyle w:val="6"/>
        <w:shd w:val="clear" w:color="auto" w:fill="FFFFFF"/>
        <w:spacing w:before="0" w:beforeAutospacing="0" w:after="0" w:afterAutospacing="0" w:line="560" w:lineRule="exact"/>
        <w:outlineLvl w:val="0"/>
        <w:rPr>
          <w:rFonts w:hint="default" w:ascii="Times New Roman" w:hAnsi="Times New Roman" w:eastAsia="方正黑体_GBK" w:cs="Times New Roman"/>
          <w:b/>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shd w:val="clear" w:color="auto" w:fill="FFFFFF"/>
        <w:spacing w:before="0" w:beforeAutospacing="0" w:after="0" w:afterAutospacing="0" w:line="560" w:lineRule="exact"/>
        <w:ind w:firstLine="420"/>
        <w:outlineLvl w:val="1"/>
        <w:rPr>
          <w:rFonts w:hint="default" w:ascii="Times New Roman" w:hAnsi="Times New Roman" w:eastAsia="方正楷体_GBK" w:cs="Times New Roman"/>
          <w:b/>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pPr>
        <w:pStyle w:val="6"/>
        <w:spacing w:before="0" w:beforeAutospacing="0" w:after="0" w:afterAutospacing="0" w:line="560" w:lineRule="exact"/>
        <w:ind w:firstLine="645"/>
        <w:jc w:val="both"/>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本单位职能职责主要如下：1、宣传贯彻金融法律法规政策；2、协助引导金融机构服务经济社会发展；3、协助维护金融秩序，防范金融风险。</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Cs/>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spacing w:before="0" w:beforeAutospacing="0" w:after="0" w:afterAutospacing="0" w:line="560" w:lineRule="exact"/>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本单位是丰都县人民政府办公室所属的正科级财政全额拨款公益一类事业单位，设综合科、金融服务科2个职能科室。</w:t>
      </w:r>
    </w:p>
    <w:p>
      <w:pPr>
        <w:pStyle w:val="6"/>
        <w:shd w:val="clear" w:color="auto" w:fill="FFFFFF"/>
        <w:spacing w:before="0" w:beforeAutospacing="0" w:after="0" w:afterAutospacing="0" w:line="560" w:lineRule="exact"/>
        <w:outlineLvl w:val="0"/>
        <w:rPr>
          <w:rStyle w:val="10"/>
          <w:rFonts w:hint="default" w:ascii="Times New Roman" w:hAnsi="Times New Roman" w:eastAsia="方正黑体_GBK" w:cs="Times New Roman"/>
          <w:bCs/>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spacing w:line="560" w:lineRule="exact"/>
        <w:ind w:firstLine="642"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2023年度收入总计340.84万元，支出总计</w:t>
      </w:r>
      <w:r>
        <w:rPr>
          <w:rFonts w:hint="default" w:ascii="Times New Roman" w:hAnsi="Times New Roman" w:eastAsia="方正仿宋_GBK" w:cs="Times New Roman"/>
          <w:sz w:val="32"/>
          <w:szCs w:val="32"/>
        </w:rPr>
        <w:t>340.84</w:t>
      </w:r>
      <w:r>
        <w:rPr>
          <w:rFonts w:hint="default" w:ascii="Times New Roman" w:hAnsi="Times New Roman" w:eastAsia="方正仿宋_GBK" w:cs="Times New Roman"/>
          <w:sz w:val="32"/>
          <w:szCs w:val="32"/>
          <w:shd w:val="clear" w:color="auto" w:fill="FFFFFF"/>
        </w:rPr>
        <w:t>万元。收支较上年决算数增加222.37万元，增长187.70%，主要原因是</w:t>
      </w:r>
      <w:r>
        <w:rPr>
          <w:rFonts w:hint="default" w:ascii="Times New Roman" w:hAnsi="Times New Roman" w:eastAsia="方正仿宋_GBK" w:cs="Times New Roman"/>
          <w:sz w:val="32"/>
          <w:szCs w:val="32"/>
        </w:rPr>
        <w:t>2023年度新增巨灾保险采购项目经费200万元。</w:t>
      </w:r>
    </w:p>
    <w:p>
      <w:pPr>
        <w:spacing w:line="560" w:lineRule="exact"/>
        <w:ind w:firstLine="642"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2023年度收入合计335.12万元，较上年决算数增加218.41万元，增长187.14%，主要原因是</w:t>
      </w:r>
      <w:r>
        <w:rPr>
          <w:rFonts w:hint="default" w:ascii="Times New Roman" w:hAnsi="Times New Roman" w:eastAsia="方正仿宋_GBK" w:cs="Times New Roman"/>
          <w:sz w:val="32"/>
          <w:szCs w:val="32"/>
        </w:rPr>
        <w:t>2023年度新增巨灾保险采购项目经费200万元。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335.12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5.71</w:t>
      </w:r>
      <w:r>
        <w:rPr>
          <w:rFonts w:hint="default" w:ascii="Times New Roman" w:hAnsi="Times New Roman" w:eastAsia="方正仿宋_GBK" w:cs="Times New Roman"/>
          <w:sz w:val="32"/>
          <w:szCs w:val="32"/>
          <w:shd w:val="clear" w:color="auto" w:fill="FFFFFF"/>
        </w:rPr>
        <w:t>万元。</w:t>
      </w:r>
    </w:p>
    <w:p>
      <w:pPr>
        <w:spacing w:line="560" w:lineRule="exact"/>
        <w:ind w:firstLine="642"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337.01</w:t>
      </w:r>
      <w:r>
        <w:rPr>
          <w:rFonts w:hint="default" w:ascii="Times New Roman" w:hAnsi="Times New Roman" w:eastAsia="方正仿宋_GBK" w:cs="Times New Roman"/>
          <w:sz w:val="32"/>
          <w:szCs w:val="32"/>
          <w:shd w:val="clear" w:color="auto" w:fill="FFFFFF"/>
        </w:rPr>
        <w:t>万元，较上年决算数增加218.99万元，增长185.55%，主要原因是</w:t>
      </w:r>
      <w:r>
        <w:rPr>
          <w:rFonts w:hint="default" w:ascii="Times New Roman" w:hAnsi="Times New Roman" w:eastAsia="方正仿宋_GBK" w:cs="Times New Roman"/>
          <w:sz w:val="32"/>
          <w:szCs w:val="32"/>
        </w:rPr>
        <w:t>2023年度新增巨灾保险采购项目经费200万元。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128.56</w:t>
      </w:r>
      <w:r>
        <w:rPr>
          <w:rFonts w:hint="default" w:ascii="Times New Roman" w:hAnsi="Times New Roman" w:eastAsia="方正仿宋_GBK" w:cs="Times New Roman"/>
          <w:sz w:val="32"/>
          <w:szCs w:val="32"/>
          <w:shd w:val="clear" w:color="auto" w:fill="FFFFFF"/>
        </w:rPr>
        <w:t>万元，占38.15%；项目支出</w:t>
      </w:r>
      <w:r>
        <w:rPr>
          <w:rFonts w:hint="default" w:ascii="Times New Roman" w:hAnsi="Times New Roman" w:eastAsia="方正仿宋_GBK" w:cs="Times New Roman"/>
          <w:sz w:val="32"/>
          <w:szCs w:val="32"/>
        </w:rPr>
        <w:t>208.45</w:t>
      </w:r>
      <w:r>
        <w:rPr>
          <w:rFonts w:hint="default" w:ascii="Times New Roman" w:hAnsi="Times New Roman" w:eastAsia="方正仿宋_GBK" w:cs="Times New Roman"/>
          <w:sz w:val="32"/>
          <w:szCs w:val="32"/>
          <w:shd w:val="clear" w:color="auto" w:fill="FFFFFF"/>
        </w:rPr>
        <w:t>万元，占61.85%；经营支出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snapToGrid w:val="0"/>
        <w:spacing w:line="560" w:lineRule="exact"/>
        <w:ind w:firstLine="642"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万元，较上年决算数增加3.38万元，增长751.11%，主要原因是</w:t>
      </w:r>
      <w:r>
        <w:rPr>
          <w:rFonts w:hint="default" w:ascii="Times New Roman" w:hAnsi="Times New Roman" w:eastAsia="方正仿宋_GBK" w:cs="Times New Roman"/>
          <w:sz w:val="32"/>
          <w:szCs w:val="32"/>
        </w:rPr>
        <w:t>2023年度收公益性岗位人员经费3.72万元，当年未全部列支形成结余。</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2023年度财政拨款收、支总计340.84万元。与2022年相比，财政拨款收、支总计各增加222.37万元，增长187.70%。主要原因是</w:t>
      </w:r>
      <w:r>
        <w:rPr>
          <w:rFonts w:hint="default" w:ascii="Times New Roman" w:hAnsi="Times New Roman" w:eastAsia="方正仿宋_GBK" w:cs="Times New Roman"/>
          <w:sz w:val="32"/>
          <w:szCs w:val="32"/>
        </w:rPr>
        <w:t>2023年度新增巨灾保险采购项目经费200万元。</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spacing w:line="560" w:lineRule="exact"/>
        <w:ind w:firstLine="642"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335.12</w:t>
      </w:r>
      <w:r>
        <w:rPr>
          <w:rFonts w:hint="default" w:ascii="Times New Roman" w:hAnsi="Times New Roman" w:eastAsia="方正仿宋_GBK" w:cs="Times New Roman"/>
          <w:sz w:val="32"/>
          <w:szCs w:val="32"/>
          <w:shd w:val="clear" w:color="auto" w:fill="FFFFFF"/>
        </w:rPr>
        <w:t>万元，较上年决算数增加218.41万元，增长187.14%。主要原因是</w:t>
      </w:r>
      <w:r>
        <w:rPr>
          <w:rFonts w:hint="default" w:ascii="Times New Roman" w:hAnsi="Times New Roman" w:eastAsia="方正仿宋_GBK" w:cs="Times New Roman"/>
          <w:sz w:val="32"/>
          <w:szCs w:val="32"/>
        </w:rPr>
        <w:t>2023年度新增巨灾保险采购项目经费200万元。</w:t>
      </w:r>
    </w:p>
    <w:p>
      <w:pPr>
        <w:pStyle w:val="6"/>
        <w:snapToGrid w:val="0"/>
        <w:spacing w:before="0" w:beforeAutospacing="0" w:after="0" w:afterAutospacing="0" w:line="56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较年初预算数增加11.09万元，增长3.42%。主要原因是补发2021年超额绩效12.07万元未纳入年初预算。此外，年初财政拨款结转和结余</w:t>
      </w:r>
      <w:r>
        <w:rPr>
          <w:rFonts w:hint="default" w:ascii="Times New Roman" w:hAnsi="Times New Roman" w:eastAsia="方正仿宋_GBK" w:cs="Times New Roman"/>
          <w:sz w:val="32"/>
          <w:szCs w:val="32"/>
        </w:rPr>
        <w:t>5.71</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337.01</w:t>
      </w:r>
      <w:r>
        <w:rPr>
          <w:rFonts w:hint="default" w:ascii="Times New Roman" w:hAnsi="Times New Roman" w:eastAsia="方正仿宋_GBK" w:cs="Times New Roman"/>
          <w:sz w:val="32"/>
          <w:szCs w:val="32"/>
          <w:shd w:val="clear" w:color="auto" w:fill="FFFFFF"/>
        </w:rPr>
        <w:t>万元，较上年决算数增加218.99万元，增长185.55%。主要原因是</w:t>
      </w:r>
      <w:r>
        <w:rPr>
          <w:rFonts w:hint="default" w:ascii="Times New Roman" w:hAnsi="Times New Roman" w:eastAsia="方正仿宋_GBK" w:cs="Times New Roman"/>
          <w:sz w:val="32"/>
          <w:szCs w:val="32"/>
        </w:rPr>
        <w:t>2023年度新增巨灾保险采购项目经费200万元</w:t>
      </w:r>
      <w:r>
        <w:rPr>
          <w:rFonts w:hint="default" w:ascii="Times New Roman" w:hAnsi="Times New Roman" w:eastAsia="方正仿宋_GBK" w:cs="Times New Roman"/>
          <w:sz w:val="32"/>
          <w:szCs w:val="32"/>
          <w:shd w:val="clear" w:color="auto" w:fill="FFFFFF"/>
        </w:rPr>
        <w:t>。较年初预算数增加12.98万元，增长4.01%。主要原因是补发2021年超额绩效12.07万元未纳入年初预算。</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万元，较上年决算数增加3.38万元，增长751.11%，主要原因是</w:t>
      </w:r>
      <w:r>
        <w:rPr>
          <w:rFonts w:hint="default" w:ascii="Times New Roman" w:hAnsi="Times New Roman" w:eastAsia="方正仿宋_GBK" w:cs="Times New Roman"/>
          <w:sz w:val="32"/>
          <w:szCs w:val="32"/>
        </w:rPr>
        <w:t>2023年度收公益性岗位人员经费3.72万元，当年未全部列支形成结余。</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316.42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93.89</w:t>
      </w:r>
      <w:r>
        <w:rPr>
          <w:rFonts w:hint="default" w:ascii="Times New Roman" w:hAnsi="Times New Roman" w:eastAsia="方正仿宋_GBK" w:cs="Times New Roman"/>
          <w:sz w:val="32"/>
          <w:szCs w:val="32"/>
          <w:shd w:val="clear" w:color="auto" w:fill="FFFFFF"/>
        </w:rPr>
        <w:t>%，较年初预算数增加14.57万元，增长4.83%，主要原因是补发2021年超额绩效12.07万元未纳入年初预算。</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12.56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3.73</w:t>
      </w:r>
      <w:r>
        <w:rPr>
          <w:rFonts w:hint="default" w:ascii="Times New Roman" w:hAnsi="Times New Roman" w:eastAsia="方正仿宋_GBK" w:cs="Times New Roman"/>
          <w:sz w:val="32"/>
          <w:szCs w:val="32"/>
          <w:shd w:val="clear" w:color="auto" w:fill="FFFFFF"/>
        </w:rPr>
        <w:t>%，较年初预算数增加1.56万元，增长14.18%，主要原因是工资晋级调标，社保缴费基数增高，相应支出增加。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5.61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1.67</w:t>
      </w:r>
      <w:r>
        <w:rPr>
          <w:rFonts w:hint="default" w:ascii="Times New Roman" w:hAnsi="Times New Roman" w:eastAsia="方正仿宋_GBK" w:cs="Times New Roman"/>
          <w:sz w:val="32"/>
          <w:szCs w:val="32"/>
          <w:shd w:val="clear" w:color="auto" w:fill="FFFFFF"/>
        </w:rPr>
        <w:t>%，较年初预算数减少0.07万元，下降1.23%，主要原因是工资晋级调标，社保缴费基数增高，相应支出增加。</w:t>
      </w:r>
    </w:p>
    <w:p>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%，较年初预算数减少3.08万元，下降56.00%，主要原因是2023年住房公积金缴费基数较2022年下调，住房公积金支出相应减少。</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128.56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110.06</w:t>
      </w:r>
      <w:r>
        <w:rPr>
          <w:rFonts w:hint="default" w:ascii="Times New Roman" w:hAnsi="Times New Roman" w:eastAsia="方正仿宋_GBK" w:cs="Times New Roman"/>
          <w:sz w:val="32"/>
          <w:szCs w:val="32"/>
          <w:shd w:val="clear" w:color="auto" w:fill="FFFFFF"/>
        </w:rPr>
        <w:t>万元，较上年决算数增加17.74万元，增长19.22%，主要原因是补发2021年超额绩效12.07万元工资晋级调资，社保缴费基数增高，相应支出增加。人员经费用途主要包括人员工资津补贴、社会保险缴费、住房公积金缴纳等。公用经费</w:t>
      </w:r>
      <w:r>
        <w:rPr>
          <w:rFonts w:hint="default" w:ascii="Times New Roman" w:hAnsi="Times New Roman" w:eastAsia="方正仿宋_GBK" w:cs="Times New Roman"/>
          <w:sz w:val="32"/>
          <w:szCs w:val="32"/>
        </w:rPr>
        <w:t>18.51</w:t>
      </w:r>
      <w:r>
        <w:rPr>
          <w:rFonts w:hint="default" w:ascii="Times New Roman" w:hAnsi="Times New Roman" w:eastAsia="方正仿宋_GBK" w:cs="Times New Roman"/>
          <w:sz w:val="32"/>
          <w:szCs w:val="32"/>
          <w:shd w:val="clear" w:color="auto" w:fill="FFFFFF"/>
        </w:rPr>
        <w:t>万元，较上年决算数增加5.81万元，增长45.75%，主要原因是单位日常办公开支增加。公用经费用途主要包括单位日常运行相关支出，如办公费、水费、电费、物管费等。</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本单位2023年度无国有资本经营预算财政拨款支出。</w:t>
      </w:r>
    </w:p>
    <w:p>
      <w:pPr>
        <w:pStyle w:val="6"/>
        <w:shd w:val="clear" w:color="auto" w:fill="FFFFFF"/>
        <w:spacing w:before="0" w:beforeAutospacing="0" w:after="0" w:afterAutospacing="0" w:line="560" w:lineRule="exact"/>
        <w:outlineLvl w:val="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6"/>
        <w:shd w:val="clear" w:color="auto" w:fill="FFFFFF"/>
        <w:spacing w:before="0" w:beforeAutospacing="0" w:after="0" w:afterAutospacing="0" w:line="560" w:lineRule="exact"/>
        <w:ind w:firstLine="420"/>
        <w:outlineLvl w:val="1"/>
        <w:rPr>
          <w:rStyle w:val="10"/>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万元，较年初预算数减少0.30万元，下降100.00%，主要原因是2023年度未发生“三公”经费支出。</w:t>
      </w:r>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shd w:val="clear" w:color="auto" w:fill="FFFFFF"/>
        <w:spacing w:before="0" w:beforeAutospacing="0" w:after="0" w:afterAutospacing="0" w:line="560" w:lineRule="exact"/>
        <w:outlineLvl w:val="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autoSpaceDE w:val="0"/>
        <w:spacing w:line="560" w:lineRule="exact"/>
        <w:ind w:firstLine="640"/>
        <w:outlineLvl w:val="1"/>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0.32</w:t>
      </w:r>
      <w:r>
        <w:rPr>
          <w:rFonts w:hint="default" w:ascii="Times New Roman" w:hAnsi="Times New Roman" w:eastAsia="方正仿宋_GBK" w:cs="Times New Roman"/>
          <w:sz w:val="32"/>
          <w:szCs w:val="32"/>
          <w:shd w:val="clear" w:color="auto" w:fill="FFFFFF"/>
        </w:rPr>
        <w:t>万元，较上年决算数减少0.06万元，下降15.79%，主要原因是会议场次、人数均减少。本年度培训费支出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万元，较上年决算数减少0.06万元，下降100.00%，主要原因是2023年度本单位未开展培训活动。</w:t>
      </w:r>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按照单位决算列报口径，本单位不在机关运行经费统计范围之内。</w:t>
      </w:r>
    </w:p>
    <w:p>
      <w:pPr>
        <w:pStyle w:val="11"/>
        <w:autoSpaceDE w:val="0"/>
        <w:spacing w:line="560" w:lineRule="exact"/>
        <w:ind w:firstLine="640"/>
        <w:outlineLvl w:val="1"/>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（四）政府采购支出情况说明</w:t>
      </w:r>
    </w:p>
    <w:p>
      <w:pPr>
        <w:pStyle w:val="11"/>
        <w:autoSpaceDE w:val="0"/>
        <w:spacing w:line="560" w:lineRule="exact"/>
        <w:ind w:firstLine="640"/>
        <w:rPr>
          <w:rFonts w:hint="default" w:ascii="Times New Roman" w:hAnsi="Times New Roman" w:eastAsia="方正楷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200.00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200.00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%。主要用于采购巨灾保险服务。 </w:t>
      </w:r>
    </w:p>
    <w:p>
      <w:pPr>
        <w:pStyle w:val="6"/>
        <w:shd w:val="clear" w:color="auto" w:fill="FFFFFF"/>
        <w:spacing w:before="0" w:beforeAutospacing="0" w:after="0" w:afterAutospacing="0" w:line="560" w:lineRule="exact"/>
        <w:outlineLvl w:val="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五、预算绩效管理情况说明</w:t>
      </w:r>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（一）单位自评情况</w:t>
      </w:r>
    </w:p>
    <w:p>
      <w:pPr>
        <w:pStyle w:val="12"/>
        <w:autoSpaceDE w:val="0"/>
        <w:spacing w:before="0" w:beforeAutospacing="0" w:after="0" w:afterAutospacing="0" w:line="560" w:lineRule="exact"/>
        <w:ind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根据预算绩效管理要求，本单位对单位整体和2个二级项目开展了绩效自评，涉及财政拨款项目支出资金211万元。</w:t>
      </w:r>
    </w:p>
    <w:p>
      <w:pPr>
        <w:pStyle w:val="11"/>
        <w:autoSpaceDE w:val="0"/>
        <w:spacing w:line="560" w:lineRule="exact"/>
        <w:ind w:firstLine="0" w:firstLineChars="0"/>
        <w:rPr>
          <w:rFonts w:hint="eastAsia" w:ascii="Times New Roman" w:hAnsi="Times New Roman" w:eastAsia="楷体" w:cs="Times New Roman"/>
          <w:b w:val="0"/>
          <w:bCs w:val="0"/>
          <w:sz w:val="32"/>
          <w:szCs w:val="32"/>
          <w:shd w:val="clear" w:color="auto" w:fill="FFFFFF"/>
          <w:lang w:eastAsia="zh-CN"/>
        </w:rPr>
      </w:pPr>
      <w:r>
        <w:rPr>
          <w:rFonts w:hint="eastAsia" w:ascii="Times New Roman" w:hAnsi="Times New Roman" w:eastAsia="楷体" w:cs="Times New Roman"/>
          <w:b w:val="0"/>
          <w:bCs w:val="0"/>
          <w:sz w:val="32"/>
          <w:szCs w:val="32"/>
          <w:shd w:val="clear" w:color="auto" w:fill="FFFFFF"/>
          <w:lang w:eastAsia="zh-CN"/>
        </w:rPr>
        <w:t>详见附件。</w:t>
      </w:r>
      <w:bookmarkStart w:id="0" w:name="_GoBack"/>
      <w:bookmarkEnd w:id="0"/>
    </w:p>
    <w:p>
      <w:pPr>
        <w:pStyle w:val="11"/>
        <w:autoSpaceDE w:val="0"/>
        <w:spacing w:line="560" w:lineRule="exact"/>
        <w:ind w:firstLine="640"/>
        <w:outlineLvl w:val="1"/>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（二）部门绩效评价情况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对防范金融风险和打击非法集资工作经费项目开展了绩效评价，涉及财政拨款项目资金11万元，评价得分为100分，评价等次为优；对巨灾保险采购项目开展了绩效评价，涉及财政拨款项目资金200万元，评价得分100分，评价等次为优。在绩效评价中，发现</w:t>
      </w:r>
      <w:r>
        <w:rPr>
          <w:rFonts w:hint="default" w:ascii="Times New Roman" w:hAnsi="Times New Roman" w:eastAsia="方正仿宋_GBK" w:cs="Times New Roman"/>
          <w:sz w:val="32"/>
          <w:szCs w:val="32"/>
        </w:rPr>
        <w:t>年初预算绩效指标体系设置不够科学，细化考核指标量化不够合理；项目管理上需要进一步规范，预算执行和绩效运行监督管理工作仍需进一步提高。下一步工作中将加强绩效评价管理制度和指标设计，细化经费，完善信息，制定合法、合规、合理、可行的绩效目标。同时严格预算执行，加强资金使用管理，规范财务行为，进一步合理配置资源，完善项目管理办法，切实提高项目管理水平、财政资金使用效益和部门工作效益。</w:t>
      </w:r>
    </w:p>
    <w:p>
      <w:pPr>
        <w:pStyle w:val="11"/>
        <w:autoSpaceDE w:val="0"/>
        <w:spacing w:line="560" w:lineRule="exact"/>
        <w:ind w:firstLine="643"/>
        <w:outlineLvl w:val="1"/>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autoSpaceDE w:val="0"/>
        <w:spacing w:line="56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县财政局未委托第三方对本单位开展绩效评价。</w:t>
      </w:r>
    </w:p>
    <w:p>
      <w:pPr>
        <w:pStyle w:val="11"/>
        <w:autoSpaceDE w:val="0"/>
        <w:spacing w:line="560" w:lineRule="exact"/>
        <w:ind w:firstLine="640"/>
        <w:outlineLvl w:val="0"/>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（五）使用非财政拨款结余</w:t>
      </w:r>
      <w:r>
        <w:rPr>
          <w:rFonts w:hint="default" w:ascii="Times New Roman" w:hAnsi="Times New Roman" w:eastAsia="方正楷体_GBK" w:cs="Times New Roman"/>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楷体_GBK"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（十二）“三公”经费</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（十六）对个人和家庭的补助（支出经济分类科目类级）</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Style w:val="10"/>
          <w:rFonts w:hint="default" w:ascii="Times New Roman" w:hAnsi="Times New Roman" w:eastAsia="方正楷体_GBK" w:cs="Times New Roman"/>
          <w:bCs/>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七、决算公开联系方式及信息反馈渠道</w:t>
      </w:r>
    </w:p>
    <w:p>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rPr>
        <w:t>王海峡023-</w:t>
      </w:r>
      <w:r>
        <w:rPr>
          <w:rFonts w:hint="default" w:ascii="Times New Roman" w:hAnsi="Times New Roman" w:eastAsia="方正仿宋_GBK" w:cs="Times New Roman"/>
          <w:color w:val="333333"/>
          <w:sz w:val="31"/>
          <w:szCs w:val="31"/>
          <w:shd w:val="clear" w:color="auto" w:fill="FFFFFF"/>
        </w:rPr>
        <w:t>70700366</w:t>
      </w:r>
    </w:p>
    <w:p>
      <w:pPr>
        <w:pStyle w:val="6"/>
        <w:snapToGrid w:val="0"/>
        <w:spacing w:before="0" w:beforeAutospacing="0" w:after="0" w:afterAutospacing="0" w:line="600" w:lineRule="exact"/>
        <w:ind w:firstLine="642"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rPr>
              <w:t>重庆市丰都县金融服务中心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335.12</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316.42</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12.56</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5.61</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335.12</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337.01</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w:t>
            </w:r>
            <w:r>
              <w:rPr>
                <w:rFonts w:hint="default" w:ascii="Times New Roman" w:hAnsi="Times New Roman" w:cs="Times New Roman"/>
                <w:color w:val="000000"/>
                <w:sz w:val="20"/>
              </w:rPr>
              <w:t xml:space="preserve"> </w:t>
            </w:r>
          </w:p>
        </w:tc>
      </w:tr>
      <w:tr>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340.84</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340.84</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rPr>
              <w:t>重庆市丰都县金融服务中心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335.12</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335.12</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重庆市丰都县金融服务中心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337.01</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128.56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208.45</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316.42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208.45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重庆市丰都县金融服务中心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335.12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316.42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316.42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335.12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337.01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337.01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340.84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340.84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340.84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重庆市丰都县金融服务中心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337.01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128.56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208.45</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316.42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208.45</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116.42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107.97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107.97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重庆市丰都县金融服务中心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107.10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110.06</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18.51</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重庆市丰都县金融服务中心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重庆市丰都县金融服务中心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rPr>
              <w:t>重庆市丰都县金融服务中心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200.00</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200.00</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0.32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WUyMzI0NWZmMGYyZTUwODVjY2ZjOWUwZTJmNGU3MTcifQ=="/>
  </w:docVars>
  <w:rsids>
    <w:rsidRoot w:val="00B03CCD"/>
    <w:rsid w:val="000C01CC"/>
    <w:rsid w:val="000D7702"/>
    <w:rsid w:val="0011013D"/>
    <w:rsid w:val="00195BE0"/>
    <w:rsid w:val="001B7159"/>
    <w:rsid w:val="002120C5"/>
    <w:rsid w:val="002D0E5A"/>
    <w:rsid w:val="002E5443"/>
    <w:rsid w:val="003232FC"/>
    <w:rsid w:val="004C12FF"/>
    <w:rsid w:val="004C4611"/>
    <w:rsid w:val="00550ABE"/>
    <w:rsid w:val="00552CA9"/>
    <w:rsid w:val="00562BCA"/>
    <w:rsid w:val="005A4D8D"/>
    <w:rsid w:val="005B023C"/>
    <w:rsid w:val="005D13A4"/>
    <w:rsid w:val="006123D8"/>
    <w:rsid w:val="006137D7"/>
    <w:rsid w:val="00634FA8"/>
    <w:rsid w:val="0063613A"/>
    <w:rsid w:val="007330ED"/>
    <w:rsid w:val="00787FE2"/>
    <w:rsid w:val="00792285"/>
    <w:rsid w:val="007A0D2E"/>
    <w:rsid w:val="007A3314"/>
    <w:rsid w:val="007B419D"/>
    <w:rsid w:val="007E6B9B"/>
    <w:rsid w:val="007F1CFC"/>
    <w:rsid w:val="00810F13"/>
    <w:rsid w:val="00853CF0"/>
    <w:rsid w:val="008D765A"/>
    <w:rsid w:val="00910E55"/>
    <w:rsid w:val="00937DB2"/>
    <w:rsid w:val="00944711"/>
    <w:rsid w:val="00984852"/>
    <w:rsid w:val="009B664B"/>
    <w:rsid w:val="009B67B8"/>
    <w:rsid w:val="009F1569"/>
    <w:rsid w:val="00A03B1E"/>
    <w:rsid w:val="00A33D54"/>
    <w:rsid w:val="00A33D82"/>
    <w:rsid w:val="00A67739"/>
    <w:rsid w:val="00A820B7"/>
    <w:rsid w:val="00A85E3B"/>
    <w:rsid w:val="00AC5566"/>
    <w:rsid w:val="00B01F32"/>
    <w:rsid w:val="00B03CCD"/>
    <w:rsid w:val="00B1005E"/>
    <w:rsid w:val="00B11B05"/>
    <w:rsid w:val="00B13738"/>
    <w:rsid w:val="00B40138"/>
    <w:rsid w:val="00BE04E4"/>
    <w:rsid w:val="00BF5A85"/>
    <w:rsid w:val="00C01D28"/>
    <w:rsid w:val="00C307F6"/>
    <w:rsid w:val="00C625EE"/>
    <w:rsid w:val="00C96B11"/>
    <w:rsid w:val="00CA63C2"/>
    <w:rsid w:val="00CC6B99"/>
    <w:rsid w:val="00CF2FA2"/>
    <w:rsid w:val="00DF7706"/>
    <w:rsid w:val="00E05175"/>
    <w:rsid w:val="00E31854"/>
    <w:rsid w:val="00E654E2"/>
    <w:rsid w:val="00E65F49"/>
    <w:rsid w:val="00E76362"/>
    <w:rsid w:val="00EC3606"/>
    <w:rsid w:val="00F137D3"/>
    <w:rsid w:val="00F13C36"/>
    <w:rsid w:val="00F23C68"/>
    <w:rsid w:val="00F32C53"/>
    <w:rsid w:val="00F65ABE"/>
    <w:rsid w:val="00F73F90"/>
    <w:rsid w:val="00F7623D"/>
    <w:rsid w:val="00F8598B"/>
    <w:rsid w:val="00FA1CF5"/>
    <w:rsid w:val="00FD2303"/>
    <w:rsid w:val="00FD499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3C0380"/>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76959"/>
    <w:rsid w:val="56FF7E9E"/>
    <w:rsid w:val="578867FC"/>
    <w:rsid w:val="5842572D"/>
    <w:rsid w:val="5A3B59D6"/>
    <w:rsid w:val="5AD134D8"/>
    <w:rsid w:val="5B6503B1"/>
    <w:rsid w:val="5C263CE4"/>
    <w:rsid w:val="5C5D2777"/>
    <w:rsid w:val="5CF66BF3"/>
    <w:rsid w:val="5D290C69"/>
    <w:rsid w:val="5DE5A344"/>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D7EDB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9816</Words>
  <Characters>11954</Characters>
  <Lines>108</Lines>
  <Paragraphs>30</Paragraphs>
  <TotalTime>264</TotalTime>
  <ScaleCrop>false</ScaleCrop>
  <LinksUpToDate>false</LinksUpToDate>
  <CharactersWithSpaces>12999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user</cp:lastModifiedBy>
  <dcterms:modified xsi:type="dcterms:W3CDTF">2024-09-29T09:22:53Z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