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3"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丰都县人力资源和社会保障局</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关于2023年部门整体绩效</w:t>
      </w:r>
      <w:r>
        <w:rPr>
          <w:rFonts w:hint="eastAsia" w:ascii="方正小标宋_GBK" w:hAnsi="方正小标宋_GBK" w:eastAsia="方正小标宋_GBK" w:cs="方正小标宋_GBK"/>
          <w:color w:val="000000" w:themeColor="text1"/>
          <w:sz w:val="44"/>
          <w:szCs w:val="44"/>
          <w14:textFill>
            <w14:solidFill>
              <w14:schemeClr w14:val="tx1"/>
            </w14:solidFill>
          </w14:textFill>
        </w:rPr>
        <w:t>自评</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情况的</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告</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县财政局：</w:t>
      </w:r>
    </w:p>
    <w:p>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为加强财政资金的管理，提高财政资金的使用效益，贯彻落实《中共丰都县</w:t>
      </w:r>
      <w:r>
        <w:rPr>
          <w:rFonts w:hint="default" w:ascii="Times New Roman" w:hAnsi="Times New Roman" w:eastAsia="方正仿宋_GBK" w:cs="Times New Roman"/>
          <w:color w:val="000000" w:themeColor="text1"/>
          <w:spacing w:val="4"/>
          <w:sz w:val="32"/>
          <w:szCs w:val="32"/>
          <w14:textFill>
            <w14:solidFill>
              <w14:schemeClr w14:val="tx1"/>
            </w14:solidFill>
          </w14:textFill>
        </w:rPr>
        <w:t>委丰都县人民政府关于全面落实预算绩效管理的实施方案》（丰委办〔2019〕32号）、根据《中共重庆市委重庆市人民政府关于全面实施预算绩效管理的实施意见》（渝委发</w:t>
      </w:r>
      <w:r>
        <w:rPr>
          <w:rFonts w:hint="default" w:ascii="Times New Roman" w:hAnsi="Times New Roman" w:eastAsia="方正仿宋_GBK" w:cs="Times New Roman"/>
          <w:color w:val="000000" w:themeColor="text1"/>
          <w:sz w:val="32"/>
          <w:szCs w:val="32"/>
          <w14:textFill>
            <w14:solidFill>
              <w14:schemeClr w14:val="tx1"/>
            </w14:solidFill>
          </w14:textFill>
        </w:rPr>
        <w:t>〔2019〕12号）、《重庆市财政专项资金绩效评价管理暂行办法》形成自评报告如下：</w:t>
      </w:r>
    </w:p>
    <w:p>
      <w:pPr>
        <w:pageBreakBefore w:val="0"/>
        <w:widowControl w:val="0"/>
        <w:numPr>
          <w:ilvl w:val="0"/>
          <w:numId w:val="1"/>
        </w:numPr>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单位</w:t>
      </w:r>
      <w:r>
        <w:rPr>
          <w:rFonts w:hint="eastAsia" w:ascii="方正黑体_GBK" w:hAnsi="方正黑体_GBK" w:eastAsia="方正黑体_GBK" w:cs="方正黑体_GBK"/>
          <w:color w:val="000000" w:themeColor="text1"/>
          <w:sz w:val="32"/>
          <w:szCs w:val="32"/>
          <w14:textFill>
            <w14:solidFill>
              <w14:schemeClr w14:val="tx1"/>
            </w14:solidFill>
          </w14:textFill>
        </w:rPr>
        <w:t>基本概况</w:t>
      </w:r>
    </w:p>
    <w:p>
      <w:pPr>
        <w:spacing w:line="60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丰都县人力资源和社会保障局共</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个预算单位。其中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个丰都县人力资源和社会保障局本级；下设</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个正科级参公事业单位(丰都县社会保险事务中心和丰都县就业和人才中心)；</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个副科级参公事业单位(丰都县人力资源和社会保障行政执法支队)；</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个全额事业单位(丰都县人力资源考试测评服务中心)。</w:t>
      </w:r>
    </w:p>
    <w:p>
      <w:pPr>
        <w:pageBreakBefore w:val="0"/>
        <w:widowControl w:val="0"/>
        <w:numPr>
          <w:ilvl w:val="0"/>
          <w:numId w:val="2"/>
        </w:numPr>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方正楷体_GBK" w:hAnsi="方正楷体_GBK" w:eastAsia="方正楷体_GBK" w:cs="方正楷体_GBK"/>
          <w:color w:val="000000" w:themeColor="text1"/>
          <w:sz w:val="32"/>
          <w:szCs w:val="32"/>
          <w14:textFill>
            <w14:solidFill>
              <w14:schemeClr w14:val="tx1"/>
            </w14:solidFill>
          </w14:textFill>
        </w:rPr>
        <w:t>项目概况</w:t>
      </w:r>
    </w:p>
    <w:p>
      <w:pPr>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2023年</w:t>
      </w:r>
      <w:r>
        <w:rPr>
          <w:rFonts w:hint="eastAsia" w:cs="Times New Roman"/>
          <w:b w:val="0"/>
          <w:bCs w:val="0"/>
          <w:kern w:val="2"/>
          <w:sz w:val="32"/>
          <w:szCs w:val="32"/>
          <w:lang w:val="en-US" w:eastAsia="zh-CN" w:bidi="ar-SA"/>
        </w:rPr>
        <w:t>本部门项目</w:t>
      </w:r>
      <w:r>
        <w:rPr>
          <w:rFonts w:hint="default" w:ascii="Times New Roman" w:hAnsi="Times New Roman" w:eastAsia="方正仿宋_GBK" w:cs="Times New Roman"/>
          <w:b w:val="0"/>
          <w:bCs w:val="0"/>
          <w:kern w:val="2"/>
          <w:sz w:val="32"/>
          <w:szCs w:val="32"/>
          <w:lang w:val="en-US" w:eastAsia="zh-CN" w:bidi="ar-SA"/>
        </w:rPr>
        <w:t>年初预算资金</w:t>
      </w:r>
      <w:r>
        <w:rPr>
          <w:rFonts w:hint="eastAsia" w:ascii="Times New Roman" w:hAnsi="Times New Roman" w:eastAsia="方正仿宋_GBK" w:cs="Times New Roman"/>
          <w:b w:val="0"/>
          <w:bCs w:val="0"/>
          <w:kern w:val="2"/>
          <w:sz w:val="32"/>
          <w:szCs w:val="32"/>
          <w:lang w:val="en-US" w:eastAsia="zh-CN" w:bidi="ar-SA"/>
        </w:rPr>
        <w:t>13121.62万元，实际到位资金11009.46万元，资金到位率83.9</w:t>
      </w: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；全年已支付11009.46万元，资金执行率83.9</w:t>
      </w:r>
      <w:r>
        <w:rPr>
          <w:rFonts w:hint="default"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w:t>
      </w:r>
    </w:p>
    <w:p>
      <w:pPr>
        <w:pageBreakBefore w:val="0"/>
        <w:widowControl w:val="0"/>
        <w:numPr>
          <w:ilvl w:val="0"/>
          <w:numId w:val="3"/>
        </w:numPr>
        <w:kinsoku/>
        <w:wordWrap/>
        <w:overflowPunct w:val="0"/>
        <w:topLinePunct w:val="0"/>
        <w:autoSpaceDE/>
        <w:autoSpaceDN/>
        <w:bidi w:val="0"/>
        <w:adjustRightInd/>
        <w:snapToGrid/>
        <w:spacing w:line="600" w:lineRule="exact"/>
        <w:ind w:right="0" w:rightChars="0" w:firstLine="640" w:firstLineChars="2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职能职责</w:t>
      </w:r>
    </w:p>
    <w:p>
      <w:pPr>
        <w:pageBreakBefore w:val="0"/>
        <w:widowControl w:val="0"/>
        <w:numPr>
          <w:ilvl w:val="0"/>
          <w:numId w:val="0"/>
        </w:numPr>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1.贯彻执行人力资源和社会保障法律、法规、规章和方针政策；拟订人力资源和社会保障事业发展规划、政策措施，并组织实施和监督检查；拟订机构改革人员定岗和分流政策。 </w:t>
      </w:r>
    </w:p>
    <w:p>
      <w:pPr>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2.拟订人力资源市场发展规划和人力资源服务业发展、人力资源流动政策，综合管理人力资源市场和人力资源开发培训、流动调配等工作。 </w:t>
      </w:r>
    </w:p>
    <w:p>
      <w:pPr>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促进就业工作，拟订统筹城乡的就业发展规划和政策，完善公共就业服务体系；完善公用就业创业服务体系，统筹建立面向城乡劳动者的职业技能培训制度，拟定就业援助制度，牵头拟订高校毕业生就业政策。</w:t>
      </w:r>
    </w:p>
    <w:p>
      <w:pPr>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4.统筹推进建立覆盖城乡的多层次社会保障体系，负责城乡社会保险及其补充保险政策的组织实施工作；承担社会保险及其补充保险基金行政监督责任。会同有关部门实施全民参保计划。</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5.负责就业、失业和相关社会保险基金预测预警和信息引导，拟订应对预案，实施预防、调节和控制，保持就业形势稳定和相关社会保险基金总体收支平衡。</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统筹实施劳动人事争议调解仲裁制度和劳动关系政策，完善劳动关系协商协调机制，贯彻职工工作时间、休息休假和假期制度，贯彻消除非法使用童工政策和女工、未成年工的特殊劳动保护政策。组织实施劳动保障监察，协调劳动者维权工作，依法查处重大案件。</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7.参与拟订全县人才队伍建设的总体规划、法规政策等工作。负责县级有关重点人才项目的组织实施和监督检查。负责拟订人才引进政策。</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专业技术人才队伍和高技能人才队伍建设。牵头推进深化职称制度改革工作，实施专业技术人员管理、继续教育和博士后管理等政策，负责高层次专业技术人才选拔和培养工作。拟订技能人才培养、评价、使用和激励政策，完善职业资格制度，健全职业技能多元化评价政策。牵头组织紧缺优秀人才的引进工作。负责专家、高层次人才服务工作。</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9.会同相关部门指导推进事业单位人事制度改革，按照管理权限负责规范事业单位岗位设置、公开招聘、聘用合同、人员交流等人事综合管理工作，拟订并组织实施事业单位人员和机关工勤人员管理政策。</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10.综合管理全县表彰奖励工作，审核县委、县政府及以上机关奖励表彰事宜及项目名单。根据授权承办县级表彰奖励活动。</w:t>
      </w:r>
    </w:p>
    <w:p>
      <w:pPr>
        <w:pageBreakBefore w:val="0"/>
        <w:widowControl w:val="0"/>
        <w:kinsoku/>
        <w:wordWrap/>
        <w:topLinePunct w:val="0"/>
        <w:autoSpaceDE/>
        <w:autoSpaceDN/>
        <w:bidi w:val="0"/>
        <w:adjustRightInd/>
        <w:snapToGrid/>
        <w:spacing w:line="600" w:lineRule="exact"/>
        <w:ind w:firstLine="480" w:firstLineChars="1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11.组织实施机关事业单位人员工资收入分配、津贴补贴、福利和退休管理工作，宏观调控管理企业职工工资收入分配，建立机关企事业单位人员工资正常增长和支付保障机制；负责参加社会养老保险人员享受养老保险待遇的审批；负责机关企事业单位人员工（公）伤认定；负责伤（病）残等级鉴定工作。 </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12.会同有关部门贯彻落实农民工工作综合性政策和规划，组织实施相关配套政策，协调解决重点难点问题，维护农民工合法权益。</w:t>
      </w:r>
    </w:p>
    <w:p>
      <w:pPr>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13.负责机关、直属单位和主管的社会组织党建工作、安全监管和信访稳定工作。 </w:t>
      </w:r>
    </w:p>
    <w:p>
      <w:pPr>
        <w:pageBreakBefore w:val="0"/>
        <w:widowControl w:val="0"/>
        <w:kinsoku/>
        <w:wordWrap/>
        <w:topLinePunct w:val="0"/>
        <w:autoSpaceDE/>
        <w:autoSpaceDN/>
        <w:bidi w:val="0"/>
        <w:adjustRightInd/>
        <w:snapToGrid/>
        <w:spacing w:line="600"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rPr>
        <w:t>14.完成县委和县政府交办的其他任务。</w:t>
      </w:r>
    </w:p>
    <w:p>
      <w:pPr>
        <w:pageBreakBefore w:val="0"/>
        <w:widowControl w:val="0"/>
        <w:numPr>
          <w:ilvl w:val="0"/>
          <w:numId w:val="0"/>
        </w:numPr>
        <w:kinsoku/>
        <w:wordWrap/>
        <w:overflowPunct w:val="0"/>
        <w:topLinePunct w:val="0"/>
        <w:autoSpaceDE/>
        <w:autoSpaceDN/>
        <w:bidi w:val="0"/>
        <w:adjustRightInd/>
        <w:snapToGrid/>
        <w:spacing w:line="600" w:lineRule="exact"/>
        <w:ind w:right="0" w:rightChars="0" w:firstLine="640" w:firstLineChars="200"/>
        <w:jc w:val="both"/>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项目绩效目标</w:t>
      </w:r>
    </w:p>
    <w:p>
      <w:pPr>
        <w:pStyle w:val="2"/>
        <w:pageBreakBefore w:val="0"/>
        <w:widowControl w:val="0"/>
        <w:numPr>
          <w:ilvl w:val="0"/>
          <w:numId w:val="0"/>
        </w:numPr>
        <w:kinsoku/>
        <w:wordWrap/>
        <w:topLinePunct w:val="0"/>
        <w:autoSpaceDE/>
        <w:autoSpaceDN/>
        <w:bidi w:val="0"/>
        <w:adjustRightInd/>
        <w:snapToGrid/>
        <w:spacing w:before="0" w:after="0" w:line="600" w:lineRule="exact"/>
        <w:ind w:firstLine="600" w:firstLineChars="200"/>
        <w:textAlignment w:val="auto"/>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pacing w:val="-10"/>
          <w:kern w:val="2"/>
          <w:sz w:val="32"/>
          <w:szCs w:val="32"/>
          <w:lang w:val="en-US" w:eastAsia="zh-CN" w:bidi="ar-SA"/>
          <w14:textFill>
            <w14:solidFill>
              <w14:schemeClr w14:val="tx1"/>
            </w14:solidFill>
          </w14:textFill>
        </w:rPr>
        <w:t>具体详见各</w:t>
      </w:r>
      <w:r>
        <w:rPr>
          <w:rFonts w:hint="eastAsia" w:ascii="Times New Roman" w:hAnsi="Times New Roman" w:eastAsia="方正仿宋_GBK" w:cs="Times New Roman"/>
          <w:b w:val="0"/>
          <w:bCs w:val="0"/>
          <w:color w:val="000000" w:themeColor="text1"/>
          <w:spacing w:val="-10"/>
          <w:kern w:val="2"/>
          <w:sz w:val="32"/>
          <w:szCs w:val="32"/>
          <w:lang w:val="en-US" w:eastAsia="zh-CN" w:bidi="ar-SA"/>
          <w14:textFill>
            <w14:solidFill>
              <w14:schemeClr w14:val="tx1"/>
            </w14:solidFill>
          </w14:textFill>
        </w:rPr>
        <w:t>部门整体绩效</w:t>
      </w:r>
      <w:r>
        <w:rPr>
          <w:rFonts w:hint="default" w:ascii="Times New Roman" w:hAnsi="Times New Roman" w:eastAsia="方正仿宋_GBK" w:cs="Times New Roman"/>
          <w:b w:val="0"/>
          <w:bCs w:val="0"/>
          <w:color w:val="000000" w:themeColor="text1"/>
          <w:spacing w:val="-10"/>
          <w:kern w:val="2"/>
          <w:sz w:val="32"/>
          <w:szCs w:val="32"/>
          <w:lang w:val="en-US" w:eastAsia="zh-CN" w:bidi="ar-SA"/>
          <w14:textFill>
            <w14:solidFill>
              <w14:schemeClr w14:val="tx1"/>
            </w14:solidFill>
          </w14:textFill>
        </w:rPr>
        <w:t>绩效自评表</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（附件1）。</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14:textFill>
            <w14:solidFill>
              <w14:schemeClr w14:val="tx1"/>
            </w14:solidFill>
          </w14:textFill>
        </w:rPr>
        <w:t>、绩效分析及评价结论</w:t>
      </w:r>
    </w:p>
    <w:p>
      <w:pPr>
        <w:pageBreakBefore w:val="0"/>
        <w:widowControl w:val="0"/>
        <w:kinsoku/>
        <w:wordWrap/>
        <w:topLinePunct w:val="0"/>
        <w:autoSpaceDE/>
        <w:autoSpaceDN/>
        <w:bidi w:val="0"/>
        <w:adjustRightInd/>
        <w:snapToGrid/>
        <w:spacing w:line="600" w:lineRule="exact"/>
        <w:ind w:right="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评价工作组通过资</w:t>
      </w:r>
      <w:r>
        <w:rPr>
          <w:rFonts w:hint="default" w:ascii="Times New Roman" w:hAnsi="Times New Roman" w:eastAsia="方正仿宋_GBK" w:cs="Times New Roman"/>
          <w:color w:val="000000" w:themeColor="text1"/>
          <w:spacing w:val="-10"/>
          <w:sz w:val="32"/>
          <w:szCs w:val="32"/>
          <w14:textFill>
            <w14:solidFill>
              <w14:schemeClr w14:val="tx1"/>
            </w14:solidFill>
          </w14:textFill>
        </w:rPr>
        <w:t>料收集分析、指标体系搭建等方式，对人社</w:t>
      </w:r>
      <w:r>
        <w:rPr>
          <w:rFonts w:hint="eastAsia" w:cs="Times New Roman"/>
          <w:color w:val="000000" w:themeColor="text1"/>
          <w:spacing w:val="-10"/>
          <w:sz w:val="32"/>
          <w:szCs w:val="32"/>
          <w:lang w:val="en-US" w:eastAsia="zh-CN"/>
          <w14:textFill>
            <w14:solidFill>
              <w14:schemeClr w14:val="tx1"/>
            </w14:solidFill>
          </w14:textFill>
        </w:rPr>
        <w:t>部门整体绩效</w:t>
      </w:r>
      <w:r>
        <w:rPr>
          <w:rFonts w:hint="default" w:ascii="Times New Roman" w:hAnsi="Times New Roman" w:eastAsia="方正仿宋_GBK" w:cs="Times New Roman"/>
          <w:color w:val="000000" w:themeColor="text1"/>
          <w:spacing w:val="-10"/>
          <w:sz w:val="32"/>
          <w:szCs w:val="32"/>
          <w14:textFill>
            <w14:solidFill>
              <w14:schemeClr w14:val="tx1"/>
            </w14:solidFill>
          </w14:textFill>
        </w:rPr>
        <w:t>进行综合绩效评分</w:t>
      </w:r>
      <w:r>
        <w:rPr>
          <w:rFonts w:hint="eastAsia" w:cs="Times New Roman"/>
          <w:color w:val="000000" w:themeColor="text1"/>
          <w:spacing w:val="-1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0"/>
          <w:sz w:val="32"/>
          <w:szCs w:val="32"/>
          <w14:textFill>
            <w14:solidFill>
              <w14:schemeClr w14:val="tx1"/>
            </w14:solidFill>
          </w14:textFill>
        </w:rPr>
        <w:t>。</w:t>
      </w:r>
      <w:r>
        <w:rPr>
          <w:rFonts w:hint="eastAsia" w:cs="Times New Roman"/>
          <w:color w:val="000000" w:themeColor="text1"/>
          <w:spacing w:val="-10"/>
          <w:sz w:val="32"/>
          <w:szCs w:val="32"/>
          <w:lang w:val="en-US" w:eastAsia="zh-CN"/>
          <w14:textFill>
            <w14:solidFill>
              <w14:schemeClr w14:val="tx1"/>
            </w14:solidFill>
          </w14:textFill>
        </w:rPr>
        <w:t>自评总分98.39分，</w:t>
      </w:r>
      <w:r>
        <w:rPr>
          <w:rFonts w:hint="default" w:ascii="Times New Roman" w:hAnsi="Times New Roman" w:eastAsia="方正仿宋_GBK" w:cs="Times New Roman"/>
          <w:color w:val="000000" w:themeColor="text1"/>
          <w:sz w:val="32"/>
          <w:szCs w:val="32"/>
          <w14:textFill>
            <w14:solidFill>
              <w14:schemeClr w14:val="tx1"/>
            </w14:solidFill>
          </w14:textFill>
        </w:rPr>
        <w:t>自评绩效评级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为优</w:t>
      </w:r>
      <w:r>
        <w:rPr>
          <w:rFonts w:hint="default" w:ascii="Times New Roman" w:hAnsi="Times New Roman" w:eastAsia="方正仿宋_GBK" w:cs="Times New Roman"/>
          <w:color w:val="000000" w:themeColor="text1"/>
          <w:sz w:val="32"/>
          <w:szCs w:val="32"/>
          <w14:textFill>
            <w14:solidFill>
              <w14:schemeClr w14:val="tx1"/>
            </w14:solidFill>
          </w14:textFill>
        </w:rPr>
        <w:t>，达到预期绩效目标。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具体详见各</w:t>
      </w:r>
      <w:r>
        <w:rPr>
          <w:rFonts w:hint="eastAsia" w:cs="Times New Roman"/>
          <w:color w:val="000000" w:themeColor="text1"/>
          <w:sz w:val="32"/>
          <w:szCs w:val="32"/>
          <w:lang w:val="en-US" w:eastAsia="zh-CN"/>
          <w14:textFill>
            <w14:solidFill>
              <w14:schemeClr w14:val="tx1"/>
            </w14:solidFill>
          </w14:textFill>
        </w:rPr>
        <w:t>部门整体绩效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绩效自评表（附件1）。</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14:textFill>
            <w14:solidFill>
              <w14:schemeClr w14:val="tx1"/>
            </w14:solidFill>
          </w14:textFill>
        </w:rPr>
        <w:t>、存在的问题</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0" w:name="_Toc22671_WPSOffice_Level2"/>
      <w:bookmarkStart w:id="1" w:name="_Toc5419_WPSOffice_Level2"/>
      <w:bookmarkStart w:id="2" w:name="_Toc31349_WPSOffice_Level2"/>
      <w:r>
        <w:rPr>
          <w:rFonts w:hint="default" w:ascii="Times New Roman" w:hAnsi="Times New Roman" w:eastAsia="方正仿宋_GBK" w:cs="Times New Roman"/>
          <w:color w:val="000000" w:themeColor="text1"/>
          <w:sz w:val="32"/>
          <w:szCs w:val="32"/>
          <w14:textFill>
            <w14:solidFill>
              <w14:schemeClr w14:val="tx1"/>
            </w14:solidFill>
          </w14:textFill>
        </w:rPr>
        <w:t>少数项目绩效目标设置不够科学，绩效指标细化量化但部分指标缺乏合理性，产出指标及效益指标有待优化。</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14:textFill>
            <w14:solidFill>
              <w14:schemeClr w14:val="tx1"/>
            </w14:solidFill>
          </w14:textFill>
        </w:rPr>
        <w:t>、改进措施</w:t>
      </w:r>
      <w:bookmarkEnd w:id="0"/>
      <w:bookmarkEnd w:id="1"/>
      <w:bookmarkEnd w:id="2"/>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加大项目过程管理监督的力度，建议从项目立项、项目实施、项目进度到项目竣工验收加强项目监管工作。</w:t>
      </w:r>
    </w:p>
    <w:p>
      <w:pPr>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项目统筹管理。明确项目实施进度计划，加强执行中的过程管理和监督机制，保障工程进度，提高项目管理水平。对于无法按进度实施工作或无法按时完成工作的相关责任人，应落实项目绩效考核制度，坚持将绩效考核结果与单位奖励挂钩。</w:t>
      </w:r>
    </w:p>
    <w:p>
      <w:pPr>
        <w:pageBreakBefore w:val="0"/>
        <w:widowControl w:val="0"/>
        <w:kinsoku/>
        <w:wordWrap/>
        <w:topLinePunct w:val="0"/>
        <w:autoSpaceDE/>
        <w:autoSpaceDN/>
        <w:bidi w:val="0"/>
        <w:adjustRightInd/>
        <w:snapToGrid/>
        <w:spacing w:line="600" w:lineRule="exact"/>
        <w:ind w:firstLine="640" w:firstLineChars="200"/>
        <w:textAlignment w:val="auto"/>
        <w:rPr>
          <w:rFonts w:hint="eastAsia" w:ascii="方正黑体_GBK" w:eastAsia="方正黑体_GBK"/>
          <w:bCs/>
          <w:szCs w:val="32"/>
        </w:rPr>
      </w:pPr>
      <w:r>
        <w:rPr>
          <w:rFonts w:hint="eastAsia" w:ascii="方正黑体_GBK" w:eastAsia="方正黑体_GBK"/>
          <w:bCs/>
          <w:szCs w:val="32"/>
        </w:rPr>
        <w:t>五、绩效自评结果拟应用和公开情况</w:t>
      </w:r>
    </w:p>
    <w:p>
      <w:pPr>
        <w:pStyle w:val="2"/>
        <w:pageBreakBefore w:val="0"/>
        <w:widowControl w:val="0"/>
        <w:kinsoku/>
        <w:wordWrap/>
        <w:topLinePunct w:val="0"/>
        <w:autoSpaceDE/>
        <w:autoSpaceDN/>
        <w:bidi w:val="0"/>
        <w:adjustRightInd/>
        <w:snapToGrid/>
        <w:spacing w:before="0" w:after="0" w:line="60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绩效自评结果将在丰都县人民政府网站上进行公开，绩效评价结果与下年度资金安排直接挂钩。</w:t>
      </w:r>
    </w:p>
    <w:p>
      <w:pPr>
        <w:pageBreakBefore w:val="0"/>
        <w:widowControl w:val="0"/>
        <w:kinsoku/>
        <w:wordWrap/>
        <w:overflowPunct w:val="0"/>
        <w:topLinePunct w:val="0"/>
        <w:autoSpaceDE/>
        <w:autoSpaceDN/>
        <w:bidi w:val="0"/>
        <w:adjustRightInd/>
        <w:snapToGrid/>
        <w:spacing w:line="600" w:lineRule="exact"/>
        <w:ind w:right="0" w:firstLine="4160" w:firstLineChars="13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val="0"/>
        <w:topLinePunct w:val="0"/>
        <w:autoSpaceDE/>
        <w:autoSpaceDN/>
        <w:bidi w:val="0"/>
        <w:adjustRightInd/>
        <w:snapToGrid/>
        <w:spacing w:line="600" w:lineRule="exact"/>
        <w:ind w:right="0" w:firstLine="4160" w:firstLineChars="13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val="0"/>
        <w:topLinePunct w:val="0"/>
        <w:autoSpaceDE/>
        <w:autoSpaceDN/>
        <w:bidi w:val="0"/>
        <w:adjustRightInd/>
        <w:snapToGrid/>
        <w:spacing w:line="600" w:lineRule="exact"/>
        <w:ind w:right="0" w:firstLine="4160" w:firstLineChars="13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丰都县人力资源和社会保障局</w:t>
      </w:r>
    </w:p>
    <w:p>
      <w:pPr>
        <w:pStyle w:val="2"/>
        <w:pageBreakBefore w:val="0"/>
        <w:widowControl w:val="0"/>
        <w:kinsoku/>
        <w:wordWrap/>
        <w:topLinePunct w:val="0"/>
        <w:autoSpaceDE/>
        <w:autoSpaceDN/>
        <w:bidi w:val="0"/>
        <w:adjustRightInd/>
        <w:snapToGrid/>
        <w:spacing w:before="0" w:after="0" w:line="600" w:lineRule="exact"/>
        <w:ind w:right="0"/>
        <w:jc w:val="both"/>
        <w:textAlignment w:val="auto"/>
        <w:rPr>
          <w:rFonts w:hint="eastAsia"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202</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月</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日</w:t>
      </w:r>
    </w:p>
    <w:bookmarkEnd w:id="3"/>
    <w:sectPr>
      <w:footerReference r:id="rId5" w:type="default"/>
      <w:footerReference r:id="rId6" w:type="even"/>
      <w:pgSz w:w="11907" w:h="16840"/>
      <w:pgMar w:top="2098" w:right="1474" w:bottom="1984" w:left="1588" w:header="851" w:footer="992" w:gutter="0"/>
      <w:pgNumType w:fmt="decimal"/>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inear B">
    <w:panose1 w:val="020B0502040504020204"/>
    <w:charset w:val="00"/>
    <w:family w:val="auto"/>
    <w:pitch w:val="default"/>
    <w:sig w:usb0="00000003" w:usb1="02000000" w:usb2="00000000" w:usb3="0000002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5C440"/>
    <w:multiLevelType w:val="singleLevel"/>
    <w:tmpl w:val="DDA5C440"/>
    <w:lvl w:ilvl="0" w:tentative="0">
      <w:start w:val="2"/>
      <w:numFmt w:val="chineseCounting"/>
      <w:suff w:val="nothing"/>
      <w:lvlText w:val="（%1）"/>
      <w:lvlJc w:val="left"/>
      <w:rPr>
        <w:rFonts w:hint="eastAsia"/>
      </w:rPr>
    </w:lvl>
  </w:abstractNum>
  <w:abstractNum w:abstractNumId="1">
    <w:nsid w:val="099FF997"/>
    <w:multiLevelType w:val="singleLevel"/>
    <w:tmpl w:val="099FF997"/>
    <w:lvl w:ilvl="0" w:tentative="0">
      <w:start w:val="1"/>
      <w:numFmt w:val="chineseCounting"/>
      <w:suff w:val="nothing"/>
      <w:lvlText w:val="%1、"/>
      <w:lvlJc w:val="left"/>
      <w:rPr>
        <w:rFonts w:hint="eastAsia"/>
      </w:rPr>
    </w:lvl>
  </w:abstractNum>
  <w:abstractNum w:abstractNumId="2">
    <w:nsid w:val="3BE730F3"/>
    <w:multiLevelType w:val="singleLevel"/>
    <w:tmpl w:val="3BE730F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4A6B64"/>
    <w:rsid w:val="02B61D83"/>
    <w:rsid w:val="03301070"/>
    <w:rsid w:val="03F82278"/>
    <w:rsid w:val="05DC76C0"/>
    <w:rsid w:val="0820659F"/>
    <w:rsid w:val="0AB870D7"/>
    <w:rsid w:val="0B073914"/>
    <w:rsid w:val="0BB67210"/>
    <w:rsid w:val="118C697C"/>
    <w:rsid w:val="135B130A"/>
    <w:rsid w:val="153A4CB8"/>
    <w:rsid w:val="17986E4C"/>
    <w:rsid w:val="18063F2C"/>
    <w:rsid w:val="198D3B91"/>
    <w:rsid w:val="1A2D40D5"/>
    <w:rsid w:val="1A4B04DA"/>
    <w:rsid w:val="1B147554"/>
    <w:rsid w:val="1C793F0D"/>
    <w:rsid w:val="25535CDC"/>
    <w:rsid w:val="262D6296"/>
    <w:rsid w:val="28232B38"/>
    <w:rsid w:val="29FD375B"/>
    <w:rsid w:val="2C3A49D9"/>
    <w:rsid w:val="2D094E21"/>
    <w:rsid w:val="3048746F"/>
    <w:rsid w:val="328A38FB"/>
    <w:rsid w:val="38913B93"/>
    <w:rsid w:val="39384C7B"/>
    <w:rsid w:val="3C9FFF86"/>
    <w:rsid w:val="3CB77B48"/>
    <w:rsid w:val="3D093051"/>
    <w:rsid w:val="428A4A90"/>
    <w:rsid w:val="45D53A97"/>
    <w:rsid w:val="49795D1C"/>
    <w:rsid w:val="52B27BB6"/>
    <w:rsid w:val="544F3263"/>
    <w:rsid w:val="58280538"/>
    <w:rsid w:val="59EA4D7A"/>
    <w:rsid w:val="5BB21252"/>
    <w:rsid w:val="608E630F"/>
    <w:rsid w:val="60B26345"/>
    <w:rsid w:val="60F50824"/>
    <w:rsid w:val="62721782"/>
    <w:rsid w:val="633614D8"/>
    <w:rsid w:val="639A78E5"/>
    <w:rsid w:val="65F35C6E"/>
    <w:rsid w:val="6746563B"/>
    <w:rsid w:val="67483002"/>
    <w:rsid w:val="67ED25B2"/>
    <w:rsid w:val="69CC0F1B"/>
    <w:rsid w:val="6B532367"/>
    <w:rsid w:val="6B78242E"/>
    <w:rsid w:val="6C97002E"/>
    <w:rsid w:val="752272E7"/>
    <w:rsid w:val="752A081C"/>
    <w:rsid w:val="77615D65"/>
    <w:rsid w:val="78B6163A"/>
    <w:rsid w:val="7CDE224C"/>
    <w:rsid w:val="7E2360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eastAsia="方正小标宋_GBK"/>
      <w:kern w:val="44"/>
      <w:sz w:val="44"/>
    </w:rPr>
  </w:style>
  <w:style w:type="paragraph" w:styleId="2">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567"/>
    </w:pPr>
    <w:rPr>
      <w:rFonts w:ascii="Calibri" w:hAnsi="Calibri" w:eastAsia="仿宋_GB2312"/>
      <w:sz w:val="32"/>
      <w:szCs w:val="22"/>
    </w:rPr>
  </w:style>
  <w:style w:type="paragraph" w:styleId="5">
    <w:name w:val="footer"/>
    <w:basedOn w:val="1"/>
    <w:qFormat/>
    <w:uiPriority w:val="0"/>
    <w:pPr>
      <w:tabs>
        <w:tab w:val="center" w:pos="4153"/>
        <w:tab w:val="right" w:pos="8306"/>
      </w:tabs>
      <w:snapToGrid w:val="0"/>
      <w:jc w:val="left"/>
    </w:pPr>
    <w:rPr>
      <w:rFonts w:ascii="仿宋_GB2312" w:eastAsia="仿宋_GB2312"/>
      <w:kern w:val="2"/>
      <w:sz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jc w:val="left"/>
    </w:pPr>
    <w:rPr>
      <w:kern w:val="0"/>
      <w:sz w:val="24"/>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0</TotalTime>
  <ScaleCrop>false</ScaleCrop>
  <LinksUpToDate>false</LinksUpToDate>
  <CharactersWithSpaces>509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2021-02-18T15:07:00Z</cp:lastPrinted>
  <dcterms:modified xsi:type="dcterms:W3CDTF">2024-05-06T16:04:55Z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E970A27CD5624DD5A1C607207924042A</vt:lpwstr>
  </property>
</Properties>
</file>